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Supplementary Material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Heterogeneous electro-Fenton treatment of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clofibric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acid with a Fe3O4 loaded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bifunctional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carbon felt cathode via different anode types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Titus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Otamayomi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Moses,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Doğan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Çirmi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Yalçın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Fidan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, Belgin </w:t>
      </w:r>
      <w:proofErr w:type="spellStart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Gözmen</w:t>
      </w:r>
      <w:proofErr w:type="spellEnd"/>
      <w:r w:rsidRPr="007B2026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*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Department of Chemistry, Faculty of Science, Mersin University, Mersin 33342, Turkey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* Corresponding author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B2026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E-mail addresses: </w:t>
      </w:r>
      <w:r w:rsidRPr="007B2026">
        <w:rPr>
          <w:rFonts w:ascii="Times New Roman" w:hAnsi="Times New Roman" w:cs="Times New Roman"/>
          <w:color w:val="0563C2"/>
          <w:sz w:val="20"/>
          <w:szCs w:val="20"/>
          <w:lang w:val="en-US"/>
        </w:rPr>
        <w:t xml:space="preserve">bgozmen@mersin.edu.tr </w:t>
      </w:r>
      <w:r w:rsidRPr="007B202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(B. </w:t>
      </w:r>
      <w:proofErr w:type="spellStart"/>
      <w:r w:rsidRPr="007B2026">
        <w:rPr>
          <w:rFonts w:ascii="Times New Roman" w:hAnsi="Times New Roman" w:cs="Times New Roman"/>
          <w:color w:val="000000"/>
          <w:sz w:val="20"/>
          <w:szCs w:val="20"/>
          <w:lang w:val="en-US"/>
        </w:rPr>
        <w:t>Gözmen</w:t>
      </w:r>
      <w:proofErr w:type="spellEnd"/>
      <w:r w:rsidRPr="007B2026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7B2026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7B2026" w:rsidRPr="00FB4EFD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FB4EFD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Text S1- Experimental</w:t>
      </w:r>
    </w:p>
    <w:p w:rsidR="007B2026" w:rsidRPr="00FB4EFD" w:rsidRDefault="007B2026" w:rsidP="007B2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F4422C" w:rsidRPr="00FB4EFD" w:rsidRDefault="007B2026" w:rsidP="007B2026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FB4EFD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Text S1.1 Chemicals used</w:t>
      </w:r>
    </w:p>
    <w:p w:rsidR="00FB4EFD" w:rsidRPr="0021405D" w:rsidRDefault="00FB4EFD" w:rsidP="00FB4EFD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FB4EFD">
        <w:rPr>
          <w:rFonts w:ascii="Times New Roman" w:hAnsi="Times New Roman" w:cs="Times New Roman"/>
          <w:sz w:val="20"/>
          <w:szCs w:val="20"/>
          <w:lang w:val="en-US"/>
        </w:rPr>
        <w:t>Commercial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Clofibric</w:t>
      </w:r>
      <w:proofErr w:type="spellEnd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acid (2-(p-</w:t>
      </w:r>
      <w:proofErr w:type="spellStart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Chlorophenoxy</w:t>
      </w:r>
      <w:proofErr w:type="spellEnd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)-2-methylpropionic acid, 97%), 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Poly(ethylene glycol)-block-poly(propylene glycol)- (PEG-PPG-PEG*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Pluronic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P-123,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  <w:lang w:val="en-US"/>
        </w:rPr>
        <w:t>n</w:t>
      </w:r>
      <w:proofErr w:type="spellEnd"/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sym w:font="Symbol" w:char="F07E"/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5800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), and Para-Benzoquinone (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pBQ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, ≥ 99.5%),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Ethyleneglycol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(EG, ≥ 99.5%), and 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Platinum gauze electrode (10 cm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) 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were obtained from Sigma-Aldrich (Germany). Iron(III) chloride (FeCl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, ≥ 98%), Sodium acetate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trihydrate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(CH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COONa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sym w:font="Symbol" w:char="F0D7"/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3H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O, ≥ 99%),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Tert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>-butyl alcohol (TBA, ≥ 99%), Ethanol (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EtOH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, ≥ 99.9%), Sodium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sulphate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(Na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, ≥ 99%), Potassium hydrogen phthalate (C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8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KO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, EMSURE), Sodium carbonate (Na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, EMSURE), and Ferrous (II) sulfate (FeSO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sym w:font="Symbol" w:char="F0D7"/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7H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O) were supplied by Merck (Germany). Iron(II) chloride (FeCl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2,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99%) was supplied by Alfa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Aesar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(USA).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Carbon felt (4 cm 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sym w:font="Symbol" w:char="F0B4"/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8 cm 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sym w:font="Symbol" w:char="F0B4"/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0.5 cm) was supplied by Carbone Lorraine (France). Boron doped diamond (BDD, 5 cm </w:t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sym w:font="Symbol" w:char="F0B4"/>
      </w:r>
      <w:r w:rsidRPr="00FB4EFD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5 cm) electrode was purchased from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Condias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GmbH (Germany).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FB4EFD">
        <w:rPr>
          <w:rFonts w:ascii="Times New Roman" w:hAnsi="Times New Roman" w:cs="Times New Roman"/>
          <w:b/>
          <w:bCs/>
          <w:sz w:val="20"/>
          <w:szCs w:val="20"/>
          <w:lang w:val="en-US"/>
        </w:rPr>
        <w:t>Text S1.2 Preparation of CF@Fe</w:t>
      </w:r>
      <w:r w:rsidRPr="00FB4EFD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b/>
          <w:bCs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cathode and characterization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w:r w:rsidRPr="00FB4EFD">
        <w:rPr>
          <w:rFonts w:ascii="Times New Roman" w:hAnsi="Times New Roman" w:cs="Times New Roman"/>
          <w:sz w:val="20"/>
          <w:szCs w:val="20"/>
          <w:lang w:val="en-US"/>
        </w:rPr>
        <w:t>Synthesis of CF@Fe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was carried out by modifying the method developed by Dung et al. 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sym w:font="Symbol" w:char="F05B"/>
      </w:r>
      <w:r w:rsidRPr="00FB4EFD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7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sym w:font="Symbol" w:char="F05D"/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. After being cleaned using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EtOH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>, ultrapure water, and acetone, the carbon felt was submerged in a 65% HNO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solution and activated for </w:t>
      </w:r>
      <w:r>
        <w:rPr>
          <w:rFonts w:ascii="Times New Roman" w:hAnsi="Times New Roman" w:cs="Times New Roman"/>
          <w:sz w:val="20"/>
          <w:szCs w:val="20"/>
          <w:lang w:val="en-US"/>
        </w:rPr>
        <w:t>9 h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at 90°C.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cleaning process was repeated. 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2 g of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Pluronic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P-123 was added to 50 mL of EG and mixed well to dissolve (A solution). 0.3244 g of FeCl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and 0.1267 g of FeCl</w:t>
      </w:r>
      <w:proofErr w:type="gramStart"/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 were</w:t>
      </w:r>
      <w:proofErr w:type="gram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dissolved in 25 mL of EG (B solution). Finally, 6.8 g of CH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COONa was dissolved in 25 mL of EG. CF was placed in solution A and stirred for a while, then solutions B and C were added dropwise to solution A, respectively. Then, the mixture was transferred to a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teflon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-lined stainless steel reactor and kept at 180 °C for 12 h. After the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/>
        </w:rPr>
        <w:t>solvothermal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reaction concluded, the autoclave was allowed to cool spontaneously to ambient temperature. The CF@Fe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 electrode was washed to remove unreacted precursors and by-products. The electrode was dried in an oven at 60 °C to provide the 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-loaded carbon felt electrode (CF@Fe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CF@Fe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surface analysis was carried out by Field Emission Scanning Electron Microscope (FE SEM, Zeiss Supra 55). X-ray diffraction of powdered Fe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NPs was performed using a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Rigaku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 w:eastAsia="tr-TR"/>
        </w:rPr>
        <w:t>Smartlab</w:t>
      </w:r>
      <w:proofErr w:type="spellEnd"/>
      <w:r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model XRD device (Cu-K</w:t>
      </w:r>
      <w:r>
        <w:rPr>
          <w:rFonts w:ascii="Times New Roman" w:hAnsi="Times New Roman" w:cs="Times New Roman"/>
          <w:sz w:val="20"/>
          <w:szCs w:val="20"/>
          <w:lang w:val="en-US" w:eastAsia="tr-TR"/>
        </w:rPr>
        <w:sym w:font="Symbol" w:char="F061"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 in the range of 5-80° at a scanning speed of 4° min</w:t>
      </w:r>
      <w:r w:rsidRPr="00FB4EFD">
        <w:rPr>
          <w:rFonts w:ascii="Times New Roman" w:hAnsi="Times New Roman" w:cs="Times New Roman"/>
          <w:sz w:val="20"/>
          <w:szCs w:val="20"/>
          <w:vertAlign w:val="superscript"/>
          <w:lang w:val="en-US" w:eastAsia="tr-TR"/>
        </w:rPr>
        <w:sym w:font="Symbol" w:char="F02D"/>
      </w:r>
      <w:r w:rsidRPr="00FB4EFD">
        <w:rPr>
          <w:rFonts w:ascii="Times New Roman" w:hAnsi="Times New Roman" w:cs="Times New Roman"/>
          <w:sz w:val="20"/>
          <w:szCs w:val="20"/>
          <w:vertAlign w:val="superscript"/>
          <w:lang w:val="en-US" w:eastAsia="tr-TR"/>
        </w:rPr>
        <w:t>1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.</w:t>
      </w:r>
    </w:p>
    <w:p w:rsidR="00FB4EFD" w:rsidRPr="00FB4EFD" w:rsidRDefault="00FB4EFD" w:rsidP="00FB4EFD">
      <w:pPr>
        <w:rPr>
          <w:rFonts w:ascii="Times New Roman" w:hAnsi="Times New Roman" w:cs="Times New Roman"/>
          <w:b/>
          <w:lang w:val="en-US"/>
        </w:rPr>
      </w:pPr>
    </w:p>
    <w:p w:rsidR="00FB4EFD" w:rsidRPr="00FB4EFD" w:rsidRDefault="00FB4EFD" w:rsidP="00FB4EFD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Text S1. 3 </w:t>
      </w:r>
      <w:r w:rsidRPr="00FB4EFD">
        <w:rPr>
          <w:rFonts w:ascii="Times New Roman" w:hAnsi="Times New Roman" w:cs="Times New Roman"/>
          <w:b/>
          <w:sz w:val="20"/>
          <w:szCs w:val="20"/>
          <w:lang w:val="en-US"/>
        </w:rPr>
        <w:t>Electrochemical characterization</w:t>
      </w:r>
      <w:r w:rsidR="00020735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FB4EF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CF@Fe</w:t>
      </w:r>
      <w:r w:rsidRPr="00FB4EFD">
        <w:rPr>
          <w:rFonts w:ascii="Times New Roman" w:hAnsi="Times New Roman" w:cs="Times New Roman"/>
          <w:b/>
          <w:sz w:val="20"/>
          <w:szCs w:val="20"/>
          <w:vertAlign w:val="subscript"/>
          <w:lang w:val="en-US"/>
        </w:rPr>
        <w:t>3</w:t>
      </w:r>
      <w:r w:rsidRPr="00FB4EFD"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Pr="00FB4EFD">
        <w:rPr>
          <w:rFonts w:ascii="Times New Roman" w:hAnsi="Times New Roman" w:cs="Times New Roman"/>
          <w:b/>
          <w:sz w:val="20"/>
          <w:szCs w:val="20"/>
          <w:vertAlign w:val="subscript"/>
          <w:lang w:val="en-US"/>
        </w:rPr>
        <w:t>4</w:t>
      </w:r>
      <w:r w:rsidRPr="00FB4EF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cathode</w:t>
      </w:r>
    </w:p>
    <w:p w:rsidR="00FB4EFD" w:rsidRPr="00020735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20735">
        <w:rPr>
          <w:rFonts w:ascii="Times New Roman" w:hAnsi="Times New Roman" w:cs="Times New Roman"/>
          <w:sz w:val="20"/>
          <w:szCs w:val="20"/>
          <w:lang w:val="en-US"/>
        </w:rPr>
        <w:t>The oxygen reduction reaction (ORR) performance of the cathode was assessed in a 0.1 M Na</w:t>
      </w:r>
      <w:r w:rsidRPr="0002073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02073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 xml:space="preserve"> electrolyte saturated with either O₂ or N</w:t>
      </w:r>
      <w:r w:rsidRPr="0002073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>. A three-electrode setup was employed, consisting of an Ag/</w:t>
      </w:r>
      <w:proofErr w:type="spellStart"/>
      <w:r w:rsidRPr="00020735">
        <w:rPr>
          <w:rFonts w:ascii="Times New Roman" w:hAnsi="Times New Roman" w:cs="Times New Roman"/>
          <w:sz w:val="20"/>
          <w:szCs w:val="20"/>
          <w:lang w:val="en-US"/>
        </w:rPr>
        <w:t>AgCl</w:t>
      </w:r>
      <w:proofErr w:type="spellEnd"/>
      <w:r w:rsidRPr="00020735">
        <w:rPr>
          <w:rFonts w:ascii="Times New Roman" w:hAnsi="Times New Roman" w:cs="Times New Roman"/>
          <w:sz w:val="20"/>
          <w:szCs w:val="20"/>
          <w:lang w:val="en-US"/>
        </w:rPr>
        <w:t xml:space="preserve"> reference electrode, a platinum plate counter electrode (2 × 2 cm), and a Fe</w:t>
      </w:r>
      <w:r w:rsidRPr="0002073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02073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 xml:space="preserve"> -coated carbon felt (CF) working electrode (1 × 2 cm). All electrochemical measurements were carried out at 25 °C using a CHI660A electrochemical workstation (CH Instruments). Cyclic voltammetry (CV) analyses were perfor</w:t>
      </w:r>
      <w:r w:rsidR="00020735">
        <w:rPr>
          <w:rFonts w:ascii="Times New Roman" w:hAnsi="Times New Roman" w:cs="Times New Roman"/>
          <w:sz w:val="20"/>
          <w:szCs w:val="20"/>
          <w:lang w:val="en-US"/>
        </w:rPr>
        <w:t xml:space="preserve">med within a potential range of          </w:t>
      </w:r>
      <w:r w:rsidRPr="00020735">
        <w:rPr>
          <w:rFonts w:ascii="Times New Roman" w:hAnsi="Times New Roman" w:cs="Times New Roman"/>
          <w:sz w:val="20"/>
          <w:szCs w:val="20"/>
          <w:lang w:val="en-US"/>
        </w:rPr>
        <w:t xml:space="preserve"> –1.2 V to 1.2 V versus Ag/</w:t>
      </w:r>
      <w:proofErr w:type="spellStart"/>
      <w:r w:rsidRPr="00020735">
        <w:rPr>
          <w:rFonts w:ascii="Times New Roman" w:hAnsi="Times New Roman" w:cs="Times New Roman"/>
          <w:sz w:val="20"/>
          <w:szCs w:val="20"/>
          <w:lang w:val="en-US"/>
        </w:rPr>
        <w:t>AgCl</w:t>
      </w:r>
      <w:proofErr w:type="spellEnd"/>
      <w:r w:rsidRPr="00020735">
        <w:rPr>
          <w:rFonts w:ascii="Times New Roman" w:hAnsi="Times New Roman" w:cs="Times New Roman"/>
          <w:sz w:val="20"/>
          <w:szCs w:val="20"/>
          <w:lang w:val="en-US"/>
        </w:rPr>
        <w:t xml:space="preserve"> at a scan rate of 10 mV/s. Electrochemical impedance spectroscopy (EIS) measurements were subsequently conducted by applying a 5 mV AC amplitude over a frequency range spanning from 0.1 Hz to 100 kHz.</w:t>
      </w:r>
    </w:p>
    <w:p w:rsidR="00FB4EFD" w:rsidRPr="00020735" w:rsidRDefault="00020735" w:rsidP="00FB4EF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20735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Text S1. 4 </w:t>
      </w:r>
      <w:r w:rsidR="00FB4EFD" w:rsidRPr="00020735">
        <w:rPr>
          <w:rFonts w:ascii="Times New Roman" w:hAnsi="Times New Roman" w:cs="Times New Roman"/>
          <w:b/>
          <w:sz w:val="20"/>
          <w:szCs w:val="20"/>
          <w:lang w:val="en-US"/>
        </w:rPr>
        <w:t>Homogeneous and heterogeneous electro-Fenton systems and analysis</w:t>
      </w:r>
    </w:p>
    <w:p w:rsidR="00FB4EFD" w:rsidRPr="00B70BC3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w:r w:rsidRPr="00B70BC3">
        <w:rPr>
          <w:rFonts w:ascii="Times New Roman" w:hAnsi="Times New Roman" w:cs="Times New Roman"/>
          <w:sz w:val="20"/>
          <w:szCs w:val="20"/>
          <w:lang w:val="en-US"/>
        </w:rPr>
        <w:t>The electrochemical degradation experiments were conducted in an electrolytic cell using a laboratory DC power supply to apply controlled currents of 50 mA, 100 mA, and 300 mA. Electro-Fenton (EF) processes were carried out using Pt and BDD anode in response to the CF</w:t>
      </w:r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@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electrode in the electrolytic cell. The distance between the electrodes was kept 2 cm. For EF treatments, 200 mL of a 0.23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CFA solution was utilized. O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gas was passed through the solution for 15 min before electrical current was applied in the EF process. 50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Na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was added as the electrolyte. The pH of the solution was adjusted using either 0.3 M H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or 0.3 M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/>
        </w:rPr>
        <w:t>NaOH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solutions. Samples were collected at intervals times for HPLC analysis. Samples taken for total organic carbon (TOC) analysis were taken through a 0.2 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sym w:font="Symbol" w:char="F06D"/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m PTFE filter. In the experiments carried out using the same sized CF electrode for control purposes, 0.1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FeSO</w:t>
      </w:r>
      <w:r w:rsidRPr="00B70BC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70BC3">
        <w:rPr>
          <w:rFonts w:ascii="Times New Roman" w:hAnsi="Times New Roman" w:cs="Times New Roman"/>
          <w:sz w:val="20"/>
          <w:szCs w:val="20"/>
          <w:lang w:val="en-US"/>
        </w:rPr>
        <w:t xml:space="preserve"> was added to the solution while the pH was adjusted to 3.0. </w:t>
      </w:r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The reactive oxygen species that were effective in oxidizing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clofibric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acid were identified using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pBQ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(10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mM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), TBA (1 M), and </w:t>
      </w: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EtOH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(1 M) radical scavengers.</w:t>
      </w:r>
    </w:p>
    <w:p w:rsidR="00D8322B" w:rsidRPr="00D8322B" w:rsidRDefault="00D8322B" w:rsidP="00D8322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 w:eastAsia="tr-TR"/>
        </w:rPr>
      </w:pPr>
      <w:r w:rsidRPr="00D8322B">
        <w:rPr>
          <w:rFonts w:ascii="Times New Roman" w:hAnsi="Times New Roman" w:cs="Times New Roman"/>
          <w:b/>
          <w:sz w:val="20"/>
          <w:szCs w:val="20"/>
          <w:lang w:val="en-US" w:eastAsia="tr-TR"/>
        </w:rPr>
        <w:t>Text S1. 5 Analytical Procedure</w:t>
      </w:r>
    </w:p>
    <w:p w:rsidR="00FB4EFD" w:rsidRPr="00D8322B" w:rsidRDefault="00FB4EFD" w:rsidP="00D8322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>Clofibric</w:t>
      </w:r>
      <w:proofErr w:type="spellEnd"/>
      <w:r w:rsidRPr="00B70BC3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acid (CFA) concentration was monitored by HPLC (Agilent 1200, USA) analysis at 230 nm using a 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DAD detector and ACE C18 reverse phase column (10 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sym w:font="Symbol" w:char="F0B4"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250 mm, particle size 5 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sym w:font="Symbol" w:char="F06D"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m). A mixture of 40 % (v/v) acetonitrile and 60 % (v/v) ultrapure water (containing 50 mL of 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MeOH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and 4 mL of H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PO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4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in 1 liter) was used as the mobile phase at a flow rate of 0.6 mL/min. </w:t>
      </w:r>
      <w:proofErr w:type="spellStart"/>
      <w:r w:rsidRPr="00D8322B">
        <w:rPr>
          <w:rFonts w:ascii="Times New Roman" w:hAnsi="Times New Roman" w:cs="Times New Roman"/>
          <w:sz w:val="20"/>
          <w:szCs w:val="20"/>
          <w:lang w:val="en-US" w:eastAsia="tr-TR"/>
        </w:rPr>
        <w:t>Clofibric</w:t>
      </w:r>
      <w:proofErr w:type="spellEnd"/>
      <w:r w:rsidRPr="00D8322B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acid degradation was expressed as the ratio of the concentration at time t (C</w:t>
      </w:r>
      <w:r w:rsidRPr="00D8322B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t</w:t>
      </w:r>
      <w:r w:rsidRPr="00D8322B">
        <w:rPr>
          <w:rFonts w:ascii="Times New Roman" w:hAnsi="Times New Roman" w:cs="Times New Roman"/>
          <w:sz w:val="20"/>
          <w:szCs w:val="20"/>
          <w:lang w:val="en-US" w:eastAsia="tr-TR"/>
        </w:rPr>
        <w:t>) to the initial concentration (C</w:t>
      </w:r>
      <w:r w:rsidRPr="00D8322B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0</w:t>
      </w:r>
      <w:r w:rsidRPr="00D8322B">
        <w:rPr>
          <w:rFonts w:ascii="Times New Roman" w:hAnsi="Times New Roman" w:cs="Times New Roman"/>
          <w:sz w:val="20"/>
          <w:szCs w:val="20"/>
          <w:lang w:val="en-US" w:eastAsia="tr-TR"/>
        </w:rPr>
        <w:t>).</w:t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t xml:space="preserve"> The pseudo-first-order rate constant (</w:t>
      </w:r>
      <w:proofErr w:type="spellStart"/>
      <w:r w:rsidRPr="00D8322B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Pr="00D8322B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app</w:t>
      </w:r>
      <w:proofErr w:type="spellEnd"/>
      <w:r w:rsidRPr="00D8322B">
        <w:rPr>
          <w:rFonts w:ascii="Times New Roman" w:hAnsi="Times New Roman" w:cs="Times New Roman"/>
          <w:sz w:val="20"/>
          <w:szCs w:val="20"/>
          <w:lang w:val="en-US"/>
        </w:rPr>
        <w:t xml:space="preserve">) for the oxidation of CFA by </w:t>
      </w:r>
      <w:r w:rsidRPr="00D8322B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sym w:font="Symbol" w:char="F0B7"/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t>OH radicals in the EF process was calculated using Eq. (</w:t>
      </w:r>
      <w:r w:rsidR="00D8322B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1</w:t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sym w:font="Symbol" w:char="F05B"/>
      </w:r>
      <w:r w:rsidRPr="00D8322B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42</w:t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sym w:font="Symbol" w:char="F05D"/>
      </w:r>
      <w:r w:rsidRPr="00D8322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ln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CFA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CFA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app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t</m:t>
        </m:r>
      </m:oMath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  <w:t>(</w:t>
      </w:r>
      <w:r w:rsidR="00D8322B">
        <w:rPr>
          <w:rFonts w:ascii="Times New Roman" w:hAnsi="Times New Roman" w:cs="Times New Roman"/>
          <w:sz w:val="20"/>
          <w:szCs w:val="20"/>
        </w:rPr>
        <w:t>1</w:t>
      </w:r>
      <w:r w:rsidRPr="00FB4EFD">
        <w:rPr>
          <w:rFonts w:ascii="Times New Roman" w:hAnsi="Times New Roman" w:cs="Times New Roman"/>
          <w:sz w:val="20"/>
          <w:szCs w:val="20"/>
        </w:rPr>
        <w:t>)</w:t>
      </w:r>
    </w:p>
    <w:p w:rsidR="00FB4EFD" w:rsidRPr="00FB4EFD" w:rsidRDefault="00FB4EFD" w:rsidP="00FB4EFD">
      <w:pPr>
        <w:spacing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Mineralization of CFA aqueous solution was monitored with TOC analyzer (Shimadzu TOC-L, Japan). Non-</w:t>
      </w:r>
      <w:proofErr w:type="spellStart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Purgeable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Organic Carbon (NPOC) was determined in the method based on determination of CO</w:t>
      </w:r>
      <w:r w:rsidRPr="00FB4EFD">
        <w:rPr>
          <w:rFonts w:ascii="Times New Roman" w:hAnsi="Times New Roman" w:cs="Times New Roman"/>
          <w:sz w:val="20"/>
          <w:szCs w:val="20"/>
          <w:vertAlign w:val="subscript"/>
          <w:lang w:val="en-US" w:eastAsia="tr-TR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 gas formed after combustion at 680 °C on the platinum catalyst surface with NDIR detector. Potassium hydrogen phthalate and sodium carbonate were used for calibration. Mineralization efficiency was calculated using Eq. (</w:t>
      </w:r>
      <w:r w:rsidR="00D8322B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 w:eastAsia="tr-TR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 using the TOC value of the initial (</w:t>
      </w:r>
      <w:r w:rsidRPr="00FB4EFD">
        <w:rPr>
          <w:rFonts w:ascii="Times New Roman" w:hAnsi="Times New Roman" w:cs="Times New Roman"/>
          <w:i/>
          <w:sz w:val="20"/>
          <w:szCs w:val="20"/>
          <w:lang w:val="en-US" w:eastAsia="tr-TR"/>
        </w:rPr>
        <w:t>TOC</w:t>
      </w:r>
      <w:r w:rsidRPr="00FB4EFD">
        <w:rPr>
          <w:rFonts w:ascii="Times New Roman" w:hAnsi="Times New Roman" w:cs="Times New Roman"/>
          <w:i/>
          <w:sz w:val="20"/>
          <w:szCs w:val="20"/>
          <w:vertAlign w:val="subscript"/>
          <w:lang w:val="en-US" w:eastAsia="tr-TR"/>
        </w:rPr>
        <w:t>0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 and post-treatment (</w:t>
      </w:r>
      <w:proofErr w:type="spellStart"/>
      <w:r w:rsidRPr="00FB4EFD">
        <w:rPr>
          <w:rFonts w:ascii="Times New Roman" w:hAnsi="Times New Roman" w:cs="Times New Roman"/>
          <w:i/>
          <w:sz w:val="20"/>
          <w:szCs w:val="20"/>
          <w:lang w:val="en-US" w:eastAsia="tr-TR"/>
        </w:rPr>
        <w:t>TOC</w:t>
      </w:r>
      <w:r w:rsidRPr="00FB4EFD">
        <w:rPr>
          <w:rFonts w:ascii="Times New Roman" w:hAnsi="Times New Roman" w:cs="Times New Roman"/>
          <w:i/>
          <w:sz w:val="20"/>
          <w:szCs w:val="20"/>
          <w:vertAlign w:val="subscript"/>
          <w:lang w:val="en-US" w:eastAsia="tr-TR"/>
        </w:rPr>
        <w:t>t</w:t>
      </w:r>
      <w:proofErr w:type="spellEnd"/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 solutions.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m:oMath>
        <m:r>
          <w:rPr>
            <w:rFonts w:ascii="Cambria Math" w:hAnsi="Cambria Math" w:cs="Times New Roman"/>
            <w:sz w:val="20"/>
            <w:szCs w:val="20"/>
            <w:lang w:val="en-US" w:eastAsia="tr-TR"/>
          </w:rPr>
          <w:lastRenderedPageBreak/>
          <m:t xml:space="preserve">Mineralization 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en-US" w:eastAsia="tr-TR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en-US" w:eastAsia="tr-TR"/>
              </w:rPr>
              <m:t>%</m:t>
            </m:r>
          </m:e>
        </m:d>
        <m:r>
          <w:rPr>
            <w:rFonts w:ascii="Cambria Math" w:hAnsi="Cambria Math" w:cs="Times New Roman"/>
            <w:sz w:val="20"/>
            <w:szCs w:val="20"/>
            <w:lang w:val="en-US" w:eastAsia="tr-TR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en-US" w:eastAsia="tr-TR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 w:eastAsia="tr-T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 w:eastAsia="tr-T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TOC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  <w:lang w:val="en-US" w:eastAsia="tr-T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 w:eastAsia="tr-T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TOC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 w:eastAsia="tr-T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TOC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0"/>
            <w:szCs w:val="20"/>
            <w:lang w:val="en-US" w:eastAsia="tr-TR"/>
          </w:rPr>
          <m:t>×100</m:t>
        </m:r>
      </m:oMath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  <w:t>(</w:t>
      </w:r>
      <w:r w:rsidR="00D8322B">
        <w:rPr>
          <w:rFonts w:ascii="Times New Roman" w:hAnsi="Times New Roman" w:cs="Times New Roman"/>
          <w:sz w:val="20"/>
          <w:szCs w:val="20"/>
          <w:lang w:val="en-US" w:eastAsia="tr-TR"/>
        </w:rPr>
        <w:t>2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The mineralization current efficiency (MCE) was calculated using the removal of TOC (mg C L</w:t>
      </w:r>
      <w:r w:rsidRPr="00FB4EFD">
        <w:rPr>
          <w:rFonts w:ascii="Times New Roman" w:hAnsi="Times New Roman" w:cs="Times New Roman"/>
          <w:sz w:val="20"/>
          <w:szCs w:val="20"/>
          <w:vertAlign w:val="superscript"/>
          <w:lang w:val="en-US" w:eastAsia="tr-TR"/>
        </w:rPr>
        <w:sym w:font="Symbol" w:char="F02D"/>
      </w:r>
      <w:r w:rsidRPr="00FB4EFD">
        <w:rPr>
          <w:rFonts w:ascii="Times New Roman" w:hAnsi="Times New Roman" w:cs="Times New Roman"/>
          <w:sz w:val="20"/>
          <w:szCs w:val="20"/>
          <w:vertAlign w:val="superscript"/>
          <w:lang w:val="en-US" w:eastAsia="tr-TR"/>
        </w:rPr>
        <w:t>1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 value due to applied current and time following Eq. (</w:t>
      </w:r>
      <w:r w:rsidR="00D8322B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 w:eastAsia="tr-TR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 xml:space="preserve">) </w:t>
      </w:r>
      <w:r w:rsidRPr="00FB4EFD">
        <w:rPr>
          <w:rFonts w:ascii="Times New Roman" w:hAnsi="Times New Roman" w:cs="Times New Roman"/>
          <w:sz w:val="20"/>
          <w:szCs w:val="20"/>
        </w:rPr>
        <w:sym w:font="Symbol" w:char="F05B"/>
      </w:r>
      <w:r w:rsidRPr="00FB4EFD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2</w:t>
      </w:r>
      <w:r w:rsidR="00D8322B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5</w:t>
      </w:r>
      <w:r w:rsidRPr="00FB4EFD">
        <w:rPr>
          <w:rFonts w:ascii="Times New Roman" w:hAnsi="Times New Roman" w:cs="Times New Roman"/>
          <w:sz w:val="20"/>
          <w:szCs w:val="20"/>
        </w:rPr>
        <w:sym w:font="Symbol" w:char="F05D"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.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 w:eastAsia="tr-TR"/>
        </w:rPr>
      </w:pPr>
      <m:oMath>
        <m:r>
          <w:rPr>
            <w:rFonts w:ascii="Cambria Math" w:hAnsi="Cambria Math" w:cs="Times New Roman"/>
            <w:sz w:val="20"/>
            <w:szCs w:val="20"/>
            <w:lang w:val="en-US" w:eastAsia="tr-TR"/>
          </w:rPr>
          <m:t xml:space="preserve">MCE 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  <w:lang w:val="en-US" w:eastAsia="tr-TR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en-US" w:eastAsia="tr-TR"/>
              </w:rPr>
              <m:t>%</m:t>
            </m:r>
          </m:e>
        </m:d>
        <m:r>
          <w:rPr>
            <w:rFonts w:ascii="Cambria Math" w:hAnsi="Cambria Math" w:cs="Times New Roman"/>
            <w:sz w:val="20"/>
            <w:szCs w:val="20"/>
            <w:lang w:val="en-US" w:eastAsia="tr-TR"/>
          </w:rPr>
          <m:t xml:space="preserve">=  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 w:eastAsia="tr-TR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 w:eastAsia="tr-TR"/>
              </w:rPr>
              <m:t>nFV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 w:eastAsia="tr-TR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 w:eastAsia="tr-TR"/>
                  </w:rPr>
                  <m:t>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 w:eastAsia="tr-TR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 w:eastAsia="tr-TR"/>
                      </w:rPr>
                      <m:t>TOC</m:t>
                    </m:r>
                  </m:e>
                </m:d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en-US" w:eastAsia="tr-TR"/>
                  </w:rPr>
                  <m:t>exp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 w:eastAsia="tr-TR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 w:eastAsia="tr-TR"/>
                  </w:rPr>
                  <m:t>4.32×10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en-US" w:eastAsia="tr-TR"/>
                  </w:rPr>
                  <m:t>7</m:t>
                </m:r>
              </m:sup>
            </m:sSup>
            <m:r>
              <w:rPr>
                <w:rFonts w:ascii="Cambria Math" w:hAnsi="Cambria Math" w:cs="Times New Roman"/>
                <w:sz w:val="20"/>
                <w:szCs w:val="20"/>
                <w:lang w:val="en-US" w:eastAsia="tr-TR"/>
              </w:rPr>
              <m:t>mIt</m:t>
            </m:r>
          </m:den>
        </m:f>
        <m:r>
          <w:rPr>
            <w:rFonts w:ascii="Cambria Math" w:hAnsi="Cambria Math" w:cs="Times New Roman"/>
            <w:sz w:val="20"/>
            <w:szCs w:val="20"/>
            <w:lang w:val="en-US" w:eastAsia="tr-TR"/>
          </w:rPr>
          <m:t>×100</m:t>
        </m:r>
      </m:oMath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ab/>
        <w:t>(</w:t>
      </w:r>
      <w:r w:rsidR="00D8322B">
        <w:rPr>
          <w:rFonts w:ascii="Times New Roman" w:hAnsi="Times New Roman" w:cs="Times New Roman"/>
          <w:sz w:val="20"/>
          <w:szCs w:val="20"/>
          <w:lang w:val="en-US" w:eastAsia="tr-TR"/>
        </w:rPr>
        <w:t>3</w:t>
      </w:r>
      <w:r w:rsidRPr="00FB4EFD">
        <w:rPr>
          <w:rFonts w:ascii="Times New Roman" w:hAnsi="Times New Roman" w:cs="Times New Roman"/>
          <w:sz w:val="20"/>
          <w:szCs w:val="20"/>
          <w:lang w:val="en-US" w:eastAsia="tr-TR"/>
        </w:rPr>
        <w:t>)</w:t>
      </w:r>
    </w:p>
    <w:p w:rsidR="00FB4EFD" w:rsidRPr="00485788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Here, m is the number of carbon atoms in CFA, </w:t>
      </w:r>
      <w:r w:rsidRPr="00485788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the applied current (A), </w:t>
      </w:r>
      <w:r w:rsidRPr="00485788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the electrolysis time (h), </w:t>
      </w:r>
      <w:r w:rsidRPr="00485788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the solution volume (L), </w:t>
      </w:r>
      <w:r w:rsidRPr="00485788">
        <w:rPr>
          <w:rFonts w:ascii="Times New Roman" w:hAnsi="Times New Roman" w:cs="Times New Roman"/>
          <w:i/>
          <w:sz w:val="20"/>
          <w:szCs w:val="20"/>
          <w:lang w:val="en-US"/>
        </w:rPr>
        <w:t>Δ(TOC)</w:t>
      </w:r>
      <w:proofErr w:type="spellStart"/>
      <w:r w:rsidRPr="00485788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exp</w:t>
      </w:r>
      <w:proofErr w:type="spellEnd"/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the experimental TOC decay (mg L</w:t>
      </w:r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sym w:font="Symbol" w:char="F02D"/>
      </w:r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), and 4.32 × 10</w:t>
      </w:r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7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a unit conversion factor, </w:t>
      </w:r>
      <w:r w:rsidRPr="00485788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is the Faraday constant (96485 C </w:t>
      </w:r>
      <w:proofErr w:type="spellStart"/>
      <w:r w:rsidRPr="00485788">
        <w:rPr>
          <w:rFonts w:ascii="Times New Roman" w:hAnsi="Times New Roman" w:cs="Times New Roman"/>
          <w:sz w:val="20"/>
          <w:szCs w:val="20"/>
          <w:lang w:val="en-US"/>
        </w:rPr>
        <w:t>mol</w:t>
      </w:r>
      <w:proofErr w:type="spellEnd"/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sym w:font="Symbol" w:char="F02D"/>
      </w:r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), and n is the number of electrons it consumes per mole to mineralize the target molecule.</w:t>
      </w:r>
    </w:p>
    <w:p w:rsidR="00FB4EFD" w:rsidRPr="00485788" w:rsidRDefault="00FB4EFD" w:rsidP="00FB4EFD">
      <w:pPr>
        <w:spacing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85788">
        <w:rPr>
          <w:rFonts w:ascii="Times New Roman" w:hAnsi="Times New Roman" w:cs="Times New Roman"/>
          <w:sz w:val="20"/>
          <w:szCs w:val="20"/>
          <w:lang w:val="en-US"/>
        </w:rPr>
        <w:t>The mineralization of CFA (C</w:t>
      </w:r>
      <w:r w:rsidRPr="004857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10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4857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11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ClO</w:t>
      </w:r>
      <w:r w:rsidRPr="004857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) into CO</w:t>
      </w:r>
      <w:r w:rsidRPr="0048578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and Cl</w:t>
      </w:r>
      <w:r w:rsidRPr="0048578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 xml:space="preserve"> ions occurs with the transfer of 44 electrons, as shown in Eq. (</w:t>
      </w:r>
      <w:r w:rsidR="00485788" w:rsidRPr="00485788">
        <w:rPr>
          <w:rFonts w:ascii="Times New Roman" w:hAnsi="Times New Roman" w:cs="Times New Roman"/>
          <w:color w:val="2E74B5" w:themeColor="accent1" w:themeShade="BF"/>
          <w:sz w:val="20"/>
          <w:szCs w:val="20"/>
          <w:lang w:val="en-US"/>
        </w:rPr>
        <w:t>4</w:t>
      </w:r>
      <w:r w:rsidRPr="00485788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FB4EFD" w:rsidRPr="00FB4EFD" w:rsidRDefault="00FB4EFD" w:rsidP="00FB4E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EFD">
        <w:rPr>
          <w:rFonts w:ascii="Times New Roman" w:hAnsi="Times New Roman" w:cs="Times New Roman"/>
          <w:sz w:val="20"/>
          <w:szCs w:val="20"/>
        </w:rPr>
        <w:t>C</w:t>
      </w:r>
      <w:r w:rsidRPr="00FB4EFD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FB4EFD">
        <w:rPr>
          <w:rFonts w:ascii="Times New Roman" w:hAnsi="Times New Roman" w:cs="Times New Roman"/>
          <w:sz w:val="20"/>
          <w:szCs w:val="20"/>
        </w:rPr>
        <w:t>H</w:t>
      </w:r>
      <w:r w:rsidRPr="00FB4EFD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FB4EFD">
        <w:rPr>
          <w:rFonts w:ascii="Times New Roman" w:hAnsi="Times New Roman" w:cs="Times New Roman"/>
          <w:sz w:val="20"/>
          <w:szCs w:val="20"/>
        </w:rPr>
        <w:t>ClO</w:t>
      </w:r>
      <w:r w:rsidRPr="00FB4EF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FB4EFD">
        <w:rPr>
          <w:rFonts w:ascii="Times New Roman" w:hAnsi="Times New Roman" w:cs="Times New Roman"/>
          <w:sz w:val="20"/>
          <w:szCs w:val="20"/>
        </w:rPr>
        <w:t xml:space="preserve"> + 17H</w:t>
      </w:r>
      <w:r w:rsidRPr="00FB4EF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4EFD">
        <w:rPr>
          <w:rFonts w:ascii="Times New Roman" w:hAnsi="Times New Roman" w:cs="Times New Roman"/>
          <w:sz w:val="20"/>
          <w:szCs w:val="20"/>
        </w:rPr>
        <w:t>O → 10CO</w:t>
      </w:r>
      <w:r w:rsidRPr="00FB4EF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B4EFD">
        <w:rPr>
          <w:rFonts w:ascii="Times New Roman" w:hAnsi="Times New Roman" w:cs="Times New Roman"/>
          <w:sz w:val="20"/>
          <w:szCs w:val="20"/>
        </w:rPr>
        <w:t xml:space="preserve"> + Cl</w:t>
      </w:r>
      <w:r w:rsidRPr="00FB4EFD">
        <w:rPr>
          <w:rFonts w:ascii="Times New Roman" w:hAnsi="Times New Roman" w:cs="Times New Roman"/>
          <w:sz w:val="20"/>
          <w:szCs w:val="20"/>
          <w:vertAlign w:val="superscript"/>
        </w:rPr>
        <w:sym w:font="Symbol" w:char="F02D"/>
      </w:r>
      <w:r w:rsidRPr="00FB4EFD">
        <w:rPr>
          <w:rFonts w:ascii="Times New Roman" w:hAnsi="Times New Roman" w:cs="Times New Roman"/>
          <w:sz w:val="20"/>
          <w:szCs w:val="20"/>
        </w:rPr>
        <w:t xml:space="preserve"> + 45H</w:t>
      </w:r>
      <w:r w:rsidRPr="00FB4EFD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FB4EFD">
        <w:rPr>
          <w:rFonts w:ascii="Times New Roman" w:hAnsi="Times New Roman" w:cs="Times New Roman"/>
          <w:sz w:val="20"/>
          <w:szCs w:val="20"/>
        </w:rPr>
        <w:t xml:space="preserve"> + 44e</w:t>
      </w:r>
      <w:r w:rsidRPr="00FB4EFD">
        <w:rPr>
          <w:rFonts w:ascii="Times New Roman" w:hAnsi="Times New Roman" w:cs="Times New Roman"/>
          <w:sz w:val="20"/>
          <w:szCs w:val="20"/>
          <w:vertAlign w:val="superscript"/>
        </w:rPr>
        <w:sym w:font="Symbol" w:char="F02D"/>
      </w:r>
      <w:r w:rsidRPr="00FB4EFD">
        <w:rPr>
          <w:rFonts w:ascii="Times New Roman" w:hAnsi="Times New Roman" w:cs="Times New Roman"/>
          <w:sz w:val="20"/>
          <w:szCs w:val="20"/>
        </w:rPr>
        <w:t xml:space="preserve"> </w:t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</w:r>
      <w:r w:rsidRPr="00FB4EFD">
        <w:rPr>
          <w:rFonts w:ascii="Times New Roman" w:hAnsi="Times New Roman" w:cs="Times New Roman"/>
          <w:sz w:val="20"/>
          <w:szCs w:val="20"/>
        </w:rPr>
        <w:tab/>
        <w:t>(</w:t>
      </w:r>
      <w:r w:rsidR="00485788">
        <w:rPr>
          <w:rFonts w:ascii="Times New Roman" w:hAnsi="Times New Roman" w:cs="Times New Roman"/>
          <w:sz w:val="20"/>
          <w:szCs w:val="20"/>
        </w:rPr>
        <w:t>4</w:t>
      </w:r>
      <w:r w:rsidRPr="00FB4EFD">
        <w:rPr>
          <w:rFonts w:ascii="Times New Roman" w:hAnsi="Times New Roman" w:cs="Times New Roman"/>
          <w:sz w:val="20"/>
          <w:szCs w:val="20"/>
        </w:rPr>
        <w:t>)</w:t>
      </w:r>
    </w:p>
    <w:p w:rsidR="00FD106A" w:rsidRPr="000F00BA" w:rsidRDefault="00FD106A" w:rsidP="00FD106A">
      <w:pPr>
        <w:spacing w:line="360" w:lineRule="auto"/>
        <w:jc w:val="both"/>
        <w:rPr>
          <w:sz w:val="20"/>
          <w:szCs w:val="20"/>
        </w:rPr>
      </w:pPr>
      <w:proofErr w:type="spellStart"/>
      <w:r w:rsidRPr="000F00BA">
        <w:rPr>
          <w:b/>
          <w:sz w:val="20"/>
          <w:szCs w:val="20"/>
        </w:rPr>
        <w:t>Table</w:t>
      </w:r>
      <w:proofErr w:type="spellEnd"/>
      <w:r w:rsidRPr="000F00B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</w:t>
      </w:r>
      <w:r w:rsidRPr="000F00BA">
        <w:rPr>
          <w:b/>
          <w:sz w:val="20"/>
          <w:szCs w:val="20"/>
        </w:rPr>
        <w:t xml:space="preserve">1. </w:t>
      </w:r>
      <w:proofErr w:type="spellStart"/>
      <w:r w:rsidRPr="000F00BA">
        <w:rPr>
          <w:sz w:val="20"/>
          <w:szCs w:val="20"/>
        </w:rPr>
        <w:t>The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apparent</w:t>
      </w:r>
      <w:proofErr w:type="spellEnd"/>
      <w:r w:rsidRPr="000F00BA">
        <w:rPr>
          <w:sz w:val="20"/>
          <w:szCs w:val="20"/>
        </w:rPr>
        <w:t xml:space="preserve"> rate </w:t>
      </w:r>
      <w:proofErr w:type="spellStart"/>
      <w:r w:rsidRPr="000F00BA">
        <w:rPr>
          <w:sz w:val="20"/>
          <w:szCs w:val="20"/>
        </w:rPr>
        <w:t>constant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and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correlation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coefficient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and</w:t>
      </w:r>
      <w:proofErr w:type="spellEnd"/>
      <w:r w:rsidRPr="000F00BA">
        <w:rPr>
          <w:sz w:val="20"/>
          <w:szCs w:val="20"/>
        </w:rPr>
        <w:t xml:space="preserve"> MCE </w:t>
      </w:r>
      <w:proofErr w:type="spellStart"/>
      <w:r w:rsidRPr="000F00BA">
        <w:rPr>
          <w:sz w:val="20"/>
          <w:szCs w:val="20"/>
        </w:rPr>
        <w:t>values</w:t>
      </w:r>
      <w:proofErr w:type="spellEnd"/>
      <w:r w:rsidRPr="000F00BA">
        <w:rPr>
          <w:sz w:val="20"/>
          <w:szCs w:val="20"/>
        </w:rPr>
        <w:t xml:space="preserve"> ​​</w:t>
      </w:r>
      <w:proofErr w:type="spellStart"/>
      <w:r w:rsidRPr="000F00BA">
        <w:rPr>
          <w:sz w:val="20"/>
          <w:szCs w:val="20"/>
        </w:rPr>
        <w:t>obtained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depending</w:t>
      </w:r>
      <w:proofErr w:type="spellEnd"/>
      <w:r w:rsidRPr="000F00BA">
        <w:rPr>
          <w:sz w:val="20"/>
          <w:szCs w:val="20"/>
        </w:rPr>
        <w:t xml:space="preserve"> on </w:t>
      </w:r>
      <w:proofErr w:type="spellStart"/>
      <w:r w:rsidRPr="000F00BA">
        <w:rPr>
          <w:sz w:val="20"/>
          <w:szCs w:val="20"/>
        </w:rPr>
        <w:t>the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applied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current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with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different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anode</w:t>
      </w:r>
      <w:proofErr w:type="spellEnd"/>
      <w:r w:rsidRPr="000F00BA">
        <w:rPr>
          <w:sz w:val="20"/>
          <w:szCs w:val="20"/>
        </w:rPr>
        <w:t>/</w:t>
      </w:r>
      <w:proofErr w:type="spellStart"/>
      <w:r w:rsidRPr="000F00BA">
        <w:rPr>
          <w:sz w:val="20"/>
          <w:szCs w:val="20"/>
        </w:rPr>
        <w:t>cathode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pairs</w:t>
      </w:r>
      <w:proofErr w:type="spellEnd"/>
      <w:r w:rsidRPr="000F00BA">
        <w:rPr>
          <w:sz w:val="20"/>
          <w:szCs w:val="20"/>
        </w:rPr>
        <w:t xml:space="preserve"> </w:t>
      </w:r>
      <w:proofErr w:type="spellStart"/>
      <w:r w:rsidRPr="000F00BA">
        <w:rPr>
          <w:sz w:val="20"/>
          <w:szCs w:val="20"/>
        </w:rPr>
        <w:t>used</w:t>
      </w:r>
      <w:proofErr w:type="spellEnd"/>
      <w:r w:rsidRPr="000F00BA">
        <w:rPr>
          <w:sz w:val="20"/>
          <w:szCs w:val="20"/>
        </w:rPr>
        <w:t xml:space="preserve"> in CFA </w:t>
      </w:r>
      <w:proofErr w:type="spellStart"/>
      <w:r w:rsidRPr="000F00BA">
        <w:rPr>
          <w:sz w:val="20"/>
          <w:szCs w:val="20"/>
        </w:rPr>
        <w:t>oxidation</w:t>
      </w:r>
      <w:proofErr w:type="spell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036"/>
        <w:gridCol w:w="1036"/>
        <w:gridCol w:w="1077"/>
        <w:gridCol w:w="1268"/>
        <w:gridCol w:w="1276"/>
        <w:gridCol w:w="1134"/>
      </w:tblGrid>
      <w:tr w:rsidR="00FD106A" w:rsidTr="00CD49F5">
        <w:tc>
          <w:tcPr>
            <w:tcW w:w="1957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proofErr w:type="spellStart"/>
            <w:r w:rsidRPr="000F00BA">
              <w:rPr>
                <w:sz w:val="20"/>
                <w:szCs w:val="20"/>
              </w:rPr>
              <w:t>k</w:t>
            </w:r>
            <w:r w:rsidRPr="000F00BA">
              <w:rPr>
                <w:sz w:val="20"/>
                <w:szCs w:val="20"/>
                <w:vertAlign w:val="subscript"/>
              </w:rPr>
              <w:t>app</w:t>
            </w:r>
            <w:proofErr w:type="spellEnd"/>
            <w:r w:rsidRPr="000F00BA">
              <w:rPr>
                <w:sz w:val="20"/>
                <w:szCs w:val="20"/>
                <w:vertAlign w:val="subscript"/>
              </w:rPr>
              <w:t xml:space="preserve"> </w:t>
            </w:r>
            <w:r w:rsidRPr="000F00BA">
              <w:rPr>
                <w:sz w:val="20"/>
                <w:szCs w:val="20"/>
              </w:rPr>
              <w:t>(min</w:t>
            </w:r>
            <w:r w:rsidRPr="000F00BA">
              <w:rPr>
                <w:sz w:val="20"/>
                <w:szCs w:val="20"/>
                <w:vertAlign w:val="superscript"/>
              </w:rPr>
              <w:t>-1</w:t>
            </w:r>
            <w:r w:rsidRPr="000F00BA">
              <w:rPr>
                <w:sz w:val="20"/>
                <w:szCs w:val="20"/>
              </w:rPr>
              <w:t xml:space="preserve">) 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(R</w:t>
            </w:r>
            <w:r w:rsidRPr="000F00BA">
              <w:rPr>
                <w:sz w:val="20"/>
                <w:szCs w:val="20"/>
                <w:vertAlign w:val="superscript"/>
              </w:rPr>
              <w:t>2</w:t>
            </w:r>
            <w:r w:rsidRPr="000F00BA">
              <w:rPr>
                <w:sz w:val="20"/>
                <w:szCs w:val="20"/>
              </w:rPr>
              <w:t>)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MCE (%)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3 / 5 h</w:t>
            </w:r>
          </w:p>
        </w:tc>
      </w:tr>
      <w:tr w:rsidR="00FD106A" w:rsidTr="00CD49F5">
        <w:tc>
          <w:tcPr>
            <w:tcW w:w="1957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Current</w:t>
            </w:r>
          </w:p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Cathode / Anode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50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100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300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50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100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  <w:r w:rsidRPr="000F00BA">
              <w:rPr>
                <w:sz w:val="20"/>
                <w:szCs w:val="20"/>
                <w:u w:val="single"/>
              </w:rPr>
              <w:t>300 mA</w:t>
            </w:r>
          </w:p>
          <w:p w:rsidR="00FD106A" w:rsidRPr="000F00BA" w:rsidRDefault="00FD106A" w:rsidP="00CD49F5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D106A" w:rsidTr="00CD49F5">
        <w:tc>
          <w:tcPr>
            <w:tcW w:w="1957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CF / Pt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 xml:space="preserve">0.1184 </w:t>
            </w:r>
          </w:p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(0.9951)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0.0789 (0.9989)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0.0469 (0.9946)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27.2 / 19.3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5.9 / 4.9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1.2 / 1.6</w:t>
            </w:r>
          </w:p>
        </w:tc>
      </w:tr>
      <w:tr w:rsidR="00FD106A" w:rsidTr="00CD49F5">
        <w:tc>
          <w:tcPr>
            <w:tcW w:w="1957" w:type="dxa"/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CF@Fe</w:t>
            </w:r>
            <w:r w:rsidRPr="000F00BA">
              <w:rPr>
                <w:sz w:val="20"/>
                <w:szCs w:val="20"/>
                <w:vertAlign w:val="subscript"/>
              </w:rPr>
              <w:t>3</w:t>
            </w:r>
            <w:r w:rsidRPr="000F00BA">
              <w:rPr>
                <w:sz w:val="20"/>
                <w:szCs w:val="20"/>
              </w:rPr>
              <w:t>O</w:t>
            </w:r>
            <w:r w:rsidRPr="000F00BA">
              <w:rPr>
                <w:sz w:val="20"/>
                <w:szCs w:val="20"/>
                <w:vertAlign w:val="subscript"/>
              </w:rPr>
              <w:t xml:space="preserve">4 </w:t>
            </w:r>
            <w:r w:rsidRPr="000F00BA">
              <w:rPr>
                <w:sz w:val="20"/>
                <w:szCs w:val="20"/>
              </w:rPr>
              <w:t>/ Pt</w:t>
            </w:r>
          </w:p>
        </w:tc>
        <w:tc>
          <w:tcPr>
            <w:tcW w:w="1036" w:type="dxa"/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0.2266 (0.9983)</w:t>
            </w:r>
          </w:p>
        </w:tc>
        <w:tc>
          <w:tcPr>
            <w:tcW w:w="1036" w:type="dxa"/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0.1717 (0.9953)</w:t>
            </w:r>
          </w:p>
        </w:tc>
        <w:tc>
          <w:tcPr>
            <w:tcW w:w="1077" w:type="dxa"/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0.0695 (0.9785)</w:t>
            </w:r>
          </w:p>
        </w:tc>
        <w:tc>
          <w:tcPr>
            <w:tcW w:w="1268" w:type="dxa"/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29.2 / 19.5</w:t>
            </w:r>
          </w:p>
        </w:tc>
        <w:tc>
          <w:tcPr>
            <w:tcW w:w="1276" w:type="dxa"/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10.8 / 8.3</w:t>
            </w:r>
          </w:p>
        </w:tc>
        <w:tc>
          <w:tcPr>
            <w:tcW w:w="1134" w:type="dxa"/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1.7 / 2.0</w:t>
            </w:r>
          </w:p>
        </w:tc>
      </w:tr>
      <w:tr w:rsidR="00FD106A" w:rsidTr="00CD49F5">
        <w:tc>
          <w:tcPr>
            <w:tcW w:w="1957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CF@Fe</w:t>
            </w:r>
            <w:r w:rsidRPr="000F00BA">
              <w:rPr>
                <w:sz w:val="20"/>
                <w:szCs w:val="20"/>
                <w:vertAlign w:val="subscript"/>
              </w:rPr>
              <w:t>3</w:t>
            </w:r>
            <w:r w:rsidRPr="000F00BA">
              <w:rPr>
                <w:sz w:val="20"/>
                <w:szCs w:val="20"/>
              </w:rPr>
              <w:t>O</w:t>
            </w:r>
            <w:r w:rsidRPr="000F00BA">
              <w:rPr>
                <w:sz w:val="20"/>
                <w:szCs w:val="20"/>
                <w:vertAlign w:val="subscript"/>
              </w:rPr>
              <w:t>4</w:t>
            </w:r>
            <w:r w:rsidRPr="000F00BA">
              <w:rPr>
                <w:sz w:val="20"/>
                <w:szCs w:val="20"/>
              </w:rPr>
              <w:t>/ BDD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0.2389 (0.9973)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0.1020 (0.9967)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both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0.0484 (0.9959)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32.7 / 22.2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18.1 / 12.1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106A" w:rsidRPr="000F00BA" w:rsidRDefault="00FD106A" w:rsidP="00CD49F5">
            <w:pPr>
              <w:jc w:val="center"/>
              <w:rPr>
                <w:sz w:val="20"/>
                <w:szCs w:val="20"/>
              </w:rPr>
            </w:pPr>
            <w:r w:rsidRPr="000F00BA">
              <w:rPr>
                <w:sz w:val="20"/>
                <w:szCs w:val="20"/>
              </w:rPr>
              <w:t>6.2 / 4.2</w:t>
            </w:r>
          </w:p>
        </w:tc>
      </w:tr>
    </w:tbl>
    <w:p w:rsidR="00FB4EFD" w:rsidRPr="00FB4EFD" w:rsidRDefault="00FB4EFD" w:rsidP="007B2026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FB4EFD" w:rsidRPr="00FB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26"/>
    <w:rsid w:val="00020735"/>
    <w:rsid w:val="00485788"/>
    <w:rsid w:val="007B2026"/>
    <w:rsid w:val="00B70BC3"/>
    <w:rsid w:val="00D8322B"/>
    <w:rsid w:val="00F4422C"/>
    <w:rsid w:val="00FB4EFD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1FD8"/>
  <w15:chartTrackingRefBased/>
  <w15:docId w15:val="{861A8638-527A-48A0-BFDF-D133A04E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06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user677</dc:creator>
  <cp:keywords/>
  <dc:description/>
  <cp:lastModifiedBy>user677</cp:lastModifiedBy>
  <cp:revision>7</cp:revision>
  <dcterms:created xsi:type="dcterms:W3CDTF">2025-06-20T18:10:00Z</dcterms:created>
  <dcterms:modified xsi:type="dcterms:W3CDTF">2025-06-20T19:15:00Z</dcterms:modified>
</cp:coreProperties>
</file>