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49983" w14:textId="77777777" w:rsidR="001E5F34" w:rsidRPr="00280FCC" w:rsidRDefault="001E5F34" w:rsidP="001E5F34">
      <w:pPr>
        <w:spacing w:after="0" w:line="480" w:lineRule="auto"/>
        <w:jc w:val="center"/>
        <w:rPr>
          <w:rFonts w:ascii="Arial" w:hAnsi="Arial" w:cs="Arial"/>
          <w:b/>
          <w:bCs/>
          <w:sz w:val="32"/>
          <w:szCs w:val="32"/>
        </w:rPr>
      </w:pPr>
      <w:r w:rsidRPr="00DB3EE1">
        <w:rPr>
          <w:rFonts w:ascii="Arial" w:hAnsi="Arial" w:cs="Arial"/>
          <w:b/>
          <w:bCs/>
          <w:sz w:val="32"/>
          <w:szCs w:val="32"/>
        </w:rPr>
        <w:t>SUPPLEMENTARY MATERIAL</w:t>
      </w:r>
    </w:p>
    <w:p w14:paraId="7B220D0E" w14:textId="77777777" w:rsidR="001E5F34" w:rsidRPr="00353201" w:rsidRDefault="001E5F34" w:rsidP="001E5F34">
      <w:pPr>
        <w:spacing w:after="0" w:line="480" w:lineRule="auto"/>
        <w:rPr>
          <w:rFonts w:ascii="Arial" w:hAnsi="Arial" w:cs="Arial"/>
          <w:sz w:val="28"/>
          <w:szCs w:val="28"/>
          <w:u w:val="single"/>
        </w:rPr>
      </w:pPr>
      <w:r>
        <w:rPr>
          <w:rFonts w:ascii="Arial" w:hAnsi="Arial" w:cs="Arial"/>
          <w:sz w:val="28"/>
          <w:szCs w:val="28"/>
          <w:u w:val="single"/>
        </w:rPr>
        <w:t>AlN PEALD Development</w:t>
      </w:r>
    </w:p>
    <w:p w14:paraId="645BC373" w14:textId="77777777" w:rsidR="001E5F34" w:rsidRDefault="001E5F34" w:rsidP="001E5F3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dose and exposure-saturation behavior of the binary PEALD AlN films were determined in real-time by </w:t>
      </w:r>
      <w:r w:rsidRPr="004157FE">
        <w:rPr>
          <w:rFonts w:ascii="Times New Roman" w:hAnsi="Times New Roman" w:cs="Times New Roman"/>
          <w:i/>
          <w:iCs/>
          <w:sz w:val="24"/>
          <w:szCs w:val="24"/>
        </w:rPr>
        <w:t>in situ</w:t>
      </w:r>
      <w:r>
        <w:rPr>
          <w:rFonts w:ascii="Times New Roman" w:hAnsi="Times New Roman" w:cs="Times New Roman"/>
          <w:sz w:val="24"/>
          <w:szCs w:val="24"/>
        </w:rPr>
        <w:t xml:space="preserve"> multi-wavelength ellipsometry. The modeled thickness and index of the evolving AlN film grown on untreated 150 mm Si (100) substrates </w:t>
      </w:r>
      <w:r w:rsidRPr="000B3988">
        <w:rPr>
          <w:rFonts w:ascii="Times New Roman" w:hAnsi="Times New Roman" w:cs="Times New Roman"/>
          <w:sz w:val="24"/>
          <w:szCs w:val="24"/>
        </w:rPr>
        <w:t xml:space="preserve">at </w:t>
      </w:r>
      <w:r>
        <w:rPr>
          <w:rFonts w:ascii="Times New Roman" w:hAnsi="Times New Roman" w:cs="Times New Roman"/>
          <w:sz w:val="24"/>
          <w:szCs w:val="24"/>
        </w:rPr>
        <w:t xml:space="preserve">a 215 </w:t>
      </w:r>
      <w:r w:rsidRPr="000B3988">
        <w:rPr>
          <w:rFonts w:ascii="Times New Roman" w:hAnsi="Times New Roman" w:cs="Times New Roman"/>
          <w:sz w:val="24"/>
          <w:szCs w:val="24"/>
        </w:rPr>
        <w:t>°C substrate temperature</w:t>
      </w:r>
      <w:r>
        <w:rPr>
          <w:rFonts w:ascii="Times New Roman" w:hAnsi="Times New Roman" w:cs="Times New Roman"/>
          <w:sz w:val="24"/>
          <w:szCs w:val="24"/>
        </w:rPr>
        <w:t xml:space="preserve"> are shown in Fig. S1. Here, we define the TMA dose time as the length of time the ALD valve between the TMA ampoule and the chamber remained open. The exposure time is defined by the amount of time the TMA resided in the chamber, which was controlled by fully opening and closing a downstream throttle valve.</w:t>
      </w:r>
      <w:r w:rsidRPr="00EB6360" w:rsidDel="002F6F97">
        <w:rPr>
          <w:rFonts w:ascii="Times New Roman" w:hAnsi="Times New Roman" w:cs="Times New Roman"/>
          <w:sz w:val="24"/>
          <w:szCs w:val="24"/>
        </w:rPr>
        <w:t xml:space="preserve"> </w:t>
      </w:r>
      <w:r w:rsidRPr="00616AA2" w:rsidDel="002F6F97">
        <w:rPr>
          <w:rFonts w:ascii="Times New Roman" w:hAnsi="Times New Roman" w:cs="Times New Roman"/>
          <w:sz w:val="24"/>
          <w:szCs w:val="24"/>
        </w:rPr>
        <w:t xml:space="preserve">For this investigation, the </w:t>
      </w:r>
      <w:r>
        <w:rPr>
          <w:rFonts w:ascii="Times New Roman" w:hAnsi="Times New Roman" w:cs="Times New Roman"/>
          <w:sz w:val="24"/>
          <w:szCs w:val="24"/>
        </w:rPr>
        <w:t>TMA</w:t>
      </w:r>
      <w:r w:rsidRPr="00616AA2" w:rsidDel="002F6F97">
        <w:rPr>
          <w:rFonts w:ascii="Times New Roman" w:hAnsi="Times New Roman" w:cs="Times New Roman"/>
          <w:sz w:val="24"/>
          <w:szCs w:val="24"/>
        </w:rPr>
        <w:t xml:space="preserve"> and N</w:t>
      </w:r>
      <w:r w:rsidRPr="00616AA2" w:rsidDel="002F6F97">
        <w:rPr>
          <w:rFonts w:ascii="Times New Roman" w:hAnsi="Times New Roman" w:cs="Times New Roman"/>
          <w:sz w:val="24"/>
          <w:szCs w:val="24"/>
          <w:vertAlign w:val="subscript"/>
        </w:rPr>
        <w:t>2</w:t>
      </w:r>
      <w:r w:rsidRPr="00616AA2" w:rsidDel="002F6F97">
        <w:rPr>
          <w:rFonts w:ascii="Times New Roman" w:hAnsi="Times New Roman" w:cs="Times New Roman"/>
          <w:sz w:val="24"/>
          <w:szCs w:val="24"/>
        </w:rPr>
        <w:t>-H</w:t>
      </w:r>
      <w:r w:rsidRPr="00616AA2" w:rsidDel="002F6F97">
        <w:rPr>
          <w:rFonts w:ascii="Times New Roman" w:hAnsi="Times New Roman" w:cs="Times New Roman"/>
          <w:sz w:val="24"/>
          <w:szCs w:val="24"/>
          <w:vertAlign w:val="subscript"/>
        </w:rPr>
        <w:t xml:space="preserve">2 </w:t>
      </w:r>
      <w:r w:rsidRPr="00616AA2" w:rsidDel="002F6F97">
        <w:rPr>
          <w:rFonts w:ascii="Times New Roman" w:hAnsi="Times New Roman" w:cs="Times New Roman"/>
          <w:sz w:val="24"/>
          <w:szCs w:val="24"/>
        </w:rPr>
        <w:t xml:space="preserve">plasma purge times remained fixed at 30 </w:t>
      </w:r>
      <w:r>
        <w:rPr>
          <w:rFonts w:ascii="Times New Roman" w:hAnsi="Times New Roman" w:cs="Times New Roman"/>
          <w:sz w:val="24"/>
          <w:szCs w:val="24"/>
        </w:rPr>
        <w:t xml:space="preserve">and 10 s, respectively. These extended purge times </w:t>
      </w:r>
      <w:r w:rsidRPr="00616AA2">
        <w:rPr>
          <w:rFonts w:ascii="Times New Roman" w:hAnsi="Times New Roman" w:cs="Times New Roman"/>
          <w:sz w:val="24"/>
          <w:szCs w:val="24"/>
        </w:rPr>
        <w:t xml:space="preserve">ensured </w:t>
      </w:r>
      <w:r>
        <w:rPr>
          <w:rFonts w:ascii="Times New Roman" w:hAnsi="Times New Roman" w:cs="Times New Roman"/>
          <w:sz w:val="24"/>
          <w:szCs w:val="24"/>
        </w:rPr>
        <w:t xml:space="preserve">the </w:t>
      </w:r>
      <w:r w:rsidRPr="00616AA2">
        <w:rPr>
          <w:rFonts w:ascii="Times New Roman" w:hAnsi="Times New Roman" w:cs="Times New Roman"/>
          <w:sz w:val="24"/>
          <w:szCs w:val="24"/>
        </w:rPr>
        <w:t xml:space="preserve">complete removal </w:t>
      </w:r>
      <w:r>
        <w:rPr>
          <w:rFonts w:ascii="Times New Roman" w:hAnsi="Times New Roman" w:cs="Times New Roman"/>
          <w:sz w:val="24"/>
          <w:szCs w:val="24"/>
        </w:rPr>
        <w:t xml:space="preserve">of any remaining precursor and/or reaction byproducts </w:t>
      </w:r>
      <w:r w:rsidRPr="00616AA2">
        <w:rPr>
          <w:rFonts w:ascii="Times New Roman" w:hAnsi="Times New Roman" w:cs="Times New Roman"/>
          <w:sz w:val="24"/>
          <w:szCs w:val="24"/>
        </w:rPr>
        <w:t xml:space="preserve">during </w:t>
      </w:r>
      <w:r>
        <w:rPr>
          <w:rFonts w:ascii="Times New Roman" w:hAnsi="Times New Roman" w:cs="Times New Roman"/>
          <w:sz w:val="24"/>
          <w:szCs w:val="24"/>
        </w:rPr>
        <w:t xml:space="preserve">the </w:t>
      </w:r>
      <w:r w:rsidRPr="00616AA2">
        <w:rPr>
          <w:rFonts w:ascii="Times New Roman" w:hAnsi="Times New Roman" w:cs="Times New Roman"/>
          <w:sz w:val="24"/>
          <w:szCs w:val="24"/>
        </w:rPr>
        <w:t>purge steps.</w:t>
      </w:r>
      <w:r>
        <w:rPr>
          <w:rFonts w:ascii="Times New Roman" w:hAnsi="Times New Roman" w:cs="Times New Roman"/>
          <w:sz w:val="24"/>
          <w:szCs w:val="24"/>
        </w:rPr>
        <w:t xml:space="preserve"> </w:t>
      </w:r>
    </w:p>
    <w:p w14:paraId="2F660C3D" w14:textId="77777777" w:rsidR="001E5F34" w:rsidRDefault="001E5F34" w:rsidP="001E5F34">
      <w:pPr>
        <w:rPr>
          <w:rFonts w:ascii="Times New Roman" w:hAnsi="Times New Roman" w:cs="Times New Roman"/>
          <w:sz w:val="24"/>
          <w:szCs w:val="24"/>
        </w:rPr>
      </w:pPr>
    </w:p>
    <w:p w14:paraId="78F0447E" w14:textId="77777777" w:rsidR="001E5F34" w:rsidRPr="00B00AD1" w:rsidRDefault="001E5F34" w:rsidP="001E5F34">
      <w:pPr>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0288" behindDoc="0" locked="0" layoutInCell="1" allowOverlap="1" wp14:anchorId="3AD231B2" wp14:editId="2CC95F1E">
            <wp:simplePos x="0" y="0"/>
            <wp:positionH relativeFrom="column">
              <wp:posOffset>1285875</wp:posOffset>
            </wp:positionH>
            <wp:positionV relativeFrom="paragraph">
              <wp:posOffset>0</wp:posOffset>
            </wp:positionV>
            <wp:extent cx="2974340" cy="6648450"/>
            <wp:effectExtent l="0" t="0" r="0" b="0"/>
            <wp:wrapTopAndBottom/>
            <wp:docPr id="134541419" name="Picture 1" descr="Chart,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41419" name="Picture 1" descr="Chart, diagram&#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74340" cy="6648450"/>
                    </a:xfrm>
                    <a:prstGeom prst="rect">
                      <a:avLst/>
                    </a:prstGeom>
                    <a:noFill/>
                  </pic:spPr>
                </pic:pic>
              </a:graphicData>
            </a:graphic>
            <wp14:sizeRelH relativeFrom="margin">
              <wp14:pctWidth>0</wp14:pctWidth>
            </wp14:sizeRelH>
            <wp14:sizeRelV relativeFrom="margin">
              <wp14:pctHeight>0</wp14:pctHeight>
            </wp14:sizeRelV>
          </wp:anchor>
        </w:drawing>
      </w:r>
    </w:p>
    <w:p w14:paraId="348088CA" w14:textId="77777777" w:rsidR="001E5F34" w:rsidRDefault="001E5F34" w:rsidP="001E5F34">
      <w:pPr>
        <w:spacing w:after="0" w:line="480" w:lineRule="auto"/>
        <w:jc w:val="both"/>
        <w:rPr>
          <w:rFonts w:ascii="Times New Roman" w:hAnsi="Times New Roman" w:cs="Times New Roman"/>
          <w:sz w:val="24"/>
          <w:szCs w:val="24"/>
        </w:rPr>
      </w:pPr>
      <w:r w:rsidRPr="00505A8E">
        <w:rPr>
          <w:rStyle w:val="SubtleReference"/>
          <w:rFonts w:ascii="Times New Roman" w:hAnsi="Times New Roman" w:cs="Times New Roman"/>
          <w:color w:val="000000" w:themeColor="text1"/>
          <w:sz w:val="24"/>
          <w:szCs w:val="24"/>
        </w:rPr>
        <w:t xml:space="preserve">Fig. </w:t>
      </w:r>
      <w:r>
        <w:rPr>
          <w:rStyle w:val="SubtleReference"/>
          <w:rFonts w:ascii="Times New Roman" w:hAnsi="Times New Roman" w:cs="Times New Roman"/>
          <w:color w:val="000000" w:themeColor="text1"/>
          <w:sz w:val="24"/>
          <w:szCs w:val="24"/>
        </w:rPr>
        <w:t>S</w:t>
      </w:r>
      <w:r w:rsidRPr="00505A8E">
        <w:rPr>
          <w:rStyle w:val="SubtleReference"/>
          <w:rFonts w:ascii="Times New Roman" w:hAnsi="Times New Roman" w:cs="Times New Roman"/>
          <w:color w:val="000000" w:themeColor="text1"/>
          <w:sz w:val="24"/>
          <w:szCs w:val="24"/>
        </w:rPr>
        <w:t>1.</w:t>
      </w:r>
      <w:r w:rsidRPr="00505A8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AlN g</w:t>
      </w:r>
      <w:r>
        <w:rPr>
          <w:rFonts w:ascii="Times New Roman" w:hAnsi="Times New Roman" w:cs="Times New Roman"/>
          <w:sz w:val="24"/>
          <w:szCs w:val="24"/>
        </w:rPr>
        <w:t>rowth-per-cycle (GPC) vs. (a) TMA dose time, (b) TMA exposure time and (c) N</w:t>
      </w:r>
      <w:r w:rsidRPr="004D7593">
        <w:rPr>
          <w:rFonts w:ascii="Times New Roman" w:hAnsi="Times New Roman" w:cs="Times New Roman"/>
          <w:sz w:val="24"/>
          <w:szCs w:val="24"/>
          <w:vertAlign w:val="subscript"/>
        </w:rPr>
        <w:t>2</w:t>
      </w:r>
      <w:r>
        <w:rPr>
          <w:rFonts w:ascii="Times New Roman" w:hAnsi="Times New Roman" w:cs="Times New Roman"/>
          <w:sz w:val="24"/>
          <w:szCs w:val="24"/>
        </w:rPr>
        <w:t>-H</w:t>
      </w:r>
      <w:r w:rsidRPr="004D7593">
        <w:rPr>
          <w:rFonts w:ascii="Times New Roman" w:hAnsi="Times New Roman" w:cs="Times New Roman"/>
          <w:sz w:val="24"/>
          <w:szCs w:val="24"/>
          <w:vertAlign w:val="subscript"/>
        </w:rPr>
        <w:t>2</w:t>
      </w:r>
      <w:r>
        <w:rPr>
          <w:rFonts w:ascii="Times New Roman" w:hAnsi="Times New Roman" w:cs="Times New Roman"/>
          <w:sz w:val="24"/>
          <w:szCs w:val="24"/>
        </w:rPr>
        <w:t xml:space="preserve"> plasma dose time</w:t>
      </w:r>
      <w:r w:rsidRPr="00A92912">
        <w:rPr>
          <w:rFonts w:ascii="Times New Roman" w:hAnsi="Times New Roman" w:cs="Times New Roman"/>
          <w:color w:val="000000" w:themeColor="text1"/>
          <w:sz w:val="24"/>
          <w:szCs w:val="24"/>
        </w:rPr>
        <w:t xml:space="preserve"> </w:t>
      </w:r>
      <w:r w:rsidRPr="0014720F">
        <w:rPr>
          <w:rFonts w:ascii="Times New Roman" w:hAnsi="Times New Roman" w:cs="Times New Roman"/>
          <w:color w:val="000000" w:themeColor="text1"/>
          <w:sz w:val="24"/>
          <w:szCs w:val="24"/>
        </w:rPr>
        <w:t xml:space="preserve">determined </w:t>
      </w:r>
      <w:r w:rsidRPr="0014720F">
        <w:rPr>
          <w:rFonts w:ascii="Times New Roman" w:hAnsi="Times New Roman" w:cs="Times New Roman"/>
          <w:i/>
          <w:iCs/>
          <w:color w:val="000000" w:themeColor="text1"/>
          <w:sz w:val="24"/>
          <w:szCs w:val="24"/>
        </w:rPr>
        <w:t>in situ</w:t>
      </w:r>
      <w:r w:rsidRPr="0014720F">
        <w:rPr>
          <w:rFonts w:ascii="Times New Roman" w:hAnsi="Times New Roman" w:cs="Times New Roman"/>
          <w:color w:val="000000" w:themeColor="text1"/>
          <w:sz w:val="24"/>
          <w:szCs w:val="24"/>
        </w:rPr>
        <w:t xml:space="preserve"> for AlN PEALD on Si (100)</w:t>
      </w:r>
      <w:r>
        <w:rPr>
          <w:rFonts w:ascii="Times New Roman" w:hAnsi="Times New Roman" w:cs="Times New Roman"/>
          <w:sz w:val="24"/>
          <w:szCs w:val="24"/>
        </w:rPr>
        <w:t xml:space="preserve"> at a 215 °C substrate temperature.</w:t>
      </w:r>
    </w:p>
    <w:p w14:paraId="420C8054" w14:textId="77777777" w:rsidR="001E5F34" w:rsidRDefault="001E5F34" w:rsidP="001E5F34">
      <w:pPr>
        <w:spacing w:after="0" w:line="480" w:lineRule="auto"/>
        <w:jc w:val="both"/>
        <w:rPr>
          <w:rFonts w:ascii="Times New Roman" w:hAnsi="Times New Roman" w:cs="Times New Roman"/>
          <w:sz w:val="24"/>
          <w:szCs w:val="24"/>
        </w:rPr>
      </w:pPr>
    </w:p>
    <w:p w14:paraId="74A3F346" w14:textId="77777777" w:rsidR="001E5F34" w:rsidRDefault="001E5F34" w:rsidP="001E5F3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TMA dose and exposure saturation curves are presented in Fig. S1(a) and Fig. S1(b), respectively, where the N</w:t>
      </w:r>
      <w:r w:rsidRPr="00860A3E">
        <w:rPr>
          <w:rFonts w:ascii="Times New Roman" w:hAnsi="Times New Roman" w:cs="Times New Roman"/>
          <w:sz w:val="24"/>
          <w:szCs w:val="24"/>
          <w:vertAlign w:val="subscript"/>
        </w:rPr>
        <w:t>2</w:t>
      </w:r>
      <w:r>
        <w:rPr>
          <w:rFonts w:ascii="Times New Roman" w:hAnsi="Times New Roman" w:cs="Times New Roman"/>
          <w:sz w:val="24"/>
          <w:szCs w:val="24"/>
        </w:rPr>
        <w:t>-H</w:t>
      </w:r>
      <w:r w:rsidRPr="00860A3E">
        <w:rPr>
          <w:rFonts w:ascii="Times New Roman" w:hAnsi="Times New Roman" w:cs="Times New Roman"/>
          <w:sz w:val="24"/>
          <w:szCs w:val="24"/>
          <w:vertAlign w:val="subscript"/>
        </w:rPr>
        <w:t>2</w:t>
      </w:r>
      <w:r>
        <w:rPr>
          <w:rFonts w:ascii="Times New Roman" w:hAnsi="Times New Roman" w:cs="Times New Roman"/>
          <w:sz w:val="24"/>
          <w:szCs w:val="24"/>
        </w:rPr>
        <w:t xml:space="preserve"> plasma dose time remained constant at 20 s.  For the TMA dose saturation curve [Fig. S1(a)] does not include an exposure step.  As observed in Fig. S1(a), the GPC increases from ~0.8 Å/cycle to ~1.0 Å/cycle after increasing the TMA dose time significantly from 0.1–0.5 s. To reach full saturation, we implemented and systematically varied an exposure step with a fixed TMA dose time of 0.3 s, which is shown in Fig S1(b).  With the added exposure step, we observe a saturating GPC of ~1.1 Å/cycle between 3-6 s exposure time.  We note, however, that if we significantly increased the TMA dose (≥0.5 s) and exposure time (≥5 s) we observed a slight further increase of the GPC (GPC &gt;~1.2 Å/cycle), which indicates some non-ideal behavior of the TMA at extremely large doses.  We intend to pursue this TMA behavior in future work.</w:t>
      </w:r>
    </w:p>
    <w:p w14:paraId="50B8BFB0" w14:textId="77777777" w:rsidR="001E5F34" w:rsidRDefault="001E5F34" w:rsidP="001E5F3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N</w:t>
      </w:r>
      <w:r w:rsidRPr="004D7593">
        <w:rPr>
          <w:rFonts w:ascii="Times New Roman" w:hAnsi="Times New Roman" w:cs="Times New Roman"/>
          <w:sz w:val="24"/>
          <w:szCs w:val="24"/>
          <w:vertAlign w:val="subscript"/>
        </w:rPr>
        <w:t>2</w:t>
      </w:r>
      <w:r>
        <w:rPr>
          <w:rFonts w:ascii="Times New Roman" w:hAnsi="Times New Roman" w:cs="Times New Roman"/>
          <w:sz w:val="24"/>
          <w:szCs w:val="24"/>
        </w:rPr>
        <w:t>-H</w:t>
      </w:r>
      <w:r w:rsidRPr="004D7593">
        <w:rPr>
          <w:rFonts w:ascii="Times New Roman" w:hAnsi="Times New Roman" w:cs="Times New Roman"/>
          <w:sz w:val="24"/>
          <w:szCs w:val="24"/>
          <w:vertAlign w:val="subscript"/>
        </w:rPr>
        <w:t>2</w:t>
      </w:r>
      <w:r>
        <w:rPr>
          <w:rFonts w:ascii="Times New Roman" w:hAnsi="Times New Roman" w:cs="Times New Roman"/>
          <w:sz w:val="24"/>
          <w:szCs w:val="24"/>
        </w:rPr>
        <w:t xml:space="preserve"> plasma dose saturation curve presented in Fig. S1(c) shows an increase in the GPC from 1.01 Å/cycle at 15 s plasma dose to 1.08 Å/cycle at 30 s plasma dose time.  TMA dose and exposure times remained fixed at 0.3 and 3 s, respectively. We performed ellipsometry measurements </w:t>
      </w:r>
      <w:r w:rsidRPr="00CC68DD">
        <w:rPr>
          <w:rFonts w:ascii="Times New Roman" w:hAnsi="Times New Roman" w:cs="Times New Roman"/>
          <w:i/>
          <w:iCs/>
          <w:sz w:val="24"/>
          <w:szCs w:val="24"/>
        </w:rPr>
        <w:t>ex</w:t>
      </w:r>
      <w:r>
        <w:rPr>
          <w:rFonts w:ascii="Times New Roman" w:hAnsi="Times New Roman" w:cs="Times New Roman"/>
          <w:i/>
          <w:iCs/>
          <w:sz w:val="24"/>
          <w:szCs w:val="24"/>
        </w:rPr>
        <w:t>-</w:t>
      </w:r>
      <w:r w:rsidRPr="00CC68DD">
        <w:rPr>
          <w:rFonts w:ascii="Times New Roman" w:hAnsi="Times New Roman" w:cs="Times New Roman"/>
          <w:i/>
          <w:iCs/>
          <w:sz w:val="24"/>
          <w:szCs w:val="24"/>
        </w:rPr>
        <w:t>situ</w:t>
      </w:r>
      <w:r w:rsidRPr="00C13103">
        <w:rPr>
          <w:rFonts w:ascii="Times New Roman" w:hAnsi="Times New Roman" w:cs="Times New Roman"/>
          <w:sz w:val="24"/>
          <w:szCs w:val="24"/>
        </w:rPr>
        <w:t xml:space="preserve"> </w:t>
      </w:r>
      <w:r>
        <w:rPr>
          <w:rFonts w:ascii="Times New Roman" w:hAnsi="Times New Roman" w:cs="Times New Roman"/>
          <w:sz w:val="24"/>
          <w:szCs w:val="24"/>
        </w:rPr>
        <w:t>across 150 mm Si substrates, which revealed only a small increase in the average GPC from 0.9–0.92 Å/cycle (&lt;3%) from 10–30 s plasma dose time, respectively, where the AlN thickness nonuniformity (NU) remained below 1.6% (Fig. S2). The refractive index increased from 1.83 to 1.88 (&lt;3%) over the same range of plasma dose times (Fig. S3). The corresponding index NU decreased from 1.1% to 0.5% at 10 s and 15 s plasma dose time, respectively, and remained unchanged as the dose time increased from 15 to 30 s.  Based on these results, we utilized a 15 s N</w:t>
      </w:r>
      <w:r w:rsidRPr="004D7593">
        <w:rPr>
          <w:rFonts w:ascii="Times New Roman" w:hAnsi="Times New Roman" w:cs="Times New Roman"/>
          <w:sz w:val="24"/>
          <w:szCs w:val="24"/>
          <w:vertAlign w:val="subscript"/>
        </w:rPr>
        <w:t>2</w:t>
      </w:r>
      <w:r>
        <w:rPr>
          <w:rFonts w:ascii="Times New Roman" w:hAnsi="Times New Roman" w:cs="Times New Roman"/>
          <w:sz w:val="24"/>
          <w:szCs w:val="24"/>
        </w:rPr>
        <w:t>-H</w:t>
      </w:r>
      <w:r w:rsidRPr="004D7593">
        <w:rPr>
          <w:rFonts w:ascii="Times New Roman" w:hAnsi="Times New Roman" w:cs="Times New Roman"/>
          <w:sz w:val="24"/>
          <w:szCs w:val="24"/>
          <w:vertAlign w:val="subscript"/>
        </w:rPr>
        <w:t>2</w:t>
      </w:r>
      <w:r>
        <w:rPr>
          <w:rFonts w:ascii="Times New Roman" w:hAnsi="Times New Roman" w:cs="Times New Roman"/>
          <w:sz w:val="24"/>
          <w:szCs w:val="24"/>
        </w:rPr>
        <w:t xml:space="preserve"> plasma dose for all subsequent Al</w:t>
      </w:r>
      <w:r>
        <w:rPr>
          <w:rFonts w:ascii="Times New Roman" w:hAnsi="Times New Roman" w:cs="Times New Roman"/>
          <w:sz w:val="24"/>
          <w:szCs w:val="24"/>
          <w:vertAlign w:val="subscript"/>
        </w:rPr>
        <w:t>(1-x)</w:t>
      </w:r>
      <w:r>
        <w:rPr>
          <w:rFonts w:ascii="Times New Roman" w:hAnsi="Times New Roman" w:cs="Times New Roman"/>
          <w:sz w:val="24"/>
          <w:szCs w:val="24"/>
        </w:rPr>
        <w:t>Sc</w:t>
      </w:r>
      <w:r w:rsidRPr="009A6858">
        <w:rPr>
          <w:rFonts w:ascii="Times New Roman" w:hAnsi="Times New Roman" w:cs="Times New Roman"/>
          <w:sz w:val="24"/>
          <w:szCs w:val="24"/>
          <w:vertAlign w:val="subscript"/>
        </w:rPr>
        <w:t>x</w:t>
      </w:r>
      <w:r>
        <w:rPr>
          <w:rFonts w:ascii="Times New Roman" w:hAnsi="Times New Roman" w:cs="Times New Roman"/>
          <w:sz w:val="24"/>
          <w:szCs w:val="24"/>
        </w:rPr>
        <w:t xml:space="preserve">N depositions. We also performed </w:t>
      </w:r>
      <w:r w:rsidRPr="0079104D">
        <w:rPr>
          <w:rFonts w:ascii="Times New Roman" w:hAnsi="Times New Roman" w:cs="Times New Roman"/>
          <w:i/>
          <w:iCs/>
          <w:sz w:val="24"/>
          <w:szCs w:val="24"/>
        </w:rPr>
        <w:t>in</w:t>
      </w:r>
      <w:r>
        <w:rPr>
          <w:rFonts w:ascii="Times New Roman" w:hAnsi="Times New Roman" w:cs="Times New Roman"/>
          <w:i/>
          <w:iCs/>
          <w:sz w:val="24"/>
          <w:szCs w:val="24"/>
        </w:rPr>
        <w:t>-</w:t>
      </w:r>
      <w:r w:rsidRPr="0079104D">
        <w:rPr>
          <w:rFonts w:ascii="Times New Roman" w:hAnsi="Times New Roman" w:cs="Times New Roman"/>
          <w:i/>
          <w:iCs/>
          <w:sz w:val="24"/>
          <w:szCs w:val="24"/>
        </w:rPr>
        <w:t>situ</w:t>
      </w:r>
      <w:r>
        <w:rPr>
          <w:rFonts w:ascii="Times New Roman" w:hAnsi="Times New Roman" w:cs="Times New Roman"/>
          <w:sz w:val="24"/>
          <w:szCs w:val="24"/>
        </w:rPr>
        <w:t xml:space="preserve"> ellipsometry measurements to investigate TMA and N</w:t>
      </w:r>
      <w:r w:rsidRPr="004D7593">
        <w:rPr>
          <w:rFonts w:ascii="Times New Roman" w:hAnsi="Times New Roman" w:cs="Times New Roman"/>
          <w:sz w:val="24"/>
          <w:szCs w:val="24"/>
          <w:vertAlign w:val="subscript"/>
        </w:rPr>
        <w:t>2</w:t>
      </w:r>
      <w:r>
        <w:rPr>
          <w:rFonts w:ascii="Times New Roman" w:hAnsi="Times New Roman" w:cs="Times New Roman"/>
          <w:sz w:val="24"/>
          <w:szCs w:val="24"/>
        </w:rPr>
        <w:t>-H</w:t>
      </w:r>
      <w:r w:rsidRPr="004D7593">
        <w:rPr>
          <w:rFonts w:ascii="Times New Roman" w:hAnsi="Times New Roman" w:cs="Times New Roman"/>
          <w:sz w:val="24"/>
          <w:szCs w:val="24"/>
          <w:vertAlign w:val="subscript"/>
        </w:rPr>
        <w:t>2</w:t>
      </w:r>
      <w:r>
        <w:rPr>
          <w:rFonts w:ascii="Times New Roman" w:hAnsi="Times New Roman" w:cs="Times New Roman"/>
          <w:sz w:val="24"/>
          <w:szCs w:val="24"/>
        </w:rPr>
        <w:t xml:space="preserve"> plasma purge behavior, which demonstrated essentially no change in the AlN GPC down to 3 s TMA and N</w:t>
      </w:r>
      <w:r w:rsidRPr="004D7593">
        <w:rPr>
          <w:rFonts w:ascii="Times New Roman" w:hAnsi="Times New Roman" w:cs="Times New Roman"/>
          <w:sz w:val="24"/>
          <w:szCs w:val="24"/>
          <w:vertAlign w:val="subscript"/>
        </w:rPr>
        <w:t>2</w:t>
      </w:r>
      <w:r>
        <w:rPr>
          <w:rFonts w:ascii="Times New Roman" w:hAnsi="Times New Roman" w:cs="Times New Roman"/>
          <w:sz w:val="24"/>
          <w:szCs w:val="24"/>
        </w:rPr>
        <w:t>-H</w:t>
      </w:r>
      <w:r w:rsidRPr="004D7593">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plasma purge time (Fig. S4). Due to non-linear behavior during the initial stages of AlN growth on Si (100), the average GPC values determined </w:t>
      </w:r>
      <w:r w:rsidRPr="00D861E9">
        <w:rPr>
          <w:rFonts w:ascii="Times New Roman" w:hAnsi="Times New Roman" w:cs="Times New Roman"/>
          <w:i/>
          <w:iCs/>
          <w:sz w:val="24"/>
          <w:szCs w:val="24"/>
        </w:rPr>
        <w:t>ex situ</w:t>
      </w:r>
      <w:r>
        <w:rPr>
          <w:rFonts w:ascii="Times New Roman" w:hAnsi="Times New Roman" w:cs="Times New Roman"/>
          <w:sz w:val="24"/>
          <w:szCs w:val="24"/>
        </w:rPr>
        <w:t xml:space="preserve"> (Fig. S2) are lower than the </w:t>
      </w:r>
      <w:r w:rsidRPr="00D861E9">
        <w:rPr>
          <w:rFonts w:ascii="Times New Roman" w:hAnsi="Times New Roman" w:cs="Times New Roman"/>
          <w:i/>
          <w:iCs/>
          <w:sz w:val="24"/>
          <w:szCs w:val="24"/>
        </w:rPr>
        <w:t>in</w:t>
      </w:r>
      <w:r>
        <w:rPr>
          <w:rFonts w:ascii="Times New Roman" w:hAnsi="Times New Roman" w:cs="Times New Roman"/>
          <w:i/>
          <w:iCs/>
          <w:sz w:val="24"/>
          <w:szCs w:val="24"/>
        </w:rPr>
        <w:t>-</w:t>
      </w:r>
      <w:r w:rsidRPr="00D861E9">
        <w:rPr>
          <w:rFonts w:ascii="Times New Roman" w:hAnsi="Times New Roman" w:cs="Times New Roman"/>
          <w:i/>
          <w:iCs/>
          <w:sz w:val="24"/>
          <w:szCs w:val="24"/>
        </w:rPr>
        <w:t>situ</w:t>
      </w:r>
      <w:r>
        <w:rPr>
          <w:rFonts w:ascii="Times New Roman" w:hAnsi="Times New Roman" w:cs="Times New Roman"/>
          <w:sz w:val="24"/>
          <w:szCs w:val="24"/>
        </w:rPr>
        <w:t xml:space="preserve"> values </w:t>
      </w:r>
      <w:r>
        <w:rPr>
          <w:rFonts w:ascii="Times New Roman" w:hAnsi="Times New Roman" w:cs="Times New Roman"/>
          <w:noProof/>
          <w:sz w:val="24"/>
          <w:szCs w:val="24"/>
        </w:rPr>
        <w:drawing>
          <wp:anchor distT="0" distB="0" distL="114300" distR="114300" simplePos="0" relativeHeight="251661312" behindDoc="0" locked="0" layoutInCell="1" allowOverlap="1" wp14:anchorId="4452D97D" wp14:editId="396E7736">
            <wp:simplePos x="0" y="0"/>
            <wp:positionH relativeFrom="margin">
              <wp:align>center</wp:align>
            </wp:positionH>
            <wp:positionV relativeFrom="paragraph">
              <wp:posOffset>929640</wp:posOffset>
            </wp:positionV>
            <wp:extent cx="3230880" cy="2388235"/>
            <wp:effectExtent l="0" t="0" r="7620" b="0"/>
            <wp:wrapTopAndBottom/>
            <wp:docPr id="1436025413" name="Picture 8" descr="A graph of a number of po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025413" name="Picture 8" descr="A graph of a number of point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0880" cy="2388235"/>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(Fig. S4).</w:t>
      </w:r>
    </w:p>
    <w:p w14:paraId="5A9E9522" w14:textId="77777777" w:rsidR="001E5F34" w:rsidRDefault="001E5F34" w:rsidP="001E5F34">
      <w:pPr>
        <w:rPr>
          <w:rFonts w:ascii="Times New Roman" w:hAnsi="Times New Roman" w:cs="Times New Roman"/>
          <w:sz w:val="24"/>
          <w:szCs w:val="24"/>
        </w:rPr>
      </w:pPr>
    </w:p>
    <w:p w14:paraId="10CC1D29" w14:textId="77777777" w:rsidR="001E5F34" w:rsidRPr="0014720F" w:rsidRDefault="001E5F34" w:rsidP="001E5F34">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anchor distT="0" distB="0" distL="114300" distR="114300" simplePos="0" relativeHeight="251662336" behindDoc="0" locked="0" layoutInCell="1" allowOverlap="1" wp14:anchorId="5DE0348C" wp14:editId="7D4CC835">
            <wp:simplePos x="0" y="0"/>
            <wp:positionH relativeFrom="margin">
              <wp:align>center</wp:align>
            </wp:positionH>
            <wp:positionV relativeFrom="paragraph">
              <wp:posOffset>562610</wp:posOffset>
            </wp:positionV>
            <wp:extent cx="3433445" cy="2560320"/>
            <wp:effectExtent l="0" t="0" r="0" b="0"/>
            <wp:wrapTopAndBottom/>
            <wp:docPr id="1907768832" name="Picture 1" descr="Chart, line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768832" name="Picture 1" descr="Chart, line chart&#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33445" cy="2560320"/>
                    </a:xfrm>
                    <a:prstGeom prst="rect">
                      <a:avLst/>
                    </a:prstGeom>
                    <a:noFill/>
                  </pic:spPr>
                </pic:pic>
              </a:graphicData>
            </a:graphic>
            <wp14:sizeRelH relativeFrom="margin">
              <wp14:pctWidth>0</wp14:pctWidth>
            </wp14:sizeRelH>
            <wp14:sizeRelV relativeFrom="margin">
              <wp14:pctHeight>0</wp14:pctHeight>
            </wp14:sizeRelV>
          </wp:anchor>
        </w:drawing>
      </w:r>
      <w:r w:rsidRPr="0014720F">
        <w:rPr>
          <w:rStyle w:val="SubtleReference"/>
          <w:rFonts w:ascii="Times New Roman" w:hAnsi="Times New Roman" w:cs="Times New Roman"/>
          <w:color w:val="000000" w:themeColor="text1"/>
          <w:sz w:val="24"/>
          <w:szCs w:val="24"/>
        </w:rPr>
        <w:t>Fig. S</w:t>
      </w:r>
      <w:r>
        <w:rPr>
          <w:rStyle w:val="SubtleReference"/>
          <w:rFonts w:ascii="Times New Roman" w:hAnsi="Times New Roman" w:cs="Times New Roman"/>
          <w:color w:val="000000" w:themeColor="text1"/>
          <w:sz w:val="24"/>
          <w:szCs w:val="24"/>
        </w:rPr>
        <w:t>2</w:t>
      </w:r>
      <w:r w:rsidRPr="0014720F">
        <w:rPr>
          <w:rFonts w:ascii="Times New Roman" w:hAnsi="Times New Roman" w:cs="Times New Roman"/>
          <w:color w:val="000000" w:themeColor="text1"/>
          <w:sz w:val="24"/>
          <w:szCs w:val="24"/>
        </w:rPr>
        <w:t xml:space="preserve"> AlN GPC and thickness NU versus N</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-H</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 xml:space="preserve"> plasma dose time determined </w:t>
      </w:r>
      <w:r w:rsidRPr="0014720F">
        <w:rPr>
          <w:rFonts w:ascii="Times New Roman" w:hAnsi="Times New Roman" w:cs="Times New Roman"/>
          <w:i/>
          <w:iCs/>
          <w:color w:val="000000" w:themeColor="text1"/>
          <w:sz w:val="24"/>
          <w:szCs w:val="24"/>
        </w:rPr>
        <w:t>ex</w:t>
      </w:r>
      <w:r>
        <w:rPr>
          <w:rFonts w:ascii="Times New Roman" w:hAnsi="Times New Roman" w:cs="Times New Roman"/>
          <w:i/>
          <w:iCs/>
          <w:color w:val="000000" w:themeColor="text1"/>
          <w:sz w:val="24"/>
          <w:szCs w:val="24"/>
        </w:rPr>
        <w:t>-</w:t>
      </w:r>
      <w:r w:rsidRPr="0014720F">
        <w:rPr>
          <w:rFonts w:ascii="Times New Roman" w:hAnsi="Times New Roman" w:cs="Times New Roman"/>
          <w:i/>
          <w:iCs/>
          <w:color w:val="000000" w:themeColor="text1"/>
          <w:sz w:val="24"/>
          <w:szCs w:val="24"/>
        </w:rPr>
        <w:t>situ</w:t>
      </w:r>
      <w:r w:rsidRPr="0014720F">
        <w:rPr>
          <w:rFonts w:ascii="Times New Roman" w:hAnsi="Times New Roman" w:cs="Times New Roman"/>
          <w:color w:val="000000" w:themeColor="text1"/>
          <w:sz w:val="24"/>
          <w:szCs w:val="24"/>
        </w:rPr>
        <w:t xml:space="preserve"> across 150 mm Si (100) substrates.</w:t>
      </w:r>
    </w:p>
    <w:p w14:paraId="01875F47" w14:textId="77777777" w:rsidR="001E5F34" w:rsidRDefault="001E5F34" w:rsidP="001E5F34">
      <w:pPr>
        <w:spacing w:after="0" w:line="480" w:lineRule="auto"/>
        <w:rPr>
          <w:rFonts w:ascii="Times New Roman" w:hAnsi="Times New Roman" w:cs="Times New Roman"/>
          <w:color w:val="000000" w:themeColor="text1"/>
          <w:sz w:val="24"/>
          <w:szCs w:val="24"/>
        </w:rPr>
      </w:pPr>
    </w:p>
    <w:p w14:paraId="415ECECE" w14:textId="77777777" w:rsidR="001E5F34" w:rsidRDefault="001E5F34" w:rsidP="001E5F34">
      <w:pPr>
        <w:spacing w:after="0" w:line="480" w:lineRule="auto"/>
        <w:jc w:val="both"/>
        <w:rPr>
          <w:rFonts w:ascii="Times New Roman" w:hAnsi="Times New Roman" w:cs="Times New Roman"/>
          <w:color w:val="000000" w:themeColor="text1"/>
          <w:sz w:val="24"/>
          <w:szCs w:val="24"/>
        </w:rPr>
      </w:pPr>
      <w:r w:rsidRPr="0014720F">
        <w:rPr>
          <w:rStyle w:val="SubtleReference"/>
          <w:rFonts w:ascii="Times New Roman" w:hAnsi="Times New Roman" w:cs="Times New Roman"/>
          <w:color w:val="000000" w:themeColor="text1"/>
          <w:sz w:val="24"/>
          <w:szCs w:val="24"/>
        </w:rPr>
        <w:t>Fig. S</w:t>
      </w:r>
      <w:r>
        <w:rPr>
          <w:rStyle w:val="SubtleReference"/>
          <w:rFonts w:ascii="Times New Roman" w:hAnsi="Times New Roman" w:cs="Times New Roman"/>
          <w:color w:val="000000" w:themeColor="text1"/>
          <w:sz w:val="24"/>
          <w:szCs w:val="24"/>
        </w:rPr>
        <w:t>3</w:t>
      </w:r>
      <w:r w:rsidRPr="0014720F">
        <w:rPr>
          <w:rFonts w:ascii="Times New Roman" w:hAnsi="Times New Roman" w:cs="Times New Roman"/>
          <w:color w:val="000000" w:themeColor="text1"/>
          <w:sz w:val="24"/>
          <w:szCs w:val="24"/>
        </w:rPr>
        <w:t xml:space="preserve"> AlN refractive index average and index NU versus N</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-H</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 xml:space="preserve"> plasma dose time determined </w:t>
      </w:r>
      <w:r w:rsidRPr="0014720F">
        <w:rPr>
          <w:rFonts w:ascii="Times New Roman" w:hAnsi="Times New Roman" w:cs="Times New Roman"/>
          <w:i/>
          <w:iCs/>
          <w:color w:val="000000" w:themeColor="text1"/>
          <w:sz w:val="24"/>
          <w:szCs w:val="24"/>
        </w:rPr>
        <w:t>ex</w:t>
      </w:r>
      <w:r>
        <w:rPr>
          <w:rFonts w:ascii="Times New Roman" w:hAnsi="Times New Roman" w:cs="Times New Roman"/>
          <w:i/>
          <w:iCs/>
          <w:color w:val="000000" w:themeColor="text1"/>
          <w:sz w:val="24"/>
          <w:szCs w:val="24"/>
        </w:rPr>
        <w:t>-</w:t>
      </w:r>
      <w:r w:rsidRPr="0014720F">
        <w:rPr>
          <w:rFonts w:ascii="Times New Roman" w:hAnsi="Times New Roman" w:cs="Times New Roman"/>
          <w:i/>
          <w:iCs/>
          <w:color w:val="000000" w:themeColor="text1"/>
          <w:sz w:val="24"/>
          <w:szCs w:val="24"/>
        </w:rPr>
        <w:t>situ</w:t>
      </w:r>
      <w:r w:rsidRPr="0014720F">
        <w:rPr>
          <w:rFonts w:ascii="Times New Roman" w:hAnsi="Times New Roman" w:cs="Times New Roman"/>
          <w:color w:val="000000" w:themeColor="text1"/>
          <w:sz w:val="24"/>
          <w:szCs w:val="24"/>
        </w:rPr>
        <w:t xml:space="preserve"> across 150 mm Si (100) substrates.</w:t>
      </w:r>
    </w:p>
    <w:p w14:paraId="6D308E86" w14:textId="77777777" w:rsidR="001E5F34" w:rsidRDefault="001E5F34" w:rsidP="001E5F34">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AD8A03D" w14:textId="77777777" w:rsidR="001E5F34" w:rsidRDefault="001E5F34" w:rsidP="001E5F34">
      <w:pPr>
        <w:spacing w:after="0"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3360" behindDoc="0" locked="0" layoutInCell="1" allowOverlap="1" wp14:anchorId="05A981EF" wp14:editId="52EA57DC">
            <wp:simplePos x="0" y="0"/>
            <wp:positionH relativeFrom="margin">
              <wp:posOffset>1264920</wp:posOffset>
            </wp:positionH>
            <wp:positionV relativeFrom="paragraph">
              <wp:posOffset>0</wp:posOffset>
            </wp:positionV>
            <wp:extent cx="3246120" cy="4809490"/>
            <wp:effectExtent l="0" t="0" r="0" b="0"/>
            <wp:wrapTopAndBottom/>
            <wp:docPr id="748730337" name="Picture 7"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730337" name="Picture 7" descr="Diagram&#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46120" cy="4809490"/>
                    </a:xfrm>
                    <a:prstGeom prst="rect">
                      <a:avLst/>
                    </a:prstGeom>
                    <a:noFill/>
                  </pic:spPr>
                </pic:pic>
              </a:graphicData>
            </a:graphic>
            <wp14:sizeRelH relativeFrom="margin">
              <wp14:pctWidth>0</wp14:pctWidth>
            </wp14:sizeRelH>
            <wp14:sizeRelV relativeFrom="margin">
              <wp14:pctHeight>0</wp14:pctHeight>
            </wp14:sizeRelV>
          </wp:anchor>
        </w:drawing>
      </w:r>
    </w:p>
    <w:p w14:paraId="63884436" w14:textId="77777777" w:rsidR="001E5F34" w:rsidRDefault="001E5F34" w:rsidP="001E5F34">
      <w:pPr>
        <w:spacing w:after="0" w:line="480" w:lineRule="auto"/>
        <w:jc w:val="both"/>
        <w:rPr>
          <w:rFonts w:ascii="Times New Roman" w:hAnsi="Times New Roman" w:cs="Times New Roman"/>
          <w:color w:val="000000" w:themeColor="text1"/>
          <w:sz w:val="24"/>
          <w:szCs w:val="24"/>
        </w:rPr>
      </w:pPr>
      <w:r w:rsidRPr="0014720F">
        <w:rPr>
          <w:rStyle w:val="SubtleReference"/>
          <w:rFonts w:ascii="Times New Roman" w:hAnsi="Times New Roman" w:cs="Times New Roman"/>
          <w:color w:val="000000" w:themeColor="text1"/>
          <w:sz w:val="24"/>
          <w:szCs w:val="24"/>
        </w:rPr>
        <w:t>Fig. S</w:t>
      </w:r>
      <w:r>
        <w:rPr>
          <w:rStyle w:val="SubtleReference"/>
          <w:rFonts w:ascii="Times New Roman" w:hAnsi="Times New Roman" w:cs="Times New Roman"/>
          <w:color w:val="000000" w:themeColor="text1"/>
          <w:sz w:val="24"/>
          <w:szCs w:val="24"/>
        </w:rPr>
        <w:t>4</w:t>
      </w:r>
      <w:r w:rsidRPr="0014720F">
        <w:rPr>
          <w:rFonts w:ascii="Times New Roman" w:hAnsi="Times New Roman" w:cs="Times New Roman"/>
          <w:color w:val="000000" w:themeColor="text1"/>
          <w:sz w:val="24"/>
          <w:szCs w:val="24"/>
        </w:rPr>
        <w:t xml:space="preserve"> GPC versus (a) TMA and (b) N</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-H</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 xml:space="preserve"> plasma purge time</w:t>
      </w:r>
      <w:r>
        <w:rPr>
          <w:rFonts w:ascii="Times New Roman" w:hAnsi="Times New Roman" w:cs="Times New Roman"/>
          <w:color w:val="000000" w:themeColor="text1"/>
          <w:sz w:val="24"/>
          <w:szCs w:val="24"/>
        </w:rPr>
        <w:t>s</w:t>
      </w:r>
      <w:r w:rsidRPr="0014720F">
        <w:rPr>
          <w:rFonts w:ascii="Times New Roman" w:hAnsi="Times New Roman" w:cs="Times New Roman"/>
          <w:color w:val="000000" w:themeColor="text1"/>
          <w:sz w:val="24"/>
          <w:szCs w:val="24"/>
        </w:rPr>
        <w:t xml:space="preserve"> determined </w:t>
      </w:r>
      <w:r w:rsidRPr="0014720F">
        <w:rPr>
          <w:rFonts w:ascii="Times New Roman" w:hAnsi="Times New Roman" w:cs="Times New Roman"/>
          <w:i/>
          <w:iCs/>
          <w:color w:val="000000" w:themeColor="text1"/>
          <w:sz w:val="24"/>
          <w:szCs w:val="24"/>
        </w:rPr>
        <w:t>in</w:t>
      </w:r>
      <w:r>
        <w:rPr>
          <w:rFonts w:ascii="Times New Roman" w:hAnsi="Times New Roman" w:cs="Times New Roman"/>
          <w:i/>
          <w:iCs/>
          <w:color w:val="000000" w:themeColor="text1"/>
          <w:sz w:val="24"/>
          <w:szCs w:val="24"/>
        </w:rPr>
        <w:t>-</w:t>
      </w:r>
      <w:r w:rsidRPr="0014720F">
        <w:rPr>
          <w:rFonts w:ascii="Times New Roman" w:hAnsi="Times New Roman" w:cs="Times New Roman"/>
          <w:i/>
          <w:iCs/>
          <w:color w:val="000000" w:themeColor="text1"/>
          <w:sz w:val="24"/>
          <w:szCs w:val="24"/>
        </w:rPr>
        <w:t>situ</w:t>
      </w:r>
      <w:r w:rsidRPr="0014720F">
        <w:rPr>
          <w:rFonts w:ascii="Times New Roman" w:hAnsi="Times New Roman" w:cs="Times New Roman"/>
          <w:color w:val="000000" w:themeColor="text1"/>
          <w:sz w:val="24"/>
          <w:szCs w:val="24"/>
        </w:rPr>
        <w:t xml:space="preserve"> for AlN PEALD on Si (100) at 215°C substrate temperature.  TMA purge results show </w:t>
      </w:r>
      <w:r>
        <w:rPr>
          <w:rFonts w:ascii="Times New Roman" w:hAnsi="Times New Roman" w:cs="Times New Roman"/>
          <w:color w:val="000000" w:themeColor="text1"/>
          <w:sz w:val="24"/>
          <w:szCs w:val="24"/>
        </w:rPr>
        <w:t xml:space="preserve">only </w:t>
      </w:r>
      <w:r w:rsidRPr="0014720F">
        <w:rPr>
          <w:rFonts w:ascii="Times New Roman" w:hAnsi="Times New Roman" w:cs="Times New Roman"/>
          <w:color w:val="000000" w:themeColor="text1"/>
          <w:sz w:val="24"/>
          <w:szCs w:val="24"/>
        </w:rPr>
        <w:t>a slight 1% increase in GPC with decreasing purge time from 20–3 s.  For the N</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-H</w:t>
      </w:r>
      <w:r w:rsidRPr="0014720F">
        <w:rPr>
          <w:rFonts w:ascii="Times New Roman" w:hAnsi="Times New Roman" w:cs="Times New Roman"/>
          <w:color w:val="000000" w:themeColor="text1"/>
          <w:sz w:val="24"/>
          <w:szCs w:val="24"/>
          <w:vertAlign w:val="subscript"/>
        </w:rPr>
        <w:t>2</w:t>
      </w:r>
      <w:r w:rsidRPr="0014720F">
        <w:rPr>
          <w:rFonts w:ascii="Times New Roman" w:hAnsi="Times New Roman" w:cs="Times New Roman"/>
          <w:color w:val="000000" w:themeColor="text1"/>
          <w:sz w:val="24"/>
          <w:szCs w:val="24"/>
        </w:rPr>
        <w:t xml:space="preserve"> plasma purge data, the GPC remains constant over the full range of purge times investigated. </w:t>
      </w:r>
    </w:p>
    <w:p w14:paraId="7DADB5CA" w14:textId="77777777" w:rsidR="001E5F34" w:rsidRDefault="001E5F34" w:rsidP="001E5F34">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0C23EEFC" w14:textId="77777777" w:rsidR="001E5F34" w:rsidRPr="00E66C96" w:rsidRDefault="001E5F34" w:rsidP="001E5F34">
      <w:pPr>
        <w:spacing w:after="0" w:line="480" w:lineRule="auto"/>
        <w:jc w:val="both"/>
        <w:rPr>
          <w:rFonts w:ascii="Times New Roman" w:hAnsi="Times New Roman" w:cs="Times New Roman"/>
          <w:color w:val="000000" w:themeColor="text1"/>
          <w:sz w:val="24"/>
          <w:szCs w:val="24"/>
        </w:rPr>
      </w:pPr>
    </w:p>
    <w:p w14:paraId="599402E7" w14:textId="77777777" w:rsidR="001E5F34" w:rsidRDefault="001E5F34" w:rsidP="001E5F34">
      <w:pPr>
        <w:spacing w:after="0" w:line="480" w:lineRule="auto"/>
        <w:rPr>
          <w:rFonts w:ascii="Arial" w:hAnsi="Arial" w:cs="Arial"/>
          <w:sz w:val="28"/>
          <w:szCs w:val="28"/>
          <w:u w:val="single"/>
        </w:rPr>
      </w:pPr>
      <w:r>
        <w:rPr>
          <w:rFonts w:ascii="Arial" w:hAnsi="Arial" w:cs="Arial"/>
          <w:sz w:val="28"/>
          <w:szCs w:val="28"/>
          <w:u w:val="single"/>
        </w:rPr>
        <w:t>ClSc(EtCp)</w:t>
      </w:r>
      <w:r w:rsidRPr="00E7191F">
        <w:rPr>
          <w:rFonts w:ascii="Arial" w:hAnsi="Arial" w:cs="Arial"/>
          <w:sz w:val="28"/>
          <w:szCs w:val="28"/>
          <w:u w:val="single"/>
          <w:vertAlign w:val="subscript"/>
        </w:rPr>
        <w:t>2</w:t>
      </w:r>
      <w:r>
        <w:rPr>
          <w:rFonts w:ascii="Arial" w:hAnsi="Arial" w:cs="Arial"/>
          <w:sz w:val="28"/>
          <w:szCs w:val="28"/>
          <w:u w:val="single"/>
        </w:rPr>
        <w:t xml:space="preserve"> dose saturation behavior </w:t>
      </w:r>
    </w:p>
    <w:p w14:paraId="1E402B17" w14:textId="77777777" w:rsidR="001E5F34" w:rsidRDefault="001E5F34" w:rsidP="001E5F34">
      <w:pPr>
        <w:spacing w:after="0" w:line="480" w:lineRule="auto"/>
        <w:ind w:firstLine="72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14:anchorId="033968F2" wp14:editId="4C7BAD1B">
            <wp:simplePos x="0" y="0"/>
            <wp:positionH relativeFrom="margin">
              <wp:posOffset>868680</wp:posOffset>
            </wp:positionH>
            <wp:positionV relativeFrom="paragraph">
              <wp:posOffset>2143760</wp:posOffset>
            </wp:positionV>
            <wp:extent cx="4061460" cy="3020695"/>
            <wp:effectExtent l="0" t="0" r="0" b="8255"/>
            <wp:wrapTopAndBottom/>
            <wp:docPr id="87003654" name="Picture 10" descr="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03654" name="Picture 10" descr="Chart&#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1460" cy="3020695"/>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 xml:space="preserve">We previously reported some </w:t>
      </w:r>
      <w:r w:rsidRPr="00A45E5A">
        <w:rPr>
          <w:rFonts w:ascii="Times New Roman" w:hAnsi="Times New Roman" w:cs="Times New Roman"/>
          <w:sz w:val="24"/>
          <w:szCs w:val="24"/>
        </w:rPr>
        <w:t>anomalous behavior of the ClSc(EtCp)</w:t>
      </w:r>
      <w:r w:rsidRPr="00976959">
        <w:rPr>
          <w:rFonts w:ascii="Times New Roman" w:hAnsi="Times New Roman" w:cs="Times New Roman"/>
          <w:sz w:val="24"/>
          <w:szCs w:val="24"/>
          <w:vertAlign w:val="subscript"/>
        </w:rPr>
        <w:t>2</w:t>
      </w:r>
      <w:r w:rsidRPr="00A45E5A">
        <w:rPr>
          <w:rFonts w:ascii="Times New Roman" w:hAnsi="Times New Roman" w:cs="Times New Roman"/>
          <w:sz w:val="24"/>
          <w:szCs w:val="24"/>
        </w:rPr>
        <w:t xml:space="preserve"> precursor after aging and thermal cycling.</w:t>
      </w:r>
      <w:r>
        <w:rPr>
          <w:rFonts w:ascii="Times New Roman" w:hAnsi="Times New Roman" w:cs="Times New Roman"/>
          <w:sz w:val="24"/>
          <w:szCs w:val="24"/>
          <w:vertAlign w:val="superscript"/>
        </w:rPr>
        <w:t>SR1</w:t>
      </w:r>
      <w:r w:rsidRPr="00A45E5A">
        <w:rPr>
          <w:rFonts w:ascii="Times New Roman" w:hAnsi="Times New Roman" w:cs="Times New Roman"/>
          <w:sz w:val="24"/>
          <w:szCs w:val="24"/>
        </w:rPr>
        <w:t xml:space="preserve">  </w:t>
      </w:r>
      <w:r>
        <w:rPr>
          <w:rFonts w:ascii="Times New Roman" w:hAnsi="Times New Roman" w:cs="Times New Roman"/>
          <w:sz w:val="24"/>
          <w:szCs w:val="24"/>
        </w:rPr>
        <w:t xml:space="preserve">Further investigation revealed dose saturation of the Sc precursor occurred at significantly shorter dose times indicative of improved </w:t>
      </w:r>
      <w:r w:rsidRPr="00A45E5A">
        <w:rPr>
          <w:rFonts w:ascii="Times New Roman" w:hAnsi="Times New Roman" w:cs="Times New Roman"/>
          <w:sz w:val="24"/>
          <w:szCs w:val="24"/>
        </w:rPr>
        <w:t>ClSc(EtCp)</w:t>
      </w:r>
      <w:r w:rsidRPr="00D02480">
        <w:rPr>
          <w:rFonts w:ascii="Times New Roman" w:hAnsi="Times New Roman" w:cs="Times New Roman"/>
          <w:sz w:val="24"/>
          <w:szCs w:val="24"/>
          <w:vertAlign w:val="subscript"/>
        </w:rPr>
        <w:t>2</w:t>
      </w:r>
      <w:r>
        <w:rPr>
          <w:rFonts w:ascii="Times New Roman" w:hAnsi="Times New Roman" w:cs="Times New Roman"/>
          <w:sz w:val="24"/>
          <w:szCs w:val="24"/>
        </w:rPr>
        <w:t xml:space="preserve"> delivery after the thermal cycling event (Fig. S5).  We concluded that at least one of the manual isolation valves on the flow-through ampoule was in a partially closed position prior to thermally cycling, thereby limiting the conductance through the ampoule.  </w:t>
      </w:r>
    </w:p>
    <w:p w14:paraId="1EC1DCA9" w14:textId="77777777" w:rsidR="001E5F34" w:rsidRDefault="001E5F34" w:rsidP="001E5F34">
      <w:pPr>
        <w:spacing w:after="0" w:line="480" w:lineRule="auto"/>
        <w:rPr>
          <w:rFonts w:ascii="Times New Roman" w:hAnsi="Times New Roman" w:cs="Times New Roman"/>
          <w:sz w:val="24"/>
          <w:szCs w:val="24"/>
        </w:rPr>
      </w:pPr>
    </w:p>
    <w:p w14:paraId="0E3B07EE" w14:textId="77777777" w:rsidR="001E5F34" w:rsidRPr="00386D46" w:rsidRDefault="001E5F34" w:rsidP="001E5F34">
      <w:pPr>
        <w:spacing w:after="0" w:line="480" w:lineRule="auto"/>
        <w:rPr>
          <w:rFonts w:ascii="Times New Roman" w:hAnsi="Times New Roman" w:cs="Times New Roman"/>
          <w:sz w:val="24"/>
          <w:szCs w:val="24"/>
        </w:rPr>
      </w:pPr>
      <w:r w:rsidRPr="0014720F">
        <w:rPr>
          <w:rStyle w:val="SubtleReference"/>
          <w:rFonts w:ascii="Times New Roman" w:hAnsi="Times New Roman" w:cs="Times New Roman"/>
          <w:color w:val="000000" w:themeColor="text1"/>
          <w:sz w:val="24"/>
          <w:szCs w:val="24"/>
        </w:rPr>
        <w:t>Fig. S</w:t>
      </w:r>
      <w:r>
        <w:rPr>
          <w:rStyle w:val="SubtleReference"/>
          <w:rFonts w:ascii="Times New Roman" w:hAnsi="Times New Roman" w:cs="Times New Roman"/>
          <w:color w:val="000000" w:themeColor="text1"/>
          <w:sz w:val="24"/>
          <w:szCs w:val="24"/>
        </w:rPr>
        <w:t>5.</w:t>
      </w:r>
      <w:r w:rsidRPr="0014720F">
        <w:rPr>
          <w:rFonts w:ascii="Times New Roman" w:hAnsi="Times New Roman" w:cs="Times New Roman"/>
          <w:color w:val="000000" w:themeColor="text1"/>
          <w:sz w:val="24"/>
          <w:szCs w:val="24"/>
        </w:rPr>
        <w:t xml:space="preserve">  GPC versus </w:t>
      </w:r>
      <w:r w:rsidRPr="003A4715">
        <w:rPr>
          <w:rFonts w:ascii="Times New Roman" w:hAnsi="Times New Roman" w:cs="Times New Roman"/>
          <w:sz w:val="24"/>
          <w:szCs w:val="24"/>
        </w:rPr>
        <w:t>ClSc(EtCp)</w:t>
      </w:r>
      <w:r w:rsidRPr="003A4715">
        <w:rPr>
          <w:rFonts w:ascii="Times New Roman" w:hAnsi="Times New Roman" w:cs="Times New Roman"/>
          <w:sz w:val="24"/>
          <w:szCs w:val="24"/>
          <w:vertAlign w:val="subscript"/>
        </w:rPr>
        <w:t>2</w:t>
      </w:r>
      <w:r w:rsidRPr="0014720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dose and purge time </w:t>
      </w:r>
      <w:r w:rsidRPr="0014720F">
        <w:rPr>
          <w:rFonts w:ascii="Times New Roman" w:hAnsi="Times New Roman" w:cs="Times New Roman"/>
          <w:color w:val="000000" w:themeColor="text1"/>
          <w:sz w:val="24"/>
          <w:szCs w:val="24"/>
        </w:rPr>
        <w:t xml:space="preserve">determined </w:t>
      </w:r>
      <w:r w:rsidRPr="0014720F">
        <w:rPr>
          <w:rFonts w:ascii="Times New Roman" w:hAnsi="Times New Roman" w:cs="Times New Roman"/>
          <w:i/>
          <w:iCs/>
          <w:color w:val="000000" w:themeColor="text1"/>
          <w:sz w:val="24"/>
          <w:szCs w:val="24"/>
        </w:rPr>
        <w:t>in situ</w:t>
      </w:r>
      <w:r w:rsidRPr="0014720F">
        <w:rPr>
          <w:rFonts w:ascii="Times New Roman" w:hAnsi="Times New Roman" w:cs="Times New Roman"/>
          <w:color w:val="000000" w:themeColor="text1"/>
          <w:sz w:val="24"/>
          <w:szCs w:val="24"/>
        </w:rPr>
        <w:t xml:space="preserve"> for </w:t>
      </w:r>
      <w:r>
        <w:rPr>
          <w:rFonts w:ascii="Times New Roman" w:hAnsi="Times New Roman" w:cs="Times New Roman"/>
          <w:color w:val="000000" w:themeColor="text1"/>
          <w:sz w:val="24"/>
          <w:szCs w:val="24"/>
        </w:rPr>
        <w:t>Sc</w:t>
      </w:r>
      <w:r w:rsidRPr="0014720F">
        <w:rPr>
          <w:rFonts w:ascii="Times New Roman" w:hAnsi="Times New Roman" w:cs="Times New Roman"/>
          <w:color w:val="000000" w:themeColor="text1"/>
          <w:sz w:val="24"/>
          <w:szCs w:val="24"/>
        </w:rPr>
        <w:t xml:space="preserve">N PEALD on Si (100) at </w:t>
      </w:r>
      <w:r>
        <w:rPr>
          <w:rFonts w:ascii="Times New Roman" w:hAnsi="Times New Roman" w:cs="Times New Roman"/>
          <w:color w:val="000000" w:themeColor="text1"/>
          <w:sz w:val="24"/>
          <w:szCs w:val="24"/>
        </w:rPr>
        <w:t xml:space="preserve">a </w:t>
      </w:r>
      <w:r w:rsidRPr="0014720F">
        <w:rPr>
          <w:rFonts w:ascii="Times New Roman" w:hAnsi="Times New Roman" w:cs="Times New Roman"/>
          <w:color w:val="000000" w:themeColor="text1"/>
          <w:sz w:val="24"/>
          <w:szCs w:val="24"/>
        </w:rPr>
        <w:t xml:space="preserve">215°C substrate temperature.  </w:t>
      </w:r>
      <w:r>
        <w:rPr>
          <w:rFonts w:ascii="Times New Roman" w:hAnsi="Times New Roman" w:cs="Times New Roman"/>
          <w:color w:val="000000" w:themeColor="text1"/>
          <w:sz w:val="24"/>
          <w:szCs w:val="24"/>
        </w:rPr>
        <w:t xml:space="preserve">Sc precursor dose saturation </w:t>
      </w:r>
      <w:r>
        <w:rPr>
          <w:rFonts w:ascii="Times New Roman" w:hAnsi="Times New Roman" w:cs="Times New Roman"/>
          <w:sz w:val="24"/>
          <w:szCs w:val="24"/>
        </w:rPr>
        <w:t>at ~0.15 Å/cycle</w:t>
      </w:r>
      <w:r>
        <w:rPr>
          <w:rFonts w:ascii="Times New Roman" w:hAnsi="Times New Roman" w:cs="Times New Roman"/>
          <w:color w:val="000000" w:themeColor="text1"/>
          <w:sz w:val="24"/>
          <w:szCs w:val="24"/>
        </w:rPr>
        <w:t xml:space="preserve"> is observed over the full range of dose times from 0.25–1.75 s.  GPC also remains constant </w:t>
      </w:r>
      <w:r>
        <w:rPr>
          <w:rFonts w:ascii="Times New Roman" w:hAnsi="Times New Roman" w:cs="Times New Roman"/>
          <w:sz w:val="24"/>
          <w:szCs w:val="24"/>
        </w:rPr>
        <w:t>at ~0.15 Å/cycle</w:t>
      </w:r>
      <w:r>
        <w:rPr>
          <w:rFonts w:ascii="Times New Roman" w:hAnsi="Times New Roman" w:cs="Times New Roman"/>
          <w:color w:val="000000" w:themeColor="text1"/>
          <w:sz w:val="24"/>
          <w:szCs w:val="24"/>
        </w:rPr>
        <w:t xml:space="preserve"> above 20 s </w:t>
      </w:r>
      <w:r w:rsidRPr="003A4715">
        <w:rPr>
          <w:rFonts w:ascii="Times New Roman" w:hAnsi="Times New Roman" w:cs="Times New Roman"/>
          <w:sz w:val="24"/>
          <w:szCs w:val="24"/>
        </w:rPr>
        <w:t>ClSc(EtCp)</w:t>
      </w:r>
      <w:r w:rsidRPr="003A4715">
        <w:rPr>
          <w:rFonts w:ascii="Times New Roman" w:hAnsi="Times New Roman" w:cs="Times New Roman"/>
          <w:sz w:val="24"/>
          <w:szCs w:val="24"/>
          <w:vertAlign w:val="subscript"/>
        </w:rPr>
        <w:t>2</w:t>
      </w:r>
      <w:r>
        <w:rPr>
          <w:rFonts w:ascii="Times New Roman" w:hAnsi="Times New Roman" w:cs="Times New Roman"/>
          <w:sz w:val="24"/>
          <w:szCs w:val="24"/>
        </w:rPr>
        <w:t xml:space="preserve"> purge time.</w:t>
      </w:r>
    </w:p>
    <w:p w14:paraId="09ABE259" w14:textId="77777777" w:rsidR="001E5F34" w:rsidRDefault="001E5F34" w:rsidP="001E5F3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It was previously reported that a higher value was observed for the refractive index at the center versus the edge positions of a 150 mm Si (100) substrate.</w:t>
      </w:r>
      <w:r>
        <w:rPr>
          <w:rFonts w:ascii="Times New Roman" w:hAnsi="Times New Roman" w:cs="Times New Roman"/>
          <w:sz w:val="24"/>
          <w:szCs w:val="24"/>
          <w:vertAlign w:val="superscript"/>
        </w:rPr>
        <w:t>SR1</w:t>
      </w:r>
      <w:r>
        <w:rPr>
          <w:rFonts w:ascii="Times New Roman" w:hAnsi="Times New Roman" w:cs="Times New Roman"/>
          <w:sz w:val="24"/>
          <w:szCs w:val="24"/>
        </w:rPr>
        <w:t xml:space="preserve"> We investigated this </w:t>
      </w:r>
      <w:r>
        <w:rPr>
          <w:rFonts w:ascii="Times New Roman" w:hAnsi="Times New Roman" w:cs="Times New Roman"/>
          <w:sz w:val="24"/>
          <w:szCs w:val="24"/>
        </w:rPr>
        <w:lastRenderedPageBreak/>
        <w:t>phenomenon and determined that the index NU correlated with continuous H</w:t>
      </w:r>
      <w:r w:rsidRPr="00CB5D64">
        <w:rPr>
          <w:rFonts w:ascii="Times New Roman" w:hAnsi="Times New Roman" w:cs="Times New Roman"/>
          <w:sz w:val="24"/>
          <w:szCs w:val="24"/>
          <w:vertAlign w:val="subscript"/>
        </w:rPr>
        <w:t>2</w:t>
      </w:r>
      <w:r>
        <w:rPr>
          <w:rFonts w:ascii="Times New Roman" w:hAnsi="Times New Roman" w:cs="Times New Roman"/>
          <w:sz w:val="24"/>
          <w:szCs w:val="24"/>
        </w:rPr>
        <w:t xml:space="preserve"> flow through the ICP source during ScN growth. After limiting the H</w:t>
      </w:r>
      <w:r w:rsidRPr="00CB5D64">
        <w:rPr>
          <w:rFonts w:ascii="Times New Roman" w:hAnsi="Times New Roman" w:cs="Times New Roman"/>
          <w:sz w:val="24"/>
          <w:szCs w:val="24"/>
          <w:vertAlign w:val="subscript"/>
        </w:rPr>
        <w:t>2</w:t>
      </w:r>
      <w:r>
        <w:rPr>
          <w:rFonts w:ascii="Times New Roman" w:hAnsi="Times New Roman" w:cs="Times New Roman"/>
          <w:sz w:val="24"/>
          <w:szCs w:val="24"/>
        </w:rPr>
        <w:t xml:space="preserve"> flow to the N</w:t>
      </w:r>
      <w:r w:rsidRPr="00CB5D64">
        <w:rPr>
          <w:rFonts w:ascii="Times New Roman" w:hAnsi="Times New Roman" w:cs="Times New Roman"/>
          <w:sz w:val="24"/>
          <w:szCs w:val="24"/>
          <w:vertAlign w:val="subscript"/>
        </w:rPr>
        <w:t>2</w:t>
      </w:r>
      <w:r>
        <w:rPr>
          <w:rFonts w:ascii="Times New Roman" w:hAnsi="Times New Roman" w:cs="Times New Roman"/>
          <w:sz w:val="24"/>
          <w:szCs w:val="24"/>
        </w:rPr>
        <w:t>-H</w:t>
      </w:r>
      <w:r w:rsidRPr="00CB5D64">
        <w:rPr>
          <w:rFonts w:ascii="Times New Roman" w:hAnsi="Times New Roman" w:cs="Times New Roman"/>
          <w:sz w:val="24"/>
          <w:szCs w:val="24"/>
          <w:vertAlign w:val="subscript"/>
        </w:rPr>
        <w:t>2</w:t>
      </w:r>
      <w:r>
        <w:rPr>
          <w:rFonts w:ascii="Times New Roman" w:hAnsi="Times New Roman" w:cs="Times New Roman"/>
          <w:sz w:val="24"/>
          <w:szCs w:val="24"/>
        </w:rPr>
        <w:t xml:space="preserve"> plasma dose step only, the index NU significantly improved; therefore, in this work, we limited H</w:t>
      </w:r>
      <w:r w:rsidRPr="005D0717">
        <w:rPr>
          <w:rFonts w:ascii="Times New Roman" w:hAnsi="Times New Roman" w:cs="Times New Roman"/>
          <w:sz w:val="24"/>
          <w:szCs w:val="24"/>
          <w:vertAlign w:val="subscript"/>
        </w:rPr>
        <w:t>2</w:t>
      </w:r>
      <w:r>
        <w:rPr>
          <w:rFonts w:ascii="Times New Roman" w:hAnsi="Times New Roman" w:cs="Times New Roman"/>
          <w:sz w:val="24"/>
          <w:szCs w:val="24"/>
        </w:rPr>
        <w:t xml:space="preserve"> flow to the plasma dose step only.</w:t>
      </w:r>
    </w:p>
    <w:p w14:paraId="22171C3E" w14:textId="77777777" w:rsidR="001E5F34" w:rsidRDefault="001E5F34" w:rsidP="001E5F34">
      <w:pPr>
        <w:spacing w:after="0" w:line="480" w:lineRule="auto"/>
        <w:ind w:firstLine="720"/>
        <w:jc w:val="both"/>
        <w:rPr>
          <w:rFonts w:ascii="Times New Roman" w:hAnsi="Times New Roman" w:cs="Times New Roman"/>
          <w:sz w:val="24"/>
          <w:szCs w:val="24"/>
        </w:rPr>
      </w:pPr>
    </w:p>
    <w:p w14:paraId="6BA33AEE" w14:textId="77777777" w:rsidR="001E5F34" w:rsidRPr="00825148" w:rsidRDefault="001E5F34" w:rsidP="001E5F34">
      <w:pPr>
        <w:spacing w:after="0" w:line="480" w:lineRule="auto"/>
        <w:jc w:val="both"/>
        <w:rPr>
          <w:rFonts w:ascii="Times New Roman" w:hAnsi="Times New Roman" w:cs="Times New Roman"/>
          <w:b/>
          <w:bCs/>
          <w:sz w:val="24"/>
          <w:szCs w:val="24"/>
        </w:rPr>
      </w:pPr>
      <w:r w:rsidRPr="00825148">
        <w:rPr>
          <w:rFonts w:ascii="Times New Roman" w:hAnsi="Times New Roman" w:cs="Times New Roman"/>
          <w:b/>
          <w:bCs/>
          <w:sz w:val="24"/>
          <w:szCs w:val="24"/>
        </w:rPr>
        <w:t>Supplemental Reference</w:t>
      </w:r>
    </w:p>
    <w:p w14:paraId="7018B671" w14:textId="77777777" w:rsidR="001E5F34" w:rsidRDefault="001E5F34" w:rsidP="001E5F34">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SR1 </w:t>
      </w:r>
      <w:r w:rsidRPr="009D1CA6">
        <w:rPr>
          <w:rFonts w:ascii="Times New Roman" w:hAnsi="Times New Roman" w:cs="Times New Roman"/>
          <w:color w:val="000000" w:themeColor="text1"/>
          <w:sz w:val="24"/>
          <w:szCs w:val="24"/>
        </w:rPr>
        <w:t>Gilbert B. Rayner, Jr., Noel O’Toole, Bangzhi Liu, Jeffrey Shallenberger,</w:t>
      </w:r>
      <w:r w:rsidRPr="009D1CA6">
        <w:rPr>
          <w:rFonts w:ascii="Times New Roman" w:hAnsi="Times New Roman" w:cs="Times New Roman"/>
          <w:color w:val="000000" w:themeColor="text1"/>
          <w:sz w:val="24"/>
          <w:szCs w:val="24"/>
          <w:vertAlign w:val="superscript"/>
        </w:rPr>
        <w:t xml:space="preserve"> </w:t>
      </w:r>
      <w:r w:rsidRPr="009D1CA6">
        <w:rPr>
          <w:rFonts w:ascii="Times New Roman" w:hAnsi="Times New Roman" w:cs="Times New Roman"/>
          <w:color w:val="000000" w:themeColor="text1"/>
          <w:sz w:val="24"/>
          <w:szCs w:val="24"/>
        </w:rPr>
        <w:t>Jiadi Zhu, Tomás</w:t>
      </w:r>
    </w:p>
    <w:p w14:paraId="7F1C0229" w14:textId="77777777" w:rsidR="001E5F34" w:rsidRDefault="001E5F34" w:rsidP="001E5F34">
      <w:pPr>
        <w:spacing w:after="0" w:line="480" w:lineRule="auto"/>
        <w:jc w:val="both"/>
        <w:rPr>
          <w:rFonts w:ascii="Times New Roman" w:hAnsi="Times New Roman" w:cs="Times New Roman"/>
          <w:color w:val="000000" w:themeColor="text1"/>
          <w:sz w:val="24"/>
          <w:szCs w:val="24"/>
        </w:rPr>
      </w:pPr>
      <w:r w:rsidRPr="009D1CA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b/>
      </w:r>
      <w:r w:rsidRPr="009D1CA6">
        <w:rPr>
          <w:rFonts w:ascii="Times New Roman" w:hAnsi="Times New Roman" w:cs="Times New Roman"/>
          <w:color w:val="000000" w:themeColor="text1"/>
          <w:sz w:val="24"/>
          <w:szCs w:val="24"/>
        </w:rPr>
        <w:t>Palacios, Piush Behera, Suraj Cheema,</w:t>
      </w:r>
      <w:r w:rsidRPr="009D1CA6">
        <w:rPr>
          <w:rFonts w:ascii="Times New Roman" w:hAnsi="Times New Roman" w:cs="Times New Roman"/>
          <w:color w:val="000000" w:themeColor="text1"/>
          <w:sz w:val="24"/>
          <w:szCs w:val="24"/>
          <w:vertAlign w:val="superscript"/>
        </w:rPr>
        <w:t xml:space="preserve"> </w:t>
      </w:r>
      <w:r w:rsidRPr="009D1CA6">
        <w:rPr>
          <w:rFonts w:ascii="Times New Roman" w:hAnsi="Times New Roman" w:cs="Times New Roman"/>
          <w:color w:val="000000" w:themeColor="text1"/>
          <w:sz w:val="24"/>
          <w:szCs w:val="24"/>
        </w:rPr>
        <w:t>Blaine Johs and Nicholas A. Strnad</w:t>
      </w:r>
      <w:r>
        <w:rPr>
          <w:rFonts w:ascii="Times New Roman" w:hAnsi="Times New Roman" w:cs="Times New Roman"/>
          <w:color w:val="000000" w:themeColor="text1"/>
          <w:sz w:val="24"/>
          <w:szCs w:val="24"/>
        </w:rPr>
        <w:t xml:space="preserve">, </w:t>
      </w:r>
      <w:r w:rsidRPr="00FF43CC">
        <w:rPr>
          <w:rFonts w:ascii="Times New Roman" w:hAnsi="Times New Roman" w:cs="Times New Roman"/>
          <w:color w:val="000000" w:themeColor="text1"/>
          <w:sz w:val="24"/>
          <w:szCs w:val="24"/>
        </w:rPr>
        <w:t>J. Vac. Sci.</w:t>
      </w:r>
      <w:r>
        <w:rPr>
          <w:rFonts w:ascii="Times New Roman" w:hAnsi="Times New Roman" w:cs="Times New Roman"/>
          <w:color w:val="000000" w:themeColor="text1"/>
          <w:sz w:val="24"/>
          <w:szCs w:val="24"/>
        </w:rPr>
        <w:t xml:space="preserve"> </w:t>
      </w:r>
    </w:p>
    <w:p w14:paraId="708BDB7F" w14:textId="77777777" w:rsidR="001E5F34" w:rsidRDefault="001E5F34" w:rsidP="001E5F34">
      <w:pPr>
        <w:spacing w:after="0" w:line="480" w:lineRule="auto"/>
        <w:ind w:firstLine="720"/>
        <w:jc w:val="both"/>
        <w:rPr>
          <w:rFonts w:ascii="Times New Roman" w:hAnsi="Times New Roman" w:cs="Times New Roman"/>
          <w:color w:val="000000" w:themeColor="text1"/>
          <w:sz w:val="24"/>
          <w:szCs w:val="24"/>
        </w:rPr>
      </w:pPr>
      <w:r w:rsidRPr="00FF43CC">
        <w:rPr>
          <w:rFonts w:ascii="Times New Roman" w:hAnsi="Times New Roman" w:cs="Times New Roman"/>
          <w:color w:val="000000" w:themeColor="text1"/>
          <w:sz w:val="24"/>
          <w:szCs w:val="24"/>
        </w:rPr>
        <w:t xml:space="preserve">Technol. A </w:t>
      </w:r>
      <w:r>
        <w:rPr>
          <w:rFonts w:ascii="Times New Roman" w:hAnsi="Times New Roman" w:cs="Times New Roman"/>
          <w:b/>
          <w:bCs/>
          <w:color w:val="000000" w:themeColor="text1"/>
          <w:sz w:val="24"/>
          <w:szCs w:val="24"/>
        </w:rPr>
        <w:t>43</w:t>
      </w:r>
      <w:r w:rsidRPr="00FF43CC">
        <w:rPr>
          <w:rFonts w:ascii="Times New Roman" w:hAnsi="Times New Roman" w:cs="Times New Roman"/>
          <w:color w:val="000000" w:themeColor="text1"/>
          <w:sz w:val="24"/>
          <w:szCs w:val="24"/>
        </w:rPr>
        <w:t>, 0</w:t>
      </w:r>
      <w:r>
        <w:rPr>
          <w:rFonts w:ascii="Times New Roman" w:hAnsi="Times New Roman" w:cs="Times New Roman"/>
          <w:color w:val="000000" w:themeColor="text1"/>
          <w:sz w:val="24"/>
          <w:szCs w:val="24"/>
        </w:rPr>
        <w:t>20401</w:t>
      </w:r>
      <w:r w:rsidRPr="00FF43CC">
        <w:rPr>
          <w:rFonts w:ascii="Times New Roman" w:hAnsi="Times New Roman" w:cs="Times New Roman"/>
          <w:color w:val="000000" w:themeColor="text1"/>
          <w:sz w:val="24"/>
          <w:szCs w:val="24"/>
        </w:rPr>
        <w:t xml:space="preserve"> (202</w:t>
      </w:r>
      <w:r>
        <w:rPr>
          <w:rFonts w:ascii="Times New Roman" w:hAnsi="Times New Roman" w:cs="Times New Roman"/>
          <w:color w:val="000000" w:themeColor="text1"/>
          <w:sz w:val="24"/>
          <w:szCs w:val="24"/>
        </w:rPr>
        <w:t>5</w:t>
      </w:r>
      <w:r w:rsidRPr="00FF43CC">
        <w:rPr>
          <w:rFonts w:ascii="Times New Roman" w:hAnsi="Times New Roman" w:cs="Times New Roman"/>
          <w:color w:val="000000" w:themeColor="text1"/>
          <w:sz w:val="24"/>
          <w:szCs w:val="24"/>
        </w:rPr>
        <w:t>).</w:t>
      </w:r>
    </w:p>
    <w:p w14:paraId="40709A09" w14:textId="77777777" w:rsidR="001E5F34" w:rsidRPr="00E66C96" w:rsidRDefault="001E5F34" w:rsidP="001E5F34">
      <w:pPr>
        <w:rPr>
          <w:rFonts w:ascii="Times New Roman" w:hAnsi="Times New Roman" w:cs="Times New Roman"/>
          <w:sz w:val="24"/>
          <w:szCs w:val="24"/>
        </w:rPr>
      </w:pPr>
    </w:p>
    <w:p w14:paraId="2B04ED70"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F34"/>
    <w:rsid w:val="00195413"/>
    <w:rsid w:val="001E5F34"/>
    <w:rsid w:val="003D0186"/>
    <w:rsid w:val="006B0985"/>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10A03"/>
  <w15:chartTrackingRefBased/>
  <w15:docId w15:val="{1D5EB892-B77D-4C6E-ADF6-A8F93ACF7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F34"/>
    <w:pPr>
      <w:spacing w:line="259" w:lineRule="auto"/>
    </w:pPr>
    <w:rPr>
      <w:kern w:val="0"/>
      <w:sz w:val="22"/>
      <w:szCs w:val="22"/>
      <w14:ligatures w14:val="none"/>
    </w:rPr>
  </w:style>
  <w:style w:type="paragraph" w:styleId="Heading1">
    <w:name w:val="heading 1"/>
    <w:basedOn w:val="Normal"/>
    <w:next w:val="Normal"/>
    <w:link w:val="Heading1Char"/>
    <w:uiPriority w:val="9"/>
    <w:qFormat/>
    <w:rsid w:val="001E5F3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E5F3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E5F34"/>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E5F34"/>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1E5F34"/>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1E5F34"/>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1E5F34"/>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1E5F34"/>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1E5F34"/>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F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5F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5F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5F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5F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5F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5F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5F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5F34"/>
    <w:rPr>
      <w:rFonts w:eastAsiaTheme="majorEastAsia" w:cstheme="majorBidi"/>
      <w:color w:val="272727" w:themeColor="text1" w:themeTint="D8"/>
    </w:rPr>
  </w:style>
  <w:style w:type="paragraph" w:styleId="Title">
    <w:name w:val="Title"/>
    <w:basedOn w:val="Normal"/>
    <w:next w:val="Normal"/>
    <w:link w:val="TitleChar"/>
    <w:uiPriority w:val="10"/>
    <w:qFormat/>
    <w:rsid w:val="001E5F3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E5F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5F34"/>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E5F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5F34"/>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1E5F34"/>
    <w:rPr>
      <w:i/>
      <w:iCs/>
      <w:color w:val="404040" w:themeColor="text1" w:themeTint="BF"/>
    </w:rPr>
  </w:style>
  <w:style w:type="paragraph" w:styleId="ListParagraph">
    <w:name w:val="List Paragraph"/>
    <w:basedOn w:val="Normal"/>
    <w:uiPriority w:val="34"/>
    <w:qFormat/>
    <w:rsid w:val="001E5F34"/>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1E5F34"/>
    <w:rPr>
      <w:i/>
      <w:iCs/>
      <w:color w:val="0F4761" w:themeColor="accent1" w:themeShade="BF"/>
    </w:rPr>
  </w:style>
  <w:style w:type="paragraph" w:styleId="IntenseQuote">
    <w:name w:val="Intense Quote"/>
    <w:basedOn w:val="Normal"/>
    <w:next w:val="Normal"/>
    <w:link w:val="IntenseQuoteChar"/>
    <w:uiPriority w:val="30"/>
    <w:qFormat/>
    <w:rsid w:val="001E5F3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1E5F34"/>
    <w:rPr>
      <w:i/>
      <w:iCs/>
      <w:color w:val="0F4761" w:themeColor="accent1" w:themeShade="BF"/>
    </w:rPr>
  </w:style>
  <w:style w:type="character" w:styleId="IntenseReference">
    <w:name w:val="Intense Reference"/>
    <w:basedOn w:val="DefaultParagraphFont"/>
    <w:uiPriority w:val="32"/>
    <w:qFormat/>
    <w:rsid w:val="001E5F34"/>
    <w:rPr>
      <w:b/>
      <w:bCs/>
      <w:smallCaps/>
      <w:color w:val="0F4761" w:themeColor="accent1" w:themeShade="BF"/>
      <w:spacing w:val="5"/>
    </w:rPr>
  </w:style>
  <w:style w:type="character" w:styleId="SubtleReference">
    <w:name w:val="Subtle Reference"/>
    <w:basedOn w:val="DefaultParagraphFont"/>
    <w:uiPriority w:val="31"/>
    <w:qFormat/>
    <w:rsid w:val="001E5F34"/>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824</Words>
  <Characters>4698</Characters>
  <Application>Microsoft Office Word</Application>
  <DocSecurity>0</DocSecurity>
  <Lines>39</Lines>
  <Paragraphs>11</Paragraphs>
  <ScaleCrop>false</ScaleCrop>
  <Company>Springer Nature</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2025-07-02T06:48:00Z</dcterms:created>
  <dcterms:modified xsi:type="dcterms:W3CDTF">2025-07-02T06:48:00Z</dcterms:modified>
</cp:coreProperties>
</file>