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F16C" w14:textId="1B424402" w:rsidR="00893B48" w:rsidRPr="00376EBA" w:rsidRDefault="00893B48" w:rsidP="00621174">
      <w:pPr>
        <w:spacing w:line="480" w:lineRule="auto"/>
        <w:jc w:val="center"/>
        <w:rPr>
          <w:b/>
          <w:sz w:val="24"/>
          <w:szCs w:val="24"/>
          <w:lang w:val="en-US"/>
        </w:rPr>
      </w:pPr>
      <w:r w:rsidRPr="00022B9B">
        <w:rPr>
          <w:b/>
          <w:sz w:val="24"/>
          <w:szCs w:val="24"/>
          <w:lang w:val="en-US"/>
        </w:rPr>
        <w:t xml:space="preserve">Appendix: </w:t>
      </w:r>
      <w:r w:rsidR="00621174">
        <w:rPr>
          <w:b/>
          <w:sz w:val="24"/>
          <w:szCs w:val="24"/>
          <w:lang w:val="en-US"/>
        </w:rPr>
        <w:t>Patterns of Emergence and Circulation of West Nile Virus in Algeria</w:t>
      </w:r>
    </w:p>
    <w:p w14:paraId="1ECAA7C0" w14:textId="77777777" w:rsidR="00893B48" w:rsidRPr="00376EBA" w:rsidRDefault="00893B48" w:rsidP="00893B48">
      <w:pPr>
        <w:spacing w:line="480" w:lineRule="auto"/>
        <w:jc w:val="center"/>
        <w:rPr>
          <w:b/>
          <w:sz w:val="24"/>
          <w:szCs w:val="24"/>
          <w:lang w:val="en-US"/>
        </w:rPr>
      </w:pPr>
    </w:p>
    <w:p w14:paraId="20C9F084" w14:textId="77777777" w:rsidR="00ED1D9A" w:rsidRPr="00376EBA" w:rsidRDefault="00ED1D9A" w:rsidP="00893B48">
      <w:pPr>
        <w:spacing w:line="480" w:lineRule="auto"/>
        <w:jc w:val="center"/>
        <w:rPr>
          <w:b/>
          <w:sz w:val="24"/>
          <w:szCs w:val="24"/>
          <w:lang w:val="en-US"/>
        </w:rPr>
      </w:pPr>
    </w:p>
    <w:sdt>
      <w:sdtPr>
        <w:rPr>
          <w:rFonts w:ascii="Arial" w:eastAsia="Arial" w:hAnsi="Arial" w:cs="Arial"/>
          <w:color w:val="auto"/>
          <w:sz w:val="22"/>
          <w:szCs w:val="22"/>
          <w:lang w:val="en"/>
        </w:rPr>
        <w:id w:val="203653865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C6CA62C" w14:textId="4C41B86F" w:rsidR="00ED1D9A" w:rsidRPr="00ED1D9A" w:rsidRDefault="00ED1D9A" w:rsidP="00437961">
          <w:pPr>
            <w:pStyle w:val="TOCHeading"/>
            <w:spacing w:line="480" w:lineRule="auto"/>
            <w:jc w:val="both"/>
            <w:rPr>
              <w:color w:val="auto"/>
            </w:rPr>
          </w:pPr>
          <w:r w:rsidRPr="00ED1D9A">
            <w:rPr>
              <w:color w:val="auto"/>
            </w:rPr>
            <w:t>Contents</w:t>
          </w:r>
        </w:p>
        <w:p w14:paraId="22762768" w14:textId="1A2F7C70" w:rsidR="00AD0185" w:rsidRDefault="00ED1D9A" w:rsidP="00437961">
          <w:pPr>
            <w:pStyle w:val="TOC1"/>
            <w:tabs>
              <w:tab w:val="right" w:leader="dot" w:pos="9350"/>
            </w:tabs>
            <w:spacing w:line="48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0160183" w:history="1">
            <w:r w:rsidR="00AD0185" w:rsidRPr="00700F1F">
              <w:rPr>
                <w:rStyle w:val="Hyperlink"/>
                <w:noProof/>
              </w:rPr>
              <w:t>Supplementary methods</w:t>
            </w:r>
            <w:r w:rsidR="00AD0185">
              <w:rPr>
                <w:noProof/>
                <w:webHidden/>
              </w:rPr>
              <w:tab/>
            </w:r>
            <w:r w:rsidR="00AD0185">
              <w:rPr>
                <w:noProof/>
                <w:webHidden/>
              </w:rPr>
              <w:fldChar w:fldCharType="begin"/>
            </w:r>
            <w:r w:rsidR="00AD0185">
              <w:rPr>
                <w:noProof/>
                <w:webHidden/>
              </w:rPr>
              <w:instrText xml:space="preserve"> PAGEREF _Toc190160183 \h </w:instrText>
            </w:r>
            <w:r w:rsidR="00AD0185">
              <w:rPr>
                <w:noProof/>
                <w:webHidden/>
              </w:rPr>
            </w:r>
            <w:r w:rsidR="00AD0185">
              <w:rPr>
                <w:noProof/>
                <w:webHidden/>
              </w:rPr>
              <w:fldChar w:fldCharType="separate"/>
            </w:r>
            <w:r w:rsidR="00AD0185">
              <w:rPr>
                <w:noProof/>
                <w:webHidden/>
              </w:rPr>
              <w:t>2</w:t>
            </w:r>
            <w:r w:rsidR="00AD0185">
              <w:rPr>
                <w:noProof/>
                <w:webHidden/>
              </w:rPr>
              <w:fldChar w:fldCharType="end"/>
            </w:r>
          </w:hyperlink>
        </w:p>
        <w:p w14:paraId="29D27A67" w14:textId="64681972" w:rsidR="00AD0185" w:rsidRDefault="00437961" w:rsidP="00437961">
          <w:pPr>
            <w:pStyle w:val="TOC1"/>
            <w:tabs>
              <w:tab w:val="right" w:leader="dot" w:pos="9350"/>
            </w:tabs>
            <w:spacing w:line="48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0160184" w:history="1">
            <w:r w:rsidRPr="00700F1F">
              <w:rPr>
                <w:rStyle w:val="Hyperlink"/>
                <w:noProof/>
              </w:rPr>
              <w:t>Supplementary figures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4</w:t>
            </w:r>
          </w:hyperlink>
        </w:p>
        <w:p w14:paraId="0AAE8F0C" w14:textId="24F2EA71" w:rsidR="00AD0185" w:rsidRDefault="00437961" w:rsidP="00437961">
          <w:pPr>
            <w:pStyle w:val="TOC1"/>
            <w:tabs>
              <w:tab w:val="right" w:leader="dot" w:pos="9350"/>
            </w:tabs>
            <w:spacing w:line="480" w:lineRule="auto"/>
            <w:jc w:val="both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0160185" w:history="1">
            <w:r w:rsidRPr="00700F1F">
              <w:rPr>
                <w:rStyle w:val="Hyperlink"/>
                <w:noProof/>
              </w:rPr>
              <w:t>Supplementary 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t>6</w:t>
            </w:r>
          </w:hyperlink>
        </w:p>
        <w:p w14:paraId="2F2FBCD4" w14:textId="65B279BA" w:rsidR="00ED1D9A" w:rsidRDefault="00ED1D9A" w:rsidP="00437961">
          <w:pPr>
            <w:spacing w:line="480" w:lineRule="auto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5538D6F" w14:textId="77777777" w:rsidR="00893B48" w:rsidRDefault="00893B48" w:rsidP="00893B48">
      <w:pPr>
        <w:spacing w:line="480" w:lineRule="auto"/>
        <w:rPr>
          <w:b/>
          <w:sz w:val="24"/>
          <w:szCs w:val="24"/>
          <w:lang w:val="de-DE"/>
        </w:rPr>
      </w:pPr>
    </w:p>
    <w:p w14:paraId="6070E7F6" w14:textId="77777777" w:rsidR="00893B48" w:rsidRDefault="00893B48" w:rsidP="00893B48">
      <w:pPr>
        <w:spacing w:line="480" w:lineRule="auto"/>
        <w:rPr>
          <w:b/>
          <w:sz w:val="24"/>
          <w:szCs w:val="24"/>
          <w:lang w:val="de-DE"/>
        </w:rPr>
      </w:pPr>
    </w:p>
    <w:p w14:paraId="4D83AEA0" w14:textId="77777777" w:rsidR="00893B48" w:rsidRDefault="00893B48" w:rsidP="00893B48">
      <w:pPr>
        <w:spacing w:line="480" w:lineRule="auto"/>
        <w:rPr>
          <w:b/>
          <w:sz w:val="24"/>
          <w:szCs w:val="24"/>
          <w:lang w:val="de-DE"/>
        </w:rPr>
      </w:pPr>
    </w:p>
    <w:p w14:paraId="46D83D11" w14:textId="77777777" w:rsidR="00893B48" w:rsidRDefault="00893B48" w:rsidP="00893B48">
      <w:pPr>
        <w:spacing w:line="480" w:lineRule="auto"/>
        <w:rPr>
          <w:b/>
          <w:sz w:val="24"/>
          <w:szCs w:val="24"/>
          <w:lang w:val="de-DE"/>
        </w:rPr>
        <w:sectPr w:rsidR="00893B48" w:rsidSect="00E80E5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36D73A6" w14:textId="77777777" w:rsidR="00893B48" w:rsidRPr="00D212ED" w:rsidRDefault="00893B48" w:rsidP="00D212ED">
      <w:pPr>
        <w:pStyle w:val="paperheading1"/>
      </w:pPr>
      <w:bookmarkStart w:id="0" w:name="_Toc190160183"/>
      <w:r w:rsidRPr="00D212ED">
        <w:lastRenderedPageBreak/>
        <w:t xml:space="preserve">Supplementary </w:t>
      </w:r>
      <w:r w:rsidRPr="00962195">
        <w:t>methods</w:t>
      </w:r>
      <w:bookmarkEnd w:id="0"/>
    </w:p>
    <w:p w14:paraId="38167F28" w14:textId="1CE8C6F5" w:rsidR="00A548DD" w:rsidRDefault="004674C6" w:rsidP="00437961">
      <w:pPr>
        <w:spacing w:line="480" w:lineRule="auto"/>
      </w:pPr>
      <w:r w:rsidRPr="004674C6">
        <w:rPr>
          <w:i/>
          <w:iCs/>
        </w:rPr>
        <w:t>Model equations</w:t>
      </w:r>
      <w:r>
        <w:t xml:space="preserve">. </w:t>
      </w:r>
      <w:r w:rsidR="00A548DD">
        <w:t xml:space="preserve">Models were run using an earlier version of the </w:t>
      </w:r>
      <w:proofErr w:type="spellStart"/>
      <w:r w:rsidR="00A548DD">
        <w:t>RSero</w:t>
      </w:r>
      <w:proofErr w:type="spellEnd"/>
      <w:r w:rsidR="00A548DD">
        <w:t xml:space="preserve"> package (prior to the 2025 publication in </w:t>
      </w:r>
      <w:proofErr w:type="spellStart"/>
      <w:r w:rsidR="00A548DD">
        <w:t>PloS</w:t>
      </w:r>
      <w:proofErr w:type="spellEnd"/>
      <w:r w:rsidR="00A548DD">
        <w:t xml:space="preserve"> Comp Biol</w:t>
      </w:r>
      <w:r w:rsidR="000D0CD4">
        <w:t xml:space="preserve"> </w:t>
      </w:r>
      <w:r w:rsidR="000D0CD4" w:rsidRPr="000D0CD4">
        <w:t>https://doi.org/10.1371/journal.pcbi.1012777</w:t>
      </w:r>
      <w:r w:rsidR="00A548DD">
        <w:t xml:space="preserve">). The following corresponds to the model equations used in this analysis. </w:t>
      </w:r>
    </w:p>
    <w:p w14:paraId="6041DBB3" w14:textId="4E2E4A32" w:rsidR="00A548DD" w:rsidRDefault="00A548DD" w:rsidP="00437961">
      <w:pPr>
        <w:spacing w:line="480" w:lineRule="auto"/>
      </w:pPr>
      <w:r>
        <w:t xml:space="preserve">Constant model: </w:t>
      </w:r>
      <w:r w:rsidRPr="00A548DD">
        <w:t xml:space="preserve">the probability that an individual of age </w:t>
      </w:r>
      <w:r w:rsidRPr="00A548DD">
        <w:rPr>
          <w:i/>
          <w:iCs/>
        </w:rPr>
        <w:t>a</w:t>
      </w:r>
      <w:r w:rsidRPr="00A548DD">
        <w:t xml:space="preserve"> is seropositive</w:t>
      </w:r>
      <w:r>
        <w:t xml:space="preserve"> </w:t>
      </w:r>
      <w:r w:rsidR="00243852">
        <w:t xml:space="preserve">is </w:t>
      </w:r>
      <m:oMath>
        <m:r>
          <w:rPr>
            <w:rFonts w:ascii="Cambria Math" w:hAnsi="Cambria Math"/>
          </w:rPr>
          <m:t>P=1-</m:t>
        </m:r>
        <m:r>
          <m:rPr>
            <m:sty m:val="p"/>
          </m:rPr>
          <w:rPr>
            <w:rFonts w:ascii="Cambria Math" w:hAnsi="Cambria Math"/>
          </w:rPr>
          <m:t>exp</m:t>
        </m:r>
        <m:r>
          <w:rPr>
            <w:rFonts w:ascii="Cambria Math" w:hAnsi="Cambria Math"/>
          </w:rPr>
          <m:t>(-aλ),</m:t>
        </m:r>
      </m:oMath>
      <w:r>
        <w:t xml:space="preserve"> where λ </w:t>
      </w:r>
      <w:r w:rsidR="00243852">
        <w:t>is</w:t>
      </w:r>
      <w:r>
        <w:t xml:space="preserve"> the force of infection</w:t>
      </w:r>
      <w:r w:rsidR="00243852">
        <w:t xml:space="preserve"> (FOI)</w:t>
      </w:r>
      <w:r>
        <w:t>.</w:t>
      </w:r>
    </w:p>
    <w:p w14:paraId="5CCFF2DC" w14:textId="196D3EC1" w:rsidR="00A548DD" w:rsidRDefault="00A548DD" w:rsidP="00437961">
      <w:pPr>
        <w:spacing w:line="480" w:lineRule="auto"/>
      </w:pPr>
      <w:r>
        <w:t xml:space="preserve">Constant model with </w:t>
      </w:r>
      <w:proofErr w:type="spellStart"/>
      <w:r>
        <w:t>seroreversion</w:t>
      </w:r>
      <w:proofErr w:type="spellEnd"/>
      <w:r>
        <w:t>:</w:t>
      </w:r>
      <w:r w:rsidR="007356E2">
        <w:t xml:space="preserve">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λ</m:t>
            </m:r>
          </m:num>
          <m:den>
            <m:r>
              <w:rPr>
                <w:rFonts w:ascii="Cambria Math" w:hAnsi="Cambria Math"/>
              </w:rPr>
              <m:t>λ+ρ</m:t>
            </m:r>
          </m:den>
        </m:f>
        <m:r>
          <w:rPr>
            <w:rFonts w:ascii="Cambria Math" w:hAnsi="Cambria Math"/>
          </w:rPr>
          <m:t>(1-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-a(λ+ρ)</m:t>
            </m:r>
          </m:sup>
        </m:sSup>
        <m:r>
          <w:rPr>
            <w:rFonts w:ascii="Cambria Math" w:hAnsi="Cambria Math"/>
          </w:rPr>
          <m:t>)</m:t>
        </m:r>
      </m:oMath>
      <w:r w:rsidR="00243852">
        <w:t xml:space="preserve">, where ρ is the </w:t>
      </w:r>
      <w:proofErr w:type="spellStart"/>
      <w:r w:rsidR="00243852">
        <w:t>seroreversion</w:t>
      </w:r>
      <w:proofErr w:type="spellEnd"/>
      <w:r w:rsidR="00243852">
        <w:t xml:space="preserve"> rate.</w:t>
      </w:r>
    </w:p>
    <w:p w14:paraId="6226FF33" w14:textId="689CC32F" w:rsidR="00A548DD" w:rsidRPr="00912400" w:rsidRDefault="00A548DD" w:rsidP="00437961">
      <w:pPr>
        <w:spacing w:line="480" w:lineRule="auto"/>
      </w:pPr>
      <w:r>
        <w:t>Outbreak model:</w:t>
      </w:r>
      <w:r w:rsidR="00243852">
        <w:t xml:space="preserve"> </w:t>
      </w:r>
      <w:r w:rsidR="000E4AA0">
        <w:t xml:space="preserve">the outbreak model is described as the sum of </w:t>
      </w:r>
      <w:r w:rsidR="000E4AA0" w:rsidRPr="000E4AA0">
        <w:rPr>
          <w:i/>
          <w:iCs/>
        </w:rPr>
        <w:t>K</w:t>
      </w:r>
      <w:r w:rsidR="000E4AA0">
        <w:t xml:space="preserve"> Gaussian distributions, where K is the number of epidemics. T</w:t>
      </w:r>
      <w:r w:rsidR="00243852">
        <w:t xml:space="preserve">he FOI in year </w:t>
      </w:r>
      <w:r w:rsidR="00243852" w:rsidRPr="00243852">
        <w:rPr>
          <w:i/>
          <w:iCs/>
        </w:rPr>
        <w:t>i</w:t>
      </w:r>
      <w:r w:rsidR="00243852">
        <w:t xml:space="preserve">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exp⁡(-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(i-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</m:nary>
      </m:oMath>
      <w:r w:rsidR="00912400">
        <w:t xml:space="preserve">,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α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</m:t>
                </m:r>
              </m:sub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exp⁡</m:t>
                </m:r>
                <m:r>
                  <w:rPr>
                    <w:rFonts w:ascii="Cambria Math" w:hAnsi="Cambria Math"/>
                  </w:rPr>
                  <m:t>(-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(i-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912400">
        <w:t xml:space="preserve"> . Here, T</w:t>
      </w:r>
      <w:r w:rsidR="00912400">
        <w:rPr>
          <w:vertAlign w:val="subscript"/>
        </w:rPr>
        <w:t>k</w:t>
      </w:r>
      <w:r w:rsidR="00912400">
        <w:t xml:space="preserve"> is the peak year of the focal epidemic, β</w:t>
      </w:r>
      <w:r w:rsidR="00912400">
        <w:rPr>
          <w:vertAlign w:val="subscript"/>
        </w:rPr>
        <w:t>k</w:t>
      </w:r>
      <w:r w:rsidR="00912400">
        <w:t xml:space="preserve"> is the duration of multi-year epidemics or the uncertainty in epidemic timing, and α</w:t>
      </w:r>
      <w:r w:rsidR="00912400">
        <w:rPr>
          <w:vertAlign w:val="subscript"/>
        </w:rPr>
        <w:t>k</w:t>
      </w:r>
      <w:r w:rsidR="00912400">
        <w:t xml:space="preserve"> is the attack rate of the epidemic. </w:t>
      </w:r>
      <w:r w:rsidR="00FA1D11">
        <w:t>Note that i</w:t>
      </w:r>
      <w:r w:rsidR="007412BE">
        <w:t xml:space="preserve">n the new version of the package, this model has been re-parameterized and no longer includes the β. </w:t>
      </w:r>
      <w:r w:rsidR="00912400">
        <w:t xml:space="preserve"> </w:t>
      </w:r>
    </w:p>
    <w:p w14:paraId="4F649619" w14:textId="7DAB4D31" w:rsidR="00A548DD" w:rsidRPr="000E4AA0" w:rsidRDefault="007356E2" w:rsidP="00437961">
      <w:pPr>
        <w:spacing w:line="480" w:lineRule="auto"/>
      </w:pPr>
      <w:r>
        <w:t>Constant outbreak model</w:t>
      </w:r>
      <w:r w:rsidR="00A548DD">
        <w:t>:</w:t>
      </w:r>
      <w:r w:rsidR="000E4AA0">
        <w:t xml:space="preserve"> in this model, the FOI is </w:t>
      </w:r>
      <w:r w:rsidR="00925890">
        <w:t>constant,</w:t>
      </w:r>
      <w:r w:rsidR="000E4AA0">
        <w:t xml:space="preserve"> but one or more outbreaks can still occur. The FOI during year </w:t>
      </w:r>
      <w:r w:rsidR="000E4AA0" w:rsidRPr="000E4AA0">
        <w:rPr>
          <w:i/>
          <w:iCs/>
        </w:rPr>
        <w:t>i</w:t>
      </w:r>
      <w:r w:rsidR="000E4AA0">
        <w:t xml:space="preserve"> is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k=1</m:t>
            </m:r>
          </m:sub>
          <m:sup>
            <m:r>
              <w:rPr>
                <w:rFonts w:ascii="Cambria Math" w:hAnsi="Cambria Math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exp⁡</m:t>
            </m:r>
            <m:r>
              <w:rPr>
                <w:rFonts w:ascii="Cambria Math" w:hAnsi="Cambria Math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(i-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</m:den>
            </m:f>
            <m:r>
              <w:rPr>
                <w:rFonts w:ascii="Cambria Math" w:hAnsi="Cambria Math"/>
              </w:rPr>
              <m:t>)</m:t>
            </m:r>
          </m:e>
        </m:nary>
      </m:oMath>
      <w:r w:rsidR="000E4AA0">
        <w:t xml:space="preserve">, where </w:t>
      </w:r>
      <w:proofErr w:type="spellStart"/>
      <w:r w:rsidR="000E4AA0">
        <w:t>λ</w:t>
      </w:r>
      <w:r w:rsidR="000E4AA0">
        <w:rPr>
          <w:vertAlign w:val="subscript"/>
        </w:rPr>
        <w:t>C</w:t>
      </w:r>
      <w:proofErr w:type="spellEnd"/>
      <w:r w:rsidR="000E4AA0">
        <w:t xml:space="preserve"> is the constant component of the FOI. </w:t>
      </w:r>
    </w:p>
    <w:p w14:paraId="02B288E1" w14:textId="640FAE96" w:rsidR="007F05EA" w:rsidRDefault="007F05EA" w:rsidP="00437961">
      <w:pPr>
        <w:spacing w:line="480" w:lineRule="auto"/>
      </w:pPr>
      <w:r>
        <w:rPr>
          <w:i/>
        </w:rPr>
        <w:t>Bayesian methods</w:t>
      </w:r>
      <w:r>
        <w:t>. For each model (</w:t>
      </w:r>
      <w:r w:rsidRPr="0027168E">
        <w:t>except for the constant outbreak model</w:t>
      </w:r>
      <w:r>
        <w:t>s</w:t>
      </w:r>
      <w:r w:rsidRPr="0027168E">
        <w:t xml:space="preserve"> in </w:t>
      </w:r>
      <w:r>
        <w:t xml:space="preserve">Oran and </w:t>
      </w:r>
      <w:proofErr w:type="spellStart"/>
      <w:r>
        <w:t>Biskra</w:t>
      </w:r>
      <w:proofErr w:type="spellEnd"/>
      <w:r>
        <w:t>), we ran four chains of 20,000 iterations with a burn-in of 5,000. We saved every 50</w:t>
      </w:r>
      <w:r>
        <w:rPr>
          <w:vertAlign w:val="superscript"/>
        </w:rPr>
        <w:t>th</w:t>
      </w:r>
      <w:r>
        <w:t xml:space="preserve"> sample from the posterior by setting “thin” to 50 and set </w:t>
      </w:r>
      <w:proofErr w:type="spellStart"/>
      <w:r>
        <w:t>adapt_delta</w:t>
      </w:r>
      <w:proofErr w:type="spellEnd"/>
      <w:r>
        <w:t xml:space="preserve"> to 0.99. For the two </w:t>
      </w:r>
      <w:proofErr w:type="gramStart"/>
      <w:r>
        <w:t>aforementioned models</w:t>
      </w:r>
      <w:proofErr w:type="gramEnd"/>
      <w:r>
        <w:t xml:space="preserve">, we ran four chains of 50,000 iterations with a burn-in of 25,000 and thinning set to 1. </w:t>
      </w:r>
    </w:p>
    <w:p w14:paraId="6FFDD229" w14:textId="77777777" w:rsidR="00FA0940" w:rsidRDefault="00FA0940" w:rsidP="00437961">
      <w:pPr>
        <w:spacing w:line="480" w:lineRule="auto"/>
      </w:pPr>
    </w:p>
    <w:p w14:paraId="07404904" w14:textId="77777777" w:rsidR="00FA0940" w:rsidRDefault="00FA0940" w:rsidP="00437961">
      <w:pPr>
        <w:spacing w:line="480" w:lineRule="auto"/>
      </w:pPr>
      <w:r w:rsidRPr="00925890">
        <w:rPr>
          <w:i/>
          <w:iCs/>
        </w:rPr>
        <w:lastRenderedPageBreak/>
        <w:t>Prior distributions</w:t>
      </w:r>
      <w:r>
        <w:t xml:space="preserve">. We used </w:t>
      </w:r>
      <w:proofErr w:type="spellStart"/>
      <w:r>
        <w:rPr>
          <w:i/>
        </w:rPr>
        <w:t>Rsero’</w:t>
      </w:r>
      <w:r>
        <w:t>s</w:t>
      </w:r>
      <w:proofErr w:type="spellEnd"/>
      <w:r>
        <w:t xml:space="preserve"> default prior distributions for all parameters except for the outbreak timing parameter (T) in the outbreak and constant outbreak models. For T, we used a uniform prior distribution with a lower bound of 0 and an upper bound of 50 due to the small number of study participants over the age of 50 across all locations. </w:t>
      </w:r>
      <w:bookmarkStart w:id="1" w:name="_Hlk196728873"/>
      <w:r>
        <w:t xml:space="preserve">In the previous version of the package, the default prior distributions for each of the parameters were: </w:t>
      </w:r>
    </w:p>
    <w:p w14:paraId="41ACE380" w14:textId="3D64753F" w:rsidR="00FA0940" w:rsidRDefault="00FA0940" w:rsidP="00437961">
      <w:pPr>
        <w:pStyle w:val="ListParagraph"/>
        <w:numPr>
          <w:ilvl w:val="0"/>
          <w:numId w:val="2"/>
        </w:numPr>
        <w:spacing w:line="480" w:lineRule="auto"/>
      </w:pPr>
      <w:r w:rsidRPr="00FA0940">
        <w:t>λ</w:t>
      </w:r>
      <w:r>
        <w:t>:</w:t>
      </w:r>
      <w:r w:rsidR="00BD50F3">
        <w:t xml:space="preserve"> uniform between 0 and 10</w:t>
      </w:r>
    </w:p>
    <w:p w14:paraId="39F95558" w14:textId="497BB89A" w:rsidR="00FA0940" w:rsidRDefault="00FA0940" w:rsidP="00437961">
      <w:pPr>
        <w:pStyle w:val="ListParagraph"/>
        <w:numPr>
          <w:ilvl w:val="0"/>
          <w:numId w:val="2"/>
        </w:numPr>
        <w:spacing w:line="480" w:lineRule="auto"/>
      </w:pPr>
      <w:r w:rsidRPr="00FA0940">
        <w:t>ρ</w:t>
      </w:r>
      <w:r>
        <w:t>: exponential with rate of 2</w:t>
      </w:r>
    </w:p>
    <w:p w14:paraId="0C5D0E5F" w14:textId="028655C1" w:rsidR="00FA0940" w:rsidRDefault="00FA0940" w:rsidP="00437961">
      <w:pPr>
        <w:pStyle w:val="ListParagraph"/>
        <w:numPr>
          <w:ilvl w:val="0"/>
          <w:numId w:val="2"/>
        </w:numPr>
        <w:spacing w:line="480" w:lineRule="auto"/>
      </w:pPr>
      <w:r w:rsidRPr="00FA0940">
        <w:t>β</w:t>
      </w:r>
      <w:r>
        <w:t>: uniform between 0 and 1</w:t>
      </w:r>
      <w:bookmarkEnd w:id="1"/>
    </w:p>
    <w:p w14:paraId="010AC216" w14:textId="76F8F0BF" w:rsidR="00FA0940" w:rsidRDefault="00BD50F3" w:rsidP="00437961">
      <w:pPr>
        <w:pStyle w:val="ListParagraph"/>
        <w:numPr>
          <w:ilvl w:val="0"/>
          <w:numId w:val="2"/>
        </w:numPr>
        <w:spacing w:line="480" w:lineRule="auto"/>
      </w:pPr>
      <w:r>
        <w:t>α: uniform between 0 and 5</w:t>
      </w:r>
    </w:p>
    <w:p w14:paraId="1F24E1B1" w14:textId="246ECD8A" w:rsidR="00BD50F3" w:rsidRDefault="00BD50F3" w:rsidP="00437961">
      <w:pPr>
        <w:pStyle w:val="ListParagraph"/>
        <w:numPr>
          <w:ilvl w:val="0"/>
          <w:numId w:val="2"/>
        </w:numPr>
        <w:spacing w:line="480" w:lineRule="auto"/>
      </w:pPr>
      <w:r>
        <w:t>T: uniform between 1 and 100</w:t>
      </w:r>
    </w:p>
    <w:p w14:paraId="27D9E17B" w14:textId="68FD0D1A" w:rsidR="00FA0940" w:rsidRDefault="00FA0940" w:rsidP="007F05EA">
      <w:pPr>
        <w:spacing w:line="240" w:lineRule="auto"/>
      </w:pPr>
    </w:p>
    <w:p w14:paraId="7754D959" w14:textId="77777777" w:rsidR="00A548DD" w:rsidRDefault="00A548DD" w:rsidP="00A548DD">
      <w:pPr>
        <w:spacing w:line="240" w:lineRule="auto"/>
      </w:pPr>
    </w:p>
    <w:p w14:paraId="5AD8EFFB" w14:textId="77777777" w:rsidR="00893B48" w:rsidRDefault="00893B48" w:rsidP="00A548DD">
      <w:pPr>
        <w:spacing w:line="240" w:lineRule="auto"/>
      </w:pPr>
    </w:p>
    <w:p w14:paraId="19FF866C" w14:textId="77777777" w:rsidR="00893B48" w:rsidRDefault="00893B48" w:rsidP="00A548DD">
      <w:pPr>
        <w:spacing w:line="240" w:lineRule="auto"/>
      </w:pPr>
    </w:p>
    <w:p w14:paraId="52F77570" w14:textId="77777777" w:rsidR="00893B48" w:rsidRDefault="00893B48" w:rsidP="00893B48">
      <w:pPr>
        <w:spacing w:before="240"/>
        <w:sectPr w:rsidR="00893B48" w:rsidSect="00E80E5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994AFC" w14:textId="14F61AC9" w:rsidR="00621174" w:rsidRDefault="00621174" w:rsidP="00D212ED">
      <w:pPr>
        <w:pStyle w:val="paperheading1"/>
      </w:pPr>
      <w:bookmarkStart w:id="2" w:name="_Toc190160184"/>
      <w:r>
        <w:lastRenderedPageBreak/>
        <w:t>Supplementary figures</w:t>
      </w:r>
      <w:bookmarkEnd w:id="2"/>
    </w:p>
    <w:p w14:paraId="2D79EEED" w14:textId="77777777" w:rsidR="00621174" w:rsidRDefault="00621174" w:rsidP="00621174"/>
    <w:p w14:paraId="7CC108E6" w14:textId="2078D97D" w:rsidR="00621174" w:rsidRDefault="00621174" w:rsidP="00437961">
      <w:pPr>
        <w:spacing w:line="480" w:lineRule="auto"/>
      </w:pPr>
      <w:r w:rsidRPr="00376EBA">
        <w:rPr>
          <w:b/>
          <w:bCs/>
        </w:rPr>
        <w:t>Figure S1</w:t>
      </w:r>
      <w:r w:rsidRPr="00621174">
        <w:t xml:space="preserve">. Confirmed West Nile Neuroinvasive Disease cases in Algeria, 2015 – 2019 by sex and disease form. ME/E: </w:t>
      </w:r>
      <w:proofErr w:type="spellStart"/>
      <w:r w:rsidRPr="00621174">
        <w:t>meningo</w:t>
      </w:r>
      <w:proofErr w:type="spellEnd"/>
      <w:r w:rsidRPr="00621174">
        <w:t>-encephalitis or encephalitis, MLC: aseptic meningitis.</w:t>
      </w:r>
    </w:p>
    <w:p w14:paraId="33797C3F" w14:textId="77777777" w:rsidR="00621174" w:rsidRDefault="00621174" w:rsidP="00621174"/>
    <w:p w14:paraId="1B6597CB" w14:textId="64823D6D" w:rsidR="00621174" w:rsidRDefault="00621174" w:rsidP="00621174">
      <w:pPr>
        <w:jc w:val="center"/>
      </w:pPr>
      <w:r>
        <w:rPr>
          <w:noProof/>
        </w:rPr>
        <w:drawing>
          <wp:inline distT="0" distB="0" distL="0" distR="0" wp14:anchorId="737B6279" wp14:editId="5F7DC107">
            <wp:extent cx="4349750" cy="3149600"/>
            <wp:effectExtent l="0" t="0" r="0" b="0"/>
            <wp:docPr id="444339498" name="Picture 1" descr="A graph showing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39498" name="Picture 1" descr="A graph showing a number of peop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3C76B" w14:textId="77777777" w:rsidR="00621174" w:rsidRDefault="00621174" w:rsidP="00621174">
      <w:pPr>
        <w:jc w:val="center"/>
      </w:pPr>
    </w:p>
    <w:p w14:paraId="67316E95" w14:textId="77777777" w:rsidR="007E6730" w:rsidRDefault="007E6730" w:rsidP="00621174">
      <w:pPr>
        <w:jc w:val="center"/>
        <w:sectPr w:rsidR="007E6730" w:rsidSect="00376E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2F57D94" w14:textId="73520D69" w:rsidR="007E6730" w:rsidRDefault="007E6730" w:rsidP="00437961">
      <w:pPr>
        <w:spacing w:line="480" w:lineRule="auto"/>
      </w:pPr>
      <w:r w:rsidRPr="007E6730">
        <w:rPr>
          <w:b/>
          <w:bCs/>
        </w:rPr>
        <w:lastRenderedPageBreak/>
        <w:t>Figure S2.</w:t>
      </w:r>
      <w:r>
        <w:t xml:space="preserve"> Serop</w:t>
      </w:r>
      <w:r w:rsidR="00C370E2">
        <w:t>ositivity</w:t>
      </w:r>
      <w:r>
        <w:t xml:space="preserve"> of West Nile virus by age in children across three </w:t>
      </w:r>
      <w:r w:rsidR="0037599A">
        <w:t xml:space="preserve">northern </w:t>
      </w:r>
      <w:r>
        <w:t>Algerian provinces</w:t>
      </w:r>
      <w:r w:rsidR="0037599A">
        <w:t xml:space="preserve"> in 2017-2018</w:t>
      </w:r>
      <w:r>
        <w:t xml:space="preserve">. </w:t>
      </w:r>
      <w:r w:rsidR="00524614">
        <w:t>Pink</w:t>
      </w:r>
      <w:r>
        <w:t xml:space="preserve"> color </w:t>
      </w:r>
      <w:r w:rsidR="00FC5A03">
        <w:t>corresponds to</w:t>
      </w:r>
      <w:r>
        <w:t xml:space="preserve"> the estimated outbreak tim</w:t>
      </w:r>
      <w:r w:rsidR="00FC5A03">
        <w:t>e</w:t>
      </w:r>
      <w:r>
        <w:t xml:space="preserve"> with the 95% credible intervals</w:t>
      </w:r>
      <w:r w:rsidR="0037599A">
        <w:t xml:space="preserve"> (</w:t>
      </w:r>
      <w:proofErr w:type="spellStart"/>
      <w:r w:rsidR="0037599A">
        <w:t>CrI</w:t>
      </w:r>
      <w:proofErr w:type="spellEnd"/>
      <w:r w:rsidR="0037599A">
        <w:t xml:space="preserve">), which include 0 for </w:t>
      </w:r>
      <w:proofErr w:type="spellStart"/>
      <w:r w:rsidR="0037599A">
        <w:t>Jijel</w:t>
      </w:r>
      <w:proofErr w:type="spellEnd"/>
      <w:r w:rsidR="0037599A">
        <w:t xml:space="preserve"> and </w:t>
      </w:r>
      <w:proofErr w:type="spellStart"/>
      <w:r w:rsidR="0037599A">
        <w:t>Tizi</w:t>
      </w:r>
      <w:proofErr w:type="spellEnd"/>
      <w:r w:rsidR="0037599A">
        <w:t xml:space="preserve"> </w:t>
      </w:r>
      <w:proofErr w:type="spellStart"/>
      <w:r w:rsidR="0037599A">
        <w:t>Ouzou</w:t>
      </w:r>
      <w:proofErr w:type="spellEnd"/>
      <w:r>
        <w:t>.</w:t>
      </w:r>
      <w:r w:rsidR="0037599A">
        <w:t xml:space="preserve"> Estimated outbreak time was rounded to the nearest year. Sample sizes for </w:t>
      </w:r>
      <w:r w:rsidR="00FC5A03">
        <w:t xml:space="preserve">children less than 13 years of age were 65, 97, and 39 for </w:t>
      </w:r>
      <w:proofErr w:type="spellStart"/>
      <w:r w:rsidR="00FC5A03">
        <w:t>Jijel</w:t>
      </w:r>
      <w:proofErr w:type="spellEnd"/>
      <w:r w:rsidR="00FC5A03">
        <w:t xml:space="preserve">, Oran, and </w:t>
      </w:r>
      <w:proofErr w:type="spellStart"/>
      <w:r w:rsidR="00FC5A03">
        <w:t>Tizi</w:t>
      </w:r>
      <w:proofErr w:type="spellEnd"/>
      <w:r w:rsidR="00FC5A03">
        <w:t xml:space="preserve"> </w:t>
      </w:r>
      <w:proofErr w:type="spellStart"/>
      <w:r w:rsidR="00FC5A03">
        <w:t>Ouzou</w:t>
      </w:r>
      <w:proofErr w:type="spellEnd"/>
      <w:r w:rsidR="00FC5A03">
        <w:t xml:space="preserve">, respectively.  </w:t>
      </w:r>
      <w:r w:rsidR="0037599A">
        <w:t xml:space="preserve"> </w:t>
      </w:r>
    </w:p>
    <w:p w14:paraId="484794C3" w14:textId="77777777" w:rsidR="007E6730" w:rsidRDefault="007E6730" w:rsidP="007E6730"/>
    <w:p w14:paraId="07640C85" w14:textId="774E7342" w:rsidR="00C370E2" w:rsidRDefault="00CC68A8" w:rsidP="007E6730">
      <w:r w:rsidRPr="00CC68A8">
        <w:t xml:space="preserve"> </w:t>
      </w:r>
      <w:r>
        <w:rPr>
          <w:noProof/>
        </w:rPr>
        <w:drawing>
          <wp:inline distT="0" distB="0" distL="0" distR="0" wp14:anchorId="28A5C492" wp14:editId="7297F326">
            <wp:extent cx="5904230" cy="3134360"/>
            <wp:effectExtent l="0" t="0" r="1270" b="8890"/>
            <wp:docPr id="2068138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313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A1E3A" w14:textId="545D5BFC" w:rsidR="007E6730" w:rsidRDefault="007E6730" w:rsidP="007E6730"/>
    <w:p w14:paraId="0FBE640B" w14:textId="77777777" w:rsidR="007E6730" w:rsidRDefault="007E6730" w:rsidP="007E6730"/>
    <w:p w14:paraId="19828521" w14:textId="77777777" w:rsidR="007E6730" w:rsidRDefault="007E6730" w:rsidP="007E6730"/>
    <w:p w14:paraId="320C52BA" w14:textId="77777777" w:rsidR="007E6730" w:rsidRDefault="007E6730" w:rsidP="007E6730"/>
    <w:p w14:paraId="129A929A" w14:textId="77777777" w:rsidR="007E6730" w:rsidRDefault="007E6730" w:rsidP="007E6730"/>
    <w:p w14:paraId="6DE3ECDE" w14:textId="77777777" w:rsidR="007E6730" w:rsidRDefault="007E6730" w:rsidP="007E6730"/>
    <w:p w14:paraId="7B023467" w14:textId="77777777" w:rsidR="007E6730" w:rsidRDefault="007E6730" w:rsidP="007E6730"/>
    <w:p w14:paraId="1C040696" w14:textId="77777777" w:rsidR="007E6730" w:rsidRDefault="007E6730" w:rsidP="00621174">
      <w:pPr>
        <w:jc w:val="center"/>
      </w:pPr>
    </w:p>
    <w:p w14:paraId="1E5B1DE2" w14:textId="77777777" w:rsidR="007E6730" w:rsidRDefault="007E6730" w:rsidP="00621174">
      <w:pPr>
        <w:jc w:val="center"/>
        <w:sectPr w:rsidR="007E6730" w:rsidSect="00376E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3B2F6B" w14:textId="324783D5" w:rsidR="00893B48" w:rsidRDefault="00893B48" w:rsidP="00D212ED">
      <w:pPr>
        <w:pStyle w:val="paperheading1"/>
      </w:pPr>
      <w:bookmarkStart w:id="3" w:name="_Toc190160185"/>
      <w:r w:rsidRPr="00893B48">
        <w:lastRenderedPageBreak/>
        <w:t>Supplementary tables</w:t>
      </w:r>
      <w:bookmarkEnd w:id="3"/>
    </w:p>
    <w:p w14:paraId="22A5CFDC" w14:textId="77777777" w:rsidR="00AA1FA9" w:rsidRDefault="00AA1FA9" w:rsidP="00AA1FA9">
      <w:pPr>
        <w:rPr>
          <w:b/>
          <w:bCs/>
        </w:rPr>
      </w:pPr>
    </w:p>
    <w:p w14:paraId="4B96EDA3" w14:textId="53DF7D1D" w:rsidR="009A34BE" w:rsidRDefault="009A34BE" w:rsidP="00437961">
      <w:pPr>
        <w:spacing w:line="480" w:lineRule="auto"/>
        <w:rPr>
          <w:color w:val="0E101A"/>
          <w:sz w:val="24"/>
          <w:szCs w:val="24"/>
        </w:rPr>
      </w:pPr>
      <w:r w:rsidRPr="00893B48">
        <w:rPr>
          <w:b/>
          <w:bCs/>
        </w:rPr>
        <w:t>Table S</w:t>
      </w:r>
      <w:r>
        <w:rPr>
          <w:b/>
          <w:bCs/>
        </w:rPr>
        <w:t>1</w:t>
      </w:r>
      <w:r w:rsidRPr="00893B48">
        <w:rPr>
          <w:b/>
          <w:bCs/>
        </w:rPr>
        <w:t>.</w:t>
      </w:r>
      <w:r w:rsidRPr="009A34BE">
        <w:rPr>
          <w:color w:val="0E101A"/>
          <w:sz w:val="24"/>
          <w:szCs w:val="24"/>
        </w:rPr>
        <w:t xml:space="preserve"> Study locations based on the </w:t>
      </w:r>
      <w:r>
        <w:rPr>
          <w:color w:val="0E101A"/>
          <w:sz w:val="24"/>
          <w:szCs w:val="24"/>
        </w:rPr>
        <w:t>risk assessment of W</w:t>
      </w:r>
      <w:r w:rsidR="00A548DD">
        <w:rPr>
          <w:color w:val="0E101A"/>
          <w:sz w:val="24"/>
          <w:szCs w:val="24"/>
        </w:rPr>
        <w:t>est Nile virus</w:t>
      </w:r>
      <w:r>
        <w:rPr>
          <w:color w:val="0E101A"/>
          <w:sz w:val="24"/>
          <w:szCs w:val="24"/>
        </w:rPr>
        <w:t xml:space="preserve"> circulation using a tool developed by the European Centre for Disease Prevention and Control.</w:t>
      </w:r>
    </w:p>
    <w:p w14:paraId="61CF08D5" w14:textId="77777777" w:rsidR="009A34BE" w:rsidRDefault="009A34BE" w:rsidP="00AA1FA9">
      <w:pPr>
        <w:rPr>
          <w:b/>
          <w:bCs/>
        </w:rPr>
      </w:pPr>
    </w:p>
    <w:tbl>
      <w:tblPr>
        <w:tblW w:w="13220" w:type="dxa"/>
        <w:tblLook w:val="04A0" w:firstRow="1" w:lastRow="0" w:firstColumn="1" w:lastColumn="0" w:noHBand="0" w:noVBand="1"/>
      </w:tblPr>
      <w:tblGrid>
        <w:gridCol w:w="1455"/>
        <w:gridCol w:w="1515"/>
        <w:gridCol w:w="1383"/>
        <w:gridCol w:w="1942"/>
        <w:gridCol w:w="1354"/>
        <w:gridCol w:w="1550"/>
        <w:gridCol w:w="4021"/>
      </w:tblGrid>
      <w:tr w:rsidR="009A34BE" w:rsidRPr="007C04E9" w14:paraId="532FD622" w14:textId="77777777" w:rsidTr="00DD3ED7">
        <w:trPr>
          <w:trHeight w:val="650"/>
        </w:trPr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63862" w14:textId="3902BF3A" w:rsidR="009A34BE" w:rsidRPr="00376EBA" w:rsidRDefault="00376EBA" w:rsidP="00DD3ED7">
            <w:pPr>
              <w:spacing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76EBA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  <w:t>Province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CA23" w14:textId="77777777" w:rsidR="009A34BE" w:rsidRPr="00376EBA" w:rsidRDefault="009A34BE" w:rsidP="00DD3ED7">
            <w:pPr>
              <w:spacing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76EBA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Risk area type 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085F1" w14:textId="1E6F4D56" w:rsidR="009A34BE" w:rsidRPr="00376EBA" w:rsidRDefault="005F4D81" w:rsidP="00DD3ED7">
            <w:pPr>
              <w:spacing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76EBA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  <w:t>C</w:t>
            </w:r>
            <w:r w:rsidR="009A34BE" w:rsidRPr="00376EBA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  <w:t>onfirmed case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F5799" w14:textId="2EF69F01" w:rsidR="009A34BE" w:rsidRPr="00376EBA" w:rsidRDefault="005F4D81" w:rsidP="00DD3ED7">
            <w:pPr>
              <w:spacing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76EBA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  <w:t>S</w:t>
            </w:r>
            <w:r w:rsidR="009A34BE" w:rsidRPr="00376EBA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  <w:t>eroprevalence study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7BC0" w14:textId="77777777" w:rsidR="009A34BE" w:rsidRPr="00376EBA" w:rsidRDefault="009A34BE" w:rsidP="00DD3ED7">
            <w:pPr>
              <w:spacing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76EBA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Ecological factors 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2F44" w14:textId="77777777" w:rsidR="009A34BE" w:rsidRPr="00376EBA" w:rsidRDefault="009A34BE" w:rsidP="00DD3ED7">
            <w:pPr>
              <w:spacing w:line="240" w:lineRule="auto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76EBA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  <w:t>Risk assessment</w:t>
            </w:r>
          </w:p>
        </w:tc>
        <w:tc>
          <w:tcPr>
            <w:tcW w:w="4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A3E96" w14:textId="77777777" w:rsidR="009A34BE" w:rsidRPr="00376EBA" w:rsidRDefault="009A34BE" w:rsidP="00DD3ED7">
            <w:pPr>
              <w:spacing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76EBA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val="en-US"/>
              </w:rPr>
              <w:t>Description</w:t>
            </w:r>
          </w:p>
        </w:tc>
      </w:tr>
      <w:tr w:rsidR="009A34BE" w:rsidRPr="007C04E9" w14:paraId="45FBCA2F" w14:textId="77777777" w:rsidTr="00DD3ED7">
        <w:trPr>
          <w:trHeight w:val="4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6D36C7CA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 xml:space="preserve">Oran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699B90BC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 xml:space="preserve">Predisposed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100C5BFC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4531844D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17AD48D4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6DCFB219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 xml:space="preserve">Low 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53F0550E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Ecological conditions suitable for WNV circulation but no historical circulation of WNV</w:t>
            </w:r>
          </w:p>
        </w:tc>
      </w:tr>
      <w:tr w:rsidR="009A34BE" w:rsidRPr="007C04E9" w14:paraId="7AB5017E" w14:textId="77777777" w:rsidTr="00DD3ED7">
        <w:trPr>
          <w:trHeight w:val="97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67884D94" w14:textId="463EBD22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Tizi</w:t>
            </w:r>
            <w:proofErr w:type="spellEnd"/>
            <w:r w:rsidR="005F4D81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4D81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O</w:t>
            </w: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uz</w:t>
            </w:r>
            <w:r w:rsidR="00042C6B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ou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7315252B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 xml:space="preserve">Predisposed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0D3FCCDF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63A3505D" w14:textId="45209339" w:rsidR="009A34BE" w:rsidRPr="007C04E9" w:rsidRDefault="00F63712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0B4EF953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6FBF8A17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 xml:space="preserve">Low 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CD292"/>
            <w:vAlign w:val="center"/>
            <w:hideMark/>
          </w:tcPr>
          <w:p w14:paraId="22218340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Ecological conditions suitable for WNV circulation but no historical circulation of WNV</w:t>
            </w:r>
          </w:p>
        </w:tc>
      </w:tr>
      <w:tr w:rsidR="009A34BE" w:rsidRPr="007C04E9" w14:paraId="07F1C4FE" w14:textId="77777777" w:rsidTr="00DD3ED7">
        <w:trPr>
          <w:trHeight w:val="97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D073769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Biskra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E57BB4" w14:textId="6FEA9E09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Imperiled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6C789F2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003F5C8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2F8F6EF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2623A4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Intermediate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63204DF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Past evidence of WNV circulation</w:t>
            </w:r>
          </w:p>
        </w:tc>
      </w:tr>
      <w:tr w:rsidR="009A34BE" w:rsidRPr="007C04E9" w14:paraId="29E3AD4B" w14:textId="77777777" w:rsidTr="00DD3ED7">
        <w:trPr>
          <w:trHeight w:val="40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611EFFEA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Jijel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7D4CA452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 xml:space="preserve">Affected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0048E8B6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0814389B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0ACC456A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98FB0B7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787B366B" w14:textId="16BDB390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Detection of at least one human case according to the E</w:t>
            </w:r>
            <w:r w:rsidR="00C31027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uropean Union</w:t>
            </w: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 xml:space="preserve"> case definition.</w:t>
            </w:r>
          </w:p>
        </w:tc>
      </w:tr>
      <w:tr w:rsidR="009A34BE" w:rsidRPr="007C04E9" w14:paraId="3A07BA71" w14:textId="77777777" w:rsidTr="00DD3ED7">
        <w:trPr>
          <w:trHeight w:val="259"/>
        </w:trPr>
        <w:tc>
          <w:tcPr>
            <w:tcW w:w="1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E7BEAFE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Timimoun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2F2D676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 xml:space="preserve">Affected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091A2B96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4C06CE3E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3C22F591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24339BBC" w14:textId="77777777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High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6AEA4FE3" w14:textId="069E4B32" w:rsidR="009A34BE" w:rsidRPr="007C04E9" w:rsidRDefault="009A34BE" w:rsidP="00DD3ED7">
            <w:pPr>
              <w:spacing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</w:pP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Detection of at least one human case according to the E</w:t>
            </w:r>
            <w:r w:rsidR="00C31027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>uropean Union</w:t>
            </w:r>
            <w:r w:rsidRPr="007C04E9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/>
              </w:rPr>
              <w:t xml:space="preserve"> case definition.</w:t>
            </w:r>
          </w:p>
        </w:tc>
      </w:tr>
    </w:tbl>
    <w:p w14:paraId="1A99BF61" w14:textId="77777777" w:rsidR="009A34BE" w:rsidRDefault="009A34BE" w:rsidP="00AA1FA9">
      <w:pPr>
        <w:rPr>
          <w:b/>
          <w:bCs/>
        </w:rPr>
      </w:pPr>
    </w:p>
    <w:p w14:paraId="5E11AE05" w14:textId="77777777" w:rsidR="00621174" w:rsidRDefault="00621174" w:rsidP="00AA1FA9">
      <w:pPr>
        <w:rPr>
          <w:b/>
          <w:bCs/>
        </w:rPr>
        <w:sectPr w:rsidR="00621174" w:rsidSect="00E80E5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F37FFCE" w14:textId="6CA29513" w:rsidR="00893B48" w:rsidRDefault="00893B48" w:rsidP="00437961">
      <w:pPr>
        <w:spacing w:line="480" w:lineRule="auto"/>
      </w:pPr>
      <w:r w:rsidRPr="00893B48">
        <w:rPr>
          <w:b/>
          <w:bCs/>
        </w:rPr>
        <w:lastRenderedPageBreak/>
        <w:t>Table S</w:t>
      </w:r>
      <w:r w:rsidR="009A34BE">
        <w:rPr>
          <w:b/>
          <w:bCs/>
        </w:rPr>
        <w:t>2</w:t>
      </w:r>
      <w:r w:rsidRPr="00893B48">
        <w:rPr>
          <w:b/>
          <w:bCs/>
        </w:rPr>
        <w:t xml:space="preserve">. </w:t>
      </w:r>
      <w:r w:rsidRPr="00893B48">
        <w:t xml:space="preserve">Deviance information criterion </w:t>
      </w:r>
      <w:r w:rsidR="00C20BAA">
        <w:t xml:space="preserve">(DIC) </w:t>
      </w:r>
      <w:r w:rsidRPr="00893B48">
        <w:t xml:space="preserve">and model diagnostic checks for </w:t>
      </w:r>
      <w:proofErr w:type="spellStart"/>
      <w:r w:rsidRPr="00893B48">
        <w:t>serocatalytic</w:t>
      </w:r>
      <w:proofErr w:type="spellEnd"/>
      <w:r w:rsidRPr="00893B48">
        <w:t xml:space="preserve"> models of West Nile virus in Algeria, 2017-2018. For </w:t>
      </w:r>
      <w:r w:rsidR="00C20BAA">
        <w:t>DIC</w:t>
      </w:r>
      <w:r w:rsidRPr="00893B48">
        <w:t xml:space="preserve">, lower </w:t>
      </w:r>
      <w:r w:rsidR="00C20BAA">
        <w:t>values indicate better fit</w:t>
      </w:r>
      <w:r w:rsidRPr="00893B48">
        <w:t xml:space="preserve">. </w:t>
      </w:r>
      <w:r w:rsidR="00FA0940">
        <w:t xml:space="preserve">We visually checked Markov chain Monte Carlo traces, and they were well mixed for all models. </w:t>
      </w:r>
      <w:r w:rsidRPr="00893B48">
        <w:t xml:space="preserve">Warnings about divergent transitions and low effective sample sizes indicate that the model may be mis-specified and posterior means and medians may be unreliable, respectively. Bold indicates the best-fitting model for each </w:t>
      </w:r>
      <w:r w:rsidR="00376EBA">
        <w:t>province</w:t>
      </w:r>
      <w:r w:rsidRPr="00893B48">
        <w:t>.</w:t>
      </w:r>
    </w:p>
    <w:p w14:paraId="387A3DFE" w14:textId="77777777" w:rsidR="00AA1FA9" w:rsidRDefault="00AA1FA9" w:rsidP="00AA1FA9"/>
    <w:tbl>
      <w:tblPr>
        <w:tblW w:w="10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0"/>
        <w:gridCol w:w="1170"/>
        <w:gridCol w:w="1710"/>
        <w:gridCol w:w="1530"/>
        <w:gridCol w:w="1620"/>
        <w:gridCol w:w="3150"/>
      </w:tblGrid>
      <w:tr w:rsidR="00FA0940" w:rsidRPr="00AA1FA9" w14:paraId="6E451202" w14:textId="77777777" w:rsidTr="00925890">
        <w:trPr>
          <w:trHeight w:val="365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1574A" w14:textId="03D0E89C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Province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</w:tcPr>
          <w:p w14:paraId="0152CA5A" w14:textId="3B59DA3B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Region</w:t>
            </w: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E8846" w14:textId="61C5EE45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Model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1ECFD4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Number of parameters</w:t>
            </w:r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7CF29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Deviance information criterion</w:t>
            </w:r>
          </w:p>
        </w:tc>
        <w:tc>
          <w:tcPr>
            <w:tcW w:w="31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D25A7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Warnings about divergent transitions or low effective sample sizes</w:t>
            </w:r>
          </w:p>
        </w:tc>
      </w:tr>
      <w:tr w:rsidR="00FA0940" w:rsidRPr="00AA1FA9" w14:paraId="7EC15C2C" w14:textId="77777777" w:rsidTr="00925890">
        <w:tc>
          <w:tcPr>
            <w:tcW w:w="12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DFA9F" w14:textId="5B43723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Tizi</w:t>
            </w:r>
            <w:proofErr w:type="spellEnd"/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proofErr w:type="spellStart"/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Ouzou</w:t>
            </w:r>
            <w:proofErr w:type="spellEnd"/>
          </w:p>
        </w:tc>
        <w:tc>
          <w:tcPr>
            <w:tcW w:w="1170" w:type="dxa"/>
            <w:vMerge w:val="restart"/>
          </w:tcPr>
          <w:p w14:paraId="34248751" w14:textId="6DDEF93D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North</w:t>
            </w: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45F88" w14:textId="602986C8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Constant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51BFF9" w14:textId="15B157B4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E6596" w14:textId="4F7E53DB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100.1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F529E" w14:textId="3F763361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</w:tr>
      <w:tr w:rsidR="00FA0940" w:rsidRPr="00AA1FA9" w14:paraId="485A6245" w14:textId="77777777" w:rsidTr="00925890"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A0FF3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47DBA3DA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2C2CE" w14:textId="7867F980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 xml:space="preserve">Constant with </w:t>
            </w:r>
            <w:proofErr w:type="spellStart"/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seroreversion</w:t>
            </w:r>
            <w:proofErr w:type="spellEnd"/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83766" w14:textId="28D9568F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B20060" w14:textId="34DA85A4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86.8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E492F" w14:textId="4DDD0824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</w:tr>
      <w:tr w:rsidR="00FA0940" w:rsidRPr="00AA1FA9" w14:paraId="2B9B4136" w14:textId="77777777" w:rsidTr="00925890"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78D4DF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6CFFACDA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8B46C2" w14:textId="5029C1E1" w:rsidR="00FA0940" w:rsidRPr="00327F63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Constant outbreak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6287D" w14:textId="6E69A332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C1D1A" w14:textId="3A6A7F39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84.9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B2D72" w14:textId="6BF60206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~1100 divergent transitions after warm-up</w:t>
            </w:r>
          </w:p>
        </w:tc>
      </w:tr>
      <w:tr w:rsidR="00FA0940" w:rsidRPr="00AA1FA9" w14:paraId="338CEF37" w14:textId="77777777" w:rsidTr="00925890"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18370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6A905FAA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C632F" w14:textId="2797186A" w:rsidR="00FA0940" w:rsidRPr="00327F63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One outbreak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5F9E2" w14:textId="1E446822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3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C03DF4" w14:textId="68EC7EBD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83.3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88255" w14:textId="7B65BA0D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~1000 divergent transitions after warm-up</w:t>
            </w:r>
          </w:p>
        </w:tc>
      </w:tr>
      <w:tr w:rsidR="00FA0940" w:rsidRPr="00AA1FA9" w14:paraId="315CA3E7" w14:textId="77777777" w:rsidTr="00925890">
        <w:tc>
          <w:tcPr>
            <w:tcW w:w="12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0C146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Oran</w:t>
            </w:r>
          </w:p>
          <w:p w14:paraId="65937FA8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 w:val="restart"/>
          </w:tcPr>
          <w:p w14:paraId="4EA271EE" w14:textId="6DF0D8E0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North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53927" w14:textId="3FB2EFB3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Constant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E874E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5971A8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196.8</w:t>
            </w:r>
          </w:p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42CD72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</w:tr>
      <w:tr w:rsidR="00FA0940" w:rsidRPr="00AA1FA9" w14:paraId="09D5B32E" w14:textId="77777777" w:rsidTr="00925890">
        <w:trPr>
          <w:trHeight w:val="555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8B0B4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294AE884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FD6C9" w14:textId="48F99160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 xml:space="preserve">Constant with </w:t>
            </w:r>
            <w:proofErr w:type="spellStart"/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seroreversion</w:t>
            </w:r>
            <w:proofErr w:type="spellEnd"/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FBE5A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65AAA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196.4</w:t>
            </w:r>
          </w:p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F3D35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</w:tr>
      <w:tr w:rsidR="00FA0940" w:rsidRPr="00AA1FA9" w14:paraId="7677BD57" w14:textId="77777777" w:rsidTr="00925890">
        <w:trPr>
          <w:trHeight w:val="956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9DC3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1E548A4F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7C2891" w14:textId="39C6E539" w:rsidR="00FA0940" w:rsidRPr="00C20BAA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C20BAA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Constant outbreak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D1DA4" w14:textId="77777777" w:rsidR="00FA0940" w:rsidRPr="00C20BAA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C20BAA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6E3AE" w14:textId="1B74802E" w:rsidR="00FA0940" w:rsidRPr="00C20BAA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C20BAA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194.3</w:t>
            </w:r>
          </w:p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E5113" w14:textId="55D6B272" w:rsidR="00FA0940" w:rsidRPr="00C20BAA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C20BAA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~66,300 divergent transitions after warm-up</w:t>
            </w:r>
          </w:p>
        </w:tc>
      </w:tr>
      <w:tr w:rsidR="00FA0940" w:rsidRPr="00AA1FA9" w14:paraId="6D46F1F6" w14:textId="77777777" w:rsidTr="00925890"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B248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  <w:tcBorders>
              <w:bottom w:val="single" w:sz="8" w:space="0" w:color="000000"/>
            </w:tcBorders>
          </w:tcPr>
          <w:p w14:paraId="4AD84832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F61C7" w14:textId="2C4AC0EE" w:rsidR="00FA0940" w:rsidRPr="00327F63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One outbreak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6DF2A" w14:textId="77777777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3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C4039" w14:textId="799934B4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189.9</w:t>
            </w:r>
          </w:p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CD9807" w14:textId="63EA5573" w:rsidR="00FA0940" w:rsidRPr="00327F63" w:rsidRDefault="00FA0940" w:rsidP="0096219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~ 9</w:t>
            </w:r>
            <w:r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00</w:t>
            </w: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 xml:space="preserve"> divergent transitions</w:t>
            </w:r>
          </w:p>
        </w:tc>
      </w:tr>
      <w:tr w:rsidR="00FA0940" w:rsidRPr="00AA1FA9" w14:paraId="1FCA72A5" w14:textId="77777777" w:rsidTr="00925890">
        <w:tc>
          <w:tcPr>
            <w:tcW w:w="12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D6C11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Jijel</w:t>
            </w:r>
            <w:proofErr w:type="spellEnd"/>
          </w:p>
        </w:tc>
        <w:tc>
          <w:tcPr>
            <w:tcW w:w="1170" w:type="dxa"/>
            <w:vMerge w:val="restart"/>
          </w:tcPr>
          <w:p w14:paraId="20CF88A6" w14:textId="5FBF2959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North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7B233" w14:textId="665688EB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Constant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C2930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B50E65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208.3</w:t>
            </w:r>
          </w:p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EC063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</w:tr>
      <w:tr w:rsidR="00FA0940" w:rsidRPr="00AA1FA9" w14:paraId="71363B61" w14:textId="77777777" w:rsidTr="00925890">
        <w:trPr>
          <w:trHeight w:val="555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CEFEB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7F2ACBBF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CEB42" w14:textId="54BA03A6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 xml:space="preserve">Constant with </w:t>
            </w:r>
            <w:proofErr w:type="spellStart"/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seroreversion</w:t>
            </w:r>
            <w:proofErr w:type="spellEnd"/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9F123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347AFF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196.4</w:t>
            </w:r>
          </w:p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437434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</w:tr>
      <w:tr w:rsidR="00FA0940" w:rsidRPr="00AA1FA9" w14:paraId="55CCA1F9" w14:textId="77777777" w:rsidTr="00925890">
        <w:trPr>
          <w:trHeight w:val="137"/>
        </w:trPr>
        <w:tc>
          <w:tcPr>
            <w:tcW w:w="1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E7BB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0AA84BF3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6D58F" w14:textId="27D7536D" w:rsidR="00FA0940" w:rsidRPr="00327F63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Constant outbreak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BCCFA" w14:textId="77777777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</w:p>
        </w:tc>
        <w:tc>
          <w:tcPr>
            <w:tcW w:w="16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380BE" w14:textId="2FC26187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196.9</w:t>
            </w:r>
          </w:p>
        </w:tc>
        <w:tc>
          <w:tcPr>
            <w:tcW w:w="31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97A91" w14:textId="39CFA3CA" w:rsidR="00FA0940" w:rsidRPr="00327F63" w:rsidRDefault="00FA0940" w:rsidP="00884CCE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~ 1000 divergent transitions after warm-up</w:t>
            </w:r>
          </w:p>
        </w:tc>
      </w:tr>
      <w:tr w:rsidR="00FA0940" w:rsidRPr="00AA1FA9" w14:paraId="6DB98148" w14:textId="77777777" w:rsidTr="00925890">
        <w:trPr>
          <w:trHeight w:val="294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EB7B5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5ADF321E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8A63F7" w14:textId="75766A76" w:rsidR="00FA0940" w:rsidRPr="00327F63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One outbreak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9999A" w14:textId="77777777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3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67C7E" w14:textId="3EDC22FB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195.9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0C9C5" w14:textId="79ACB130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:lang w:val="en-US"/>
                <w14:ligatures w14:val="standardContextual"/>
              </w:rPr>
              <w:t>~700 divergent transitions after warm-up</w:t>
            </w:r>
          </w:p>
        </w:tc>
      </w:tr>
      <w:tr w:rsidR="00FA0940" w:rsidRPr="00AA1FA9" w14:paraId="361D01B0" w14:textId="77777777" w:rsidTr="00925890">
        <w:trPr>
          <w:trHeight w:val="294"/>
        </w:trPr>
        <w:tc>
          <w:tcPr>
            <w:tcW w:w="12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D3BD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Timimoun</w:t>
            </w:r>
            <w:proofErr w:type="spellEnd"/>
          </w:p>
        </w:tc>
        <w:tc>
          <w:tcPr>
            <w:tcW w:w="1170" w:type="dxa"/>
            <w:vMerge w:val="restart"/>
          </w:tcPr>
          <w:p w14:paraId="4231EBEF" w14:textId="51533876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South</w:t>
            </w: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1EB67" w14:textId="544A51D3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Constant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09E11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CCF3D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144.7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DD066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</w:tr>
      <w:tr w:rsidR="00FA0940" w:rsidRPr="00AA1FA9" w14:paraId="3D94C9E1" w14:textId="77777777" w:rsidTr="00925890">
        <w:trPr>
          <w:trHeight w:val="294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67B48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60195566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4316D" w14:textId="10351954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 xml:space="preserve">Constant with </w:t>
            </w:r>
            <w:proofErr w:type="spellStart"/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seroreversion</w:t>
            </w:r>
            <w:proofErr w:type="spellEnd"/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90C40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C7AB39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146.6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59979" w14:textId="77777777" w:rsidR="00FA0940" w:rsidRPr="00AA1FA9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</w:tr>
      <w:tr w:rsidR="00FA0940" w:rsidRPr="00AA1FA9" w14:paraId="29A873EC" w14:textId="77777777" w:rsidTr="00925890">
        <w:trPr>
          <w:trHeight w:val="294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9F6C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372EB64D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DAE2E" w14:textId="46EE1880" w:rsidR="00FA0940" w:rsidRPr="00327F63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Constant outbreak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FDA2E" w14:textId="77777777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1C46A" w14:textId="4D550165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145.1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FFCEE" w14:textId="34AD4687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~900 divergent transitions after warm-up</w:t>
            </w:r>
          </w:p>
        </w:tc>
      </w:tr>
      <w:tr w:rsidR="00FA0940" w:rsidRPr="00AA1FA9" w14:paraId="284FE278" w14:textId="77777777" w:rsidTr="00925890">
        <w:trPr>
          <w:trHeight w:val="294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E3F9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28975ED6" w14:textId="77777777" w:rsidR="00FA0940" w:rsidRPr="00AA1FA9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DACFB" w14:textId="16146C9C" w:rsidR="00FA0940" w:rsidRPr="00327F63" w:rsidRDefault="00FA0940" w:rsidP="00AA1FA9">
            <w:pPr>
              <w:spacing w:line="240" w:lineRule="auto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One outbreak</w:t>
            </w:r>
          </w:p>
        </w:tc>
        <w:tc>
          <w:tcPr>
            <w:tcW w:w="153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21E1B" w14:textId="77777777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3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9D4A3" w14:textId="14A9DA14" w:rsidR="00FA0940" w:rsidRPr="00327F63" w:rsidRDefault="00FA0940" w:rsidP="00AA1FA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161.0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B2F60" w14:textId="67B8293E" w:rsidR="00FA0940" w:rsidRPr="00327F63" w:rsidRDefault="00FA0940" w:rsidP="00884CCE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900 divergent transitions after warm-up</w:t>
            </w:r>
          </w:p>
        </w:tc>
      </w:tr>
      <w:tr w:rsidR="00FA0940" w:rsidRPr="00AA1FA9" w14:paraId="17FCBE91" w14:textId="77777777" w:rsidTr="00925890">
        <w:trPr>
          <w:trHeight w:val="294"/>
        </w:trPr>
        <w:tc>
          <w:tcPr>
            <w:tcW w:w="12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80B9" w14:textId="38DF3D4F" w:rsidR="00FA0940" w:rsidRPr="00AA1FA9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proofErr w:type="spellStart"/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Biskra</w:t>
            </w:r>
            <w:proofErr w:type="spellEnd"/>
          </w:p>
        </w:tc>
        <w:tc>
          <w:tcPr>
            <w:tcW w:w="1170" w:type="dxa"/>
            <w:vMerge w:val="restart"/>
          </w:tcPr>
          <w:p w14:paraId="36651AC4" w14:textId="673FBEDD" w:rsidR="00FA0940" w:rsidRPr="00AA1FA9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South</w:t>
            </w: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097B6" w14:textId="138A02D9" w:rsidR="00FA0940" w:rsidRPr="00AA1FA9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Constant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8F808" w14:textId="309BFB27" w:rsidR="00FA0940" w:rsidRPr="00AA1FA9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1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3FB7" w14:textId="6AFEC31C" w:rsidR="00FA0940" w:rsidRPr="00AA1FA9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287.4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0A3E18" w14:textId="75A90F9A" w:rsidR="00FA0940" w:rsidRPr="00AA1FA9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</w:tr>
      <w:tr w:rsidR="00FA0940" w:rsidRPr="00AA1FA9" w14:paraId="1E11798A" w14:textId="77777777" w:rsidTr="00925890">
        <w:trPr>
          <w:trHeight w:val="294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77BB8" w14:textId="77777777" w:rsidR="00FA0940" w:rsidRPr="00AA1FA9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43C220C7" w14:textId="77777777" w:rsidR="00FA0940" w:rsidRPr="00AA1FA9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05175" w14:textId="71C88CFD" w:rsidR="00FA0940" w:rsidRPr="00AA1FA9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 xml:space="preserve">Constant with </w:t>
            </w:r>
            <w:proofErr w:type="spellStart"/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seroreversion</w:t>
            </w:r>
            <w:proofErr w:type="spellEnd"/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19CD8" w14:textId="35D5C477" w:rsidR="00FA0940" w:rsidRPr="00AA1FA9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2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ACBCF" w14:textId="64DEDB20" w:rsidR="00FA0940" w:rsidRPr="00AA1FA9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289.3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B3F6D8" w14:textId="122A8576" w:rsidR="00FA0940" w:rsidRPr="00AA1FA9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AA1FA9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No</w:t>
            </w:r>
          </w:p>
        </w:tc>
      </w:tr>
      <w:tr w:rsidR="00FA0940" w:rsidRPr="00AA1FA9" w14:paraId="4BE5EAC4" w14:textId="77777777" w:rsidTr="00925890">
        <w:trPr>
          <w:trHeight w:val="294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05809" w14:textId="77777777" w:rsidR="00FA0940" w:rsidRPr="00AA1FA9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33EE0DE3" w14:textId="77777777" w:rsidR="00FA0940" w:rsidRPr="00AA1FA9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79548" w14:textId="044EC149" w:rsidR="00FA0940" w:rsidRPr="00327F63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Constant outbreak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6C080" w14:textId="5C59B096" w:rsidR="00FA0940" w:rsidRPr="00327F63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4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3C412" w14:textId="5FD5E4C9" w:rsidR="00FA0940" w:rsidRPr="00327F63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288.0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B41BD" w14:textId="2CB9749C" w:rsidR="00FA0940" w:rsidRPr="00327F63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~84,400 divergent transitions after warm-up</w:t>
            </w:r>
          </w:p>
        </w:tc>
      </w:tr>
      <w:tr w:rsidR="00FA0940" w:rsidRPr="00AA1FA9" w14:paraId="3C3B5632" w14:textId="77777777" w:rsidTr="00925890">
        <w:trPr>
          <w:trHeight w:val="294"/>
        </w:trPr>
        <w:tc>
          <w:tcPr>
            <w:tcW w:w="12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9BB7" w14:textId="77777777" w:rsidR="00FA0940" w:rsidRPr="00AA1FA9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70" w:type="dxa"/>
            <w:vMerge/>
          </w:tcPr>
          <w:p w14:paraId="39146777" w14:textId="77777777" w:rsidR="00FA0940" w:rsidRPr="00AA1FA9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71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D20B9B" w14:textId="1F927C80" w:rsidR="00FA0940" w:rsidRPr="00327F63" w:rsidRDefault="00FA0940" w:rsidP="00022B9B">
            <w:pPr>
              <w:spacing w:line="240" w:lineRule="auto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One outbreak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42F2C" w14:textId="51BF0F8B" w:rsidR="00FA0940" w:rsidRPr="00327F63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3</w:t>
            </w:r>
          </w:p>
        </w:tc>
        <w:tc>
          <w:tcPr>
            <w:tcW w:w="162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27A1D" w14:textId="75D90309" w:rsidR="00FA0940" w:rsidRPr="00327F63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341.1</w:t>
            </w:r>
          </w:p>
        </w:tc>
        <w:tc>
          <w:tcPr>
            <w:tcW w:w="3150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6DEBA" w14:textId="15E7BFF9" w:rsidR="00FA0940" w:rsidRPr="00327F63" w:rsidRDefault="00FA0940" w:rsidP="00022B9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327F63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val="en-US"/>
                <w14:ligatures w14:val="standardContextual"/>
              </w:rPr>
              <w:t>~1100 divergent transitions after warm-up</w:t>
            </w:r>
          </w:p>
        </w:tc>
      </w:tr>
    </w:tbl>
    <w:p w14:paraId="1BAFEDF0" w14:textId="77777777" w:rsidR="00AA1FA9" w:rsidRPr="00AA1FA9" w:rsidRDefault="00AA1FA9" w:rsidP="00AA1FA9">
      <w:pPr>
        <w:spacing w:line="240" w:lineRule="auto"/>
        <w:rPr>
          <w:rFonts w:asciiTheme="minorHAnsi" w:eastAsiaTheme="minorHAnsi" w:hAnsiTheme="minorHAnsi" w:cstheme="minorBidi"/>
          <w:kern w:val="2"/>
          <w:sz w:val="24"/>
          <w:szCs w:val="24"/>
          <w:lang w:val="en-US"/>
          <w14:ligatures w14:val="standardContextual"/>
        </w:rPr>
      </w:pPr>
    </w:p>
    <w:p w14:paraId="4747C995" w14:textId="77777777" w:rsidR="00AA1FA9" w:rsidRPr="00AA1FA9" w:rsidRDefault="00AA1FA9" w:rsidP="00AA1FA9">
      <w:pPr>
        <w:spacing w:line="240" w:lineRule="auto"/>
        <w:rPr>
          <w:rFonts w:asciiTheme="minorHAnsi" w:eastAsiaTheme="minorHAnsi" w:hAnsiTheme="minorHAnsi" w:cstheme="minorBidi"/>
          <w:kern w:val="2"/>
          <w:sz w:val="24"/>
          <w:szCs w:val="24"/>
          <w:lang w:val="en-US"/>
          <w14:ligatures w14:val="standardContextual"/>
        </w:rPr>
      </w:pPr>
    </w:p>
    <w:p w14:paraId="3F670BFF" w14:textId="77777777" w:rsidR="00893B48" w:rsidRDefault="00893B48" w:rsidP="007C04E9">
      <w:pPr>
        <w:jc w:val="center"/>
        <w:rPr>
          <w:lang w:val="en-US"/>
        </w:rPr>
      </w:pPr>
    </w:p>
    <w:p w14:paraId="43D3E9A7" w14:textId="77777777" w:rsidR="007C04E9" w:rsidRDefault="007C04E9" w:rsidP="007C04E9">
      <w:pPr>
        <w:jc w:val="center"/>
        <w:rPr>
          <w:lang w:val="en-US"/>
        </w:rPr>
      </w:pPr>
    </w:p>
    <w:p w14:paraId="20985446" w14:textId="77777777" w:rsidR="007C04E9" w:rsidRDefault="007C04E9" w:rsidP="007C04E9">
      <w:pPr>
        <w:jc w:val="center"/>
        <w:rPr>
          <w:lang w:val="en-US"/>
        </w:rPr>
      </w:pPr>
    </w:p>
    <w:p w14:paraId="20A43410" w14:textId="77777777" w:rsidR="007C04E9" w:rsidRPr="00893B48" w:rsidRDefault="007C04E9" w:rsidP="007C04E9">
      <w:pPr>
        <w:jc w:val="center"/>
        <w:rPr>
          <w:lang w:val="en-US"/>
        </w:rPr>
      </w:pPr>
    </w:p>
    <w:sectPr w:rsidR="007C04E9" w:rsidRPr="00893B48" w:rsidSect="00E80E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BCE2" w14:textId="77777777" w:rsidR="00D260EA" w:rsidRDefault="00D260EA" w:rsidP="00376EBA">
      <w:pPr>
        <w:spacing w:line="240" w:lineRule="auto"/>
      </w:pPr>
      <w:r>
        <w:separator/>
      </w:r>
    </w:p>
  </w:endnote>
  <w:endnote w:type="continuationSeparator" w:id="0">
    <w:p w14:paraId="0646FCCD" w14:textId="77777777" w:rsidR="00D260EA" w:rsidRDefault="00D260EA" w:rsidP="00376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6932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F4B47" w14:textId="0A34D8A1" w:rsidR="00376EBA" w:rsidRDefault="00376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DB2B74" w14:textId="77777777" w:rsidR="00376EBA" w:rsidRDefault="00376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ECEA" w14:textId="77777777" w:rsidR="00D260EA" w:rsidRDefault="00D260EA" w:rsidP="00376EBA">
      <w:pPr>
        <w:spacing w:line="240" w:lineRule="auto"/>
      </w:pPr>
      <w:r>
        <w:separator/>
      </w:r>
    </w:p>
  </w:footnote>
  <w:footnote w:type="continuationSeparator" w:id="0">
    <w:p w14:paraId="5B04FEA0" w14:textId="77777777" w:rsidR="00D260EA" w:rsidRDefault="00D260EA" w:rsidP="00376E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C349F"/>
    <w:multiLevelType w:val="hybridMultilevel"/>
    <w:tmpl w:val="EA34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85C0B"/>
    <w:multiLevelType w:val="hybridMultilevel"/>
    <w:tmpl w:val="DD10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7840">
    <w:abstractNumId w:val="1"/>
  </w:num>
  <w:num w:numId="2" w16cid:durableId="99145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48"/>
    <w:rsid w:val="00022B9B"/>
    <w:rsid w:val="00042C6B"/>
    <w:rsid w:val="000D0CD4"/>
    <w:rsid w:val="000E4AA0"/>
    <w:rsid w:val="000F2EDF"/>
    <w:rsid w:val="001F5E21"/>
    <w:rsid w:val="00211366"/>
    <w:rsid w:val="00243852"/>
    <w:rsid w:val="0027168E"/>
    <w:rsid w:val="00283C68"/>
    <w:rsid w:val="002D55D6"/>
    <w:rsid w:val="00327F63"/>
    <w:rsid w:val="00335212"/>
    <w:rsid w:val="003656AA"/>
    <w:rsid w:val="0037599A"/>
    <w:rsid w:val="00376EBA"/>
    <w:rsid w:val="003E4B79"/>
    <w:rsid w:val="00433B65"/>
    <w:rsid w:val="00437961"/>
    <w:rsid w:val="00441A01"/>
    <w:rsid w:val="00443959"/>
    <w:rsid w:val="004674C6"/>
    <w:rsid w:val="00497430"/>
    <w:rsid w:val="004C3177"/>
    <w:rsid w:val="00515BFD"/>
    <w:rsid w:val="00524614"/>
    <w:rsid w:val="005265C9"/>
    <w:rsid w:val="0058639C"/>
    <w:rsid w:val="005928F3"/>
    <w:rsid w:val="005F1244"/>
    <w:rsid w:val="005F4D81"/>
    <w:rsid w:val="00621174"/>
    <w:rsid w:val="006523C9"/>
    <w:rsid w:val="007356E2"/>
    <w:rsid w:val="007412BE"/>
    <w:rsid w:val="00776339"/>
    <w:rsid w:val="00786127"/>
    <w:rsid w:val="007C04E9"/>
    <w:rsid w:val="007E6730"/>
    <w:rsid w:val="007F05EA"/>
    <w:rsid w:val="00816FCB"/>
    <w:rsid w:val="008328C8"/>
    <w:rsid w:val="00883360"/>
    <w:rsid w:val="00884CCE"/>
    <w:rsid w:val="00893B48"/>
    <w:rsid w:val="0090399D"/>
    <w:rsid w:val="009123F7"/>
    <w:rsid w:val="00912400"/>
    <w:rsid w:val="00925890"/>
    <w:rsid w:val="0094651A"/>
    <w:rsid w:val="00962195"/>
    <w:rsid w:val="009A34BE"/>
    <w:rsid w:val="009D72E2"/>
    <w:rsid w:val="009E5D6C"/>
    <w:rsid w:val="00A548DD"/>
    <w:rsid w:val="00A57003"/>
    <w:rsid w:val="00AA1FA9"/>
    <w:rsid w:val="00AD0185"/>
    <w:rsid w:val="00B5765B"/>
    <w:rsid w:val="00B940B6"/>
    <w:rsid w:val="00BA410E"/>
    <w:rsid w:val="00BB3209"/>
    <w:rsid w:val="00BD50F3"/>
    <w:rsid w:val="00BE34E4"/>
    <w:rsid w:val="00C20BAA"/>
    <w:rsid w:val="00C31027"/>
    <w:rsid w:val="00C370E2"/>
    <w:rsid w:val="00CC1214"/>
    <w:rsid w:val="00CC68A8"/>
    <w:rsid w:val="00D01831"/>
    <w:rsid w:val="00D212ED"/>
    <w:rsid w:val="00D260EA"/>
    <w:rsid w:val="00E456C8"/>
    <w:rsid w:val="00E80E5D"/>
    <w:rsid w:val="00ED1D9A"/>
    <w:rsid w:val="00EF2892"/>
    <w:rsid w:val="00F56C56"/>
    <w:rsid w:val="00F63712"/>
    <w:rsid w:val="00FA0940"/>
    <w:rsid w:val="00FA1D11"/>
    <w:rsid w:val="00FB5D2F"/>
    <w:rsid w:val="00FC5A03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1992"/>
  <w15:chartTrackingRefBased/>
  <w15:docId w15:val="{2987B429-3FAA-473C-B7B3-30980D43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4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B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B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B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B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B4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893B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B48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B4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48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customStyle="1" w:styleId="paperheading1">
    <w:name w:val="paper heading 1"/>
    <w:basedOn w:val="Heading1"/>
    <w:qFormat/>
    <w:rsid w:val="00D212ED"/>
    <w:rPr>
      <w:rFonts w:ascii="Arial" w:hAnsi="Arial"/>
      <w:b/>
      <w:color w:val="auto"/>
      <w:sz w:val="28"/>
    </w:rPr>
  </w:style>
  <w:style w:type="paragraph" w:customStyle="1" w:styleId="paperheading2">
    <w:name w:val="paper heading 2"/>
    <w:basedOn w:val="Normal"/>
    <w:qFormat/>
    <w:rsid w:val="00D212ED"/>
    <w:pPr>
      <w:spacing w:before="240"/>
    </w:pPr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D1D9A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1D9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D1D9A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621174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E80E5D"/>
  </w:style>
  <w:style w:type="paragraph" w:styleId="Header">
    <w:name w:val="header"/>
    <w:basedOn w:val="Normal"/>
    <w:link w:val="HeaderChar"/>
    <w:uiPriority w:val="99"/>
    <w:unhideWhenUsed/>
    <w:rsid w:val="00376EBA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EBA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6EBA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EBA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548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15809-5BD5-44EE-ABB7-579FE863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 CHARNIGA</dc:creator>
  <cp:keywords/>
  <dc:description/>
  <cp:lastModifiedBy>Benbetka, Chahrazed</cp:lastModifiedBy>
  <cp:revision>3</cp:revision>
  <dcterms:created xsi:type="dcterms:W3CDTF">2025-06-21T23:51:00Z</dcterms:created>
  <dcterms:modified xsi:type="dcterms:W3CDTF">2025-06-22T14:21:00Z</dcterms:modified>
</cp:coreProperties>
</file>