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34" w:type="dxa"/>
        <w:tblLook w:val="04A0" w:firstRow="1" w:lastRow="0" w:firstColumn="1" w:lastColumn="0" w:noHBand="0" w:noVBand="1"/>
      </w:tblPr>
      <w:tblGrid>
        <w:gridCol w:w="3399"/>
        <w:gridCol w:w="3121"/>
        <w:gridCol w:w="3014"/>
      </w:tblGrid>
      <w:tr w:rsidR="00DF2441" w:rsidRPr="00B66857" w14:paraId="331D214B" w14:textId="77777777" w:rsidTr="00FF4B02">
        <w:trPr>
          <w:trHeight w:val="832"/>
        </w:trPr>
        <w:tc>
          <w:tcPr>
            <w:tcW w:w="0" w:type="auto"/>
            <w:vAlign w:val="center"/>
            <w:hideMark/>
          </w:tcPr>
          <w:p w14:paraId="55B408AA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6857">
              <w:rPr>
                <w:rFonts w:asciiTheme="majorBidi" w:hAnsiTheme="majorBidi" w:cstheme="majorBidi"/>
                <w:b/>
                <w:bCs/>
              </w:rPr>
              <w:t>Group × Phase</w:t>
            </w:r>
          </w:p>
        </w:tc>
        <w:tc>
          <w:tcPr>
            <w:tcW w:w="0" w:type="auto"/>
            <w:vAlign w:val="center"/>
            <w:hideMark/>
          </w:tcPr>
          <w:p w14:paraId="76BD5106" w14:textId="77777777" w:rsidR="00DF2441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685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ASR-removed samples</w:t>
            </w:r>
          </w:p>
          <w:p w14:paraId="57DA4944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685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(%; mean ± SD)</w:t>
            </w:r>
          </w:p>
        </w:tc>
        <w:tc>
          <w:tcPr>
            <w:tcW w:w="0" w:type="auto"/>
            <w:vAlign w:val="center"/>
            <w:hideMark/>
          </w:tcPr>
          <w:p w14:paraId="6C3999BB" w14:textId="77777777" w:rsidR="00DF2441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685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Interpolated channels</w:t>
            </w:r>
          </w:p>
          <w:p w14:paraId="78CB8794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685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(N; mean ± SD)</w:t>
            </w:r>
          </w:p>
        </w:tc>
      </w:tr>
      <w:tr w:rsidR="00DF2441" w:rsidRPr="00B66857" w14:paraId="4CE3D082" w14:textId="77777777" w:rsidTr="00FF4B02">
        <w:trPr>
          <w:trHeight w:val="471"/>
        </w:trPr>
        <w:tc>
          <w:tcPr>
            <w:tcW w:w="0" w:type="auto"/>
            <w:vAlign w:val="center"/>
            <w:hideMark/>
          </w:tcPr>
          <w:p w14:paraId="7F92FCB4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Experiment (pre-EC)</w:t>
            </w:r>
          </w:p>
        </w:tc>
        <w:tc>
          <w:tcPr>
            <w:tcW w:w="0" w:type="auto"/>
            <w:vAlign w:val="center"/>
            <w:hideMark/>
          </w:tcPr>
          <w:p w14:paraId="44F58A04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1.2 ± 2.1 %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ABC826A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0.53 ± 0.82</w:t>
            </w:r>
          </w:p>
        </w:tc>
      </w:tr>
      <w:tr w:rsidR="00DF2441" w:rsidRPr="00B66857" w14:paraId="5AE56304" w14:textId="77777777" w:rsidTr="00FF4B02">
        <w:trPr>
          <w:trHeight w:val="463"/>
        </w:trPr>
        <w:tc>
          <w:tcPr>
            <w:tcW w:w="0" w:type="auto"/>
            <w:vAlign w:val="center"/>
            <w:hideMark/>
          </w:tcPr>
          <w:p w14:paraId="5AC2E750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Experiment (post-EC)</w:t>
            </w:r>
          </w:p>
        </w:tc>
        <w:tc>
          <w:tcPr>
            <w:tcW w:w="0" w:type="auto"/>
            <w:vAlign w:val="center"/>
            <w:hideMark/>
          </w:tcPr>
          <w:p w14:paraId="0230CAF9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2.7 ± 4.4 %</w:t>
            </w:r>
          </w:p>
        </w:tc>
        <w:tc>
          <w:tcPr>
            <w:tcW w:w="0" w:type="auto"/>
            <w:vMerge/>
            <w:vAlign w:val="center"/>
            <w:hideMark/>
          </w:tcPr>
          <w:p w14:paraId="24E75CF1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F2441" w:rsidRPr="00B66857" w14:paraId="7277A8BD" w14:textId="77777777" w:rsidTr="00FF4B02">
        <w:trPr>
          <w:trHeight w:val="471"/>
        </w:trPr>
        <w:tc>
          <w:tcPr>
            <w:tcW w:w="0" w:type="auto"/>
            <w:vAlign w:val="center"/>
            <w:hideMark/>
          </w:tcPr>
          <w:p w14:paraId="2D147CA7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Control (pre-EC)</w:t>
            </w:r>
          </w:p>
        </w:tc>
        <w:tc>
          <w:tcPr>
            <w:tcW w:w="0" w:type="auto"/>
            <w:vAlign w:val="center"/>
            <w:hideMark/>
          </w:tcPr>
          <w:p w14:paraId="05FED13D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2.6 ± 5.4 %</w:t>
            </w:r>
          </w:p>
        </w:tc>
        <w:tc>
          <w:tcPr>
            <w:tcW w:w="0" w:type="auto"/>
            <w:vMerge/>
            <w:vAlign w:val="center"/>
            <w:hideMark/>
          </w:tcPr>
          <w:p w14:paraId="1BADB7FA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DF2441" w:rsidRPr="00B66857" w14:paraId="57ED6897" w14:textId="77777777" w:rsidTr="00FF4B02">
        <w:trPr>
          <w:trHeight w:val="471"/>
        </w:trPr>
        <w:tc>
          <w:tcPr>
            <w:tcW w:w="0" w:type="auto"/>
            <w:vAlign w:val="center"/>
            <w:hideMark/>
          </w:tcPr>
          <w:p w14:paraId="73916054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Control (post-EC)</w:t>
            </w:r>
          </w:p>
        </w:tc>
        <w:tc>
          <w:tcPr>
            <w:tcW w:w="0" w:type="auto"/>
            <w:vAlign w:val="center"/>
            <w:hideMark/>
          </w:tcPr>
          <w:p w14:paraId="2B297885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3.5 ± 7.6 %</w:t>
            </w:r>
          </w:p>
        </w:tc>
        <w:tc>
          <w:tcPr>
            <w:tcW w:w="0" w:type="auto"/>
            <w:vMerge/>
            <w:vAlign w:val="center"/>
            <w:hideMark/>
          </w:tcPr>
          <w:p w14:paraId="71013F7C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49D23C1A" w14:textId="77777777" w:rsidR="00DF2441" w:rsidRDefault="00DF2441" w:rsidP="00DF2441">
      <w:pPr>
        <w:jc w:val="both"/>
        <w:rPr>
          <w:rFonts w:asciiTheme="majorBidi" w:hAnsiTheme="majorBidi" w:cstheme="majorBidi"/>
        </w:rPr>
      </w:pPr>
    </w:p>
    <w:tbl>
      <w:tblPr>
        <w:tblStyle w:val="TableGrid"/>
        <w:tblW w:w="9542" w:type="dxa"/>
        <w:tblLook w:val="04A0" w:firstRow="1" w:lastRow="0" w:firstColumn="1" w:lastColumn="0" w:noHBand="0" w:noVBand="1"/>
      </w:tblPr>
      <w:tblGrid>
        <w:gridCol w:w="4366"/>
        <w:gridCol w:w="3075"/>
        <w:gridCol w:w="2101"/>
      </w:tblGrid>
      <w:tr w:rsidR="00DF2441" w:rsidRPr="00B66857" w14:paraId="15C8578D" w14:textId="77777777" w:rsidTr="00FF4B02">
        <w:trPr>
          <w:trHeight w:val="491"/>
        </w:trPr>
        <w:tc>
          <w:tcPr>
            <w:tcW w:w="0" w:type="auto"/>
            <w:vAlign w:val="center"/>
            <w:hideMark/>
          </w:tcPr>
          <w:p w14:paraId="215883B8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6857">
              <w:rPr>
                <w:rFonts w:asciiTheme="majorBidi" w:hAnsiTheme="majorBidi" w:cstheme="majorBidi"/>
                <w:b/>
                <w:bCs/>
              </w:rPr>
              <w:t>Component class (</w:t>
            </w:r>
            <w:r w:rsidRPr="00B66857">
              <w:rPr>
                <w:rFonts w:asciiTheme="majorBidi" w:hAnsiTheme="majorBidi" w:cstheme="majorBidi"/>
                <w:b/>
                <w:bCs/>
                <w:i/>
                <w:iCs/>
              </w:rPr>
              <w:t>ADJUST</w:t>
            </w:r>
            <w:r w:rsidRPr="00B66857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BC1EE40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6857">
              <w:rPr>
                <w:rFonts w:asciiTheme="majorBidi" w:hAnsiTheme="majorBidi" w:cstheme="majorBidi"/>
                <w:b/>
                <w:bCs/>
              </w:rPr>
              <w:t>Mean ICs removed</w:t>
            </w:r>
          </w:p>
        </w:tc>
        <w:tc>
          <w:tcPr>
            <w:tcW w:w="0" w:type="auto"/>
            <w:vAlign w:val="center"/>
            <w:hideMark/>
          </w:tcPr>
          <w:p w14:paraId="39DE073C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6857">
              <w:rPr>
                <w:rFonts w:asciiTheme="majorBidi" w:hAnsiTheme="majorBidi" w:cstheme="majorBidi"/>
                <w:b/>
                <w:bCs/>
              </w:rPr>
              <w:t>SD ( √VAR )</w:t>
            </w:r>
          </w:p>
        </w:tc>
      </w:tr>
      <w:tr w:rsidR="00DF2441" w:rsidRPr="00B66857" w14:paraId="217FE82A" w14:textId="77777777" w:rsidTr="00FF4B02">
        <w:trPr>
          <w:trHeight w:val="483"/>
        </w:trPr>
        <w:tc>
          <w:tcPr>
            <w:tcW w:w="0" w:type="auto"/>
            <w:vAlign w:val="center"/>
            <w:hideMark/>
          </w:tcPr>
          <w:p w14:paraId="41D36C07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Blink</w:t>
            </w:r>
          </w:p>
        </w:tc>
        <w:tc>
          <w:tcPr>
            <w:tcW w:w="0" w:type="auto"/>
            <w:vAlign w:val="center"/>
            <w:hideMark/>
          </w:tcPr>
          <w:p w14:paraId="66E41E09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4.63 ± 3.35</w:t>
            </w:r>
          </w:p>
        </w:tc>
        <w:tc>
          <w:tcPr>
            <w:tcW w:w="0" w:type="auto"/>
            <w:vAlign w:val="center"/>
            <w:hideMark/>
          </w:tcPr>
          <w:p w14:paraId="586122C6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11.23</w:t>
            </w:r>
          </w:p>
        </w:tc>
      </w:tr>
      <w:tr w:rsidR="00DF2441" w:rsidRPr="00B66857" w14:paraId="26407ADC" w14:textId="77777777" w:rsidTr="00FF4B02">
        <w:trPr>
          <w:trHeight w:val="491"/>
        </w:trPr>
        <w:tc>
          <w:tcPr>
            <w:tcW w:w="0" w:type="auto"/>
            <w:vAlign w:val="center"/>
            <w:hideMark/>
          </w:tcPr>
          <w:p w14:paraId="42FA4BC1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Horizontal eye movement</w:t>
            </w:r>
          </w:p>
        </w:tc>
        <w:tc>
          <w:tcPr>
            <w:tcW w:w="0" w:type="auto"/>
            <w:vAlign w:val="center"/>
            <w:hideMark/>
          </w:tcPr>
          <w:p w14:paraId="1739034F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3.61 ± 2.59</w:t>
            </w:r>
          </w:p>
        </w:tc>
        <w:tc>
          <w:tcPr>
            <w:tcW w:w="0" w:type="auto"/>
            <w:vAlign w:val="center"/>
            <w:hideMark/>
          </w:tcPr>
          <w:p w14:paraId="01409929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6.71</w:t>
            </w:r>
          </w:p>
        </w:tc>
      </w:tr>
      <w:tr w:rsidR="00DF2441" w:rsidRPr="00B66857" w14:paraId="529EBEEE" w14:textId="77777777" w:rsidTr="00FF4B02">
        <w:trPr>
          <w:trHeight w:val="483"/>
        </w:trPr>
        <w:tc>
          <w:tcPr>
            <w:tcW w:w="0" w:type="auto"/>
            <w:vAlign w:val="center"/>
            <w:hideMark/>
          </w:tcPr>
          <w:p w14:paraId="12B60FE9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Vertical eye movement</w:t>
            </w:r>
          </w:p>
        </w:tc>
        <w:tc>
          <w:tcPr>
            <w:tcW w:w="0" w:type="auto"/>
            <w:vAlign w:val="center"/>
            <w:hideMark/>
          </w:tcPr>
          <w:p w14:paraId="6D8D0F48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9.74 ± 5.14</w:t>
            </w:r>
          </w:p>
        </w:tc>
        <w:tc>
          <w:tcPr>
            <w:tcW w:w="0" w:type="auto"/>
            <w:vAlign w:val="center"/>
            <w:hideMark/>
          </w:tcPr>
          <w:p w14:paraId="5790371A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26.40</w:t>
            </w:r>
          </w:p>
        </w:tc>
      </w:tr>
      <w:tr w:rsidR="00DF2441" w:rsidRPr="00B66857" w14:paraId="5171EC2D" w14:textId="77777777" w:rsidTr="00FF4B02">
        <w:trPr>
          <w:trHeight w:val="491"/>
        </w:trPr>
        <w:tc>
          <w:tcPr>
            <w:tcW w:w="0" w:type="auto"/>
            <w:vAlign w:val="center"/>
            <w:hideMark/>
          </w:tcPr>
          <w:p w14:paraId="2F0F8C2D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Discontinuities / noise</w:t>
            </w:r>
          </w:p>
        </w:tc>
        <w:tc>
          <w:tcPr>
            <w:tcW w:w="0" w:type="auto"/>
            <w:vAlign w:val="center"/>
            <w:hideMark/>
          </w:tcPr>
          <w:p w14:paraId="02815A6A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17.82 ± 7.61</w:t>
            </w:r>
          </w:p>
        </w:tc>
        <w:tc>
          <w:tcPr>
            <w:tcW w:w="0" w:type="auto"/>
            <w:vAlign w:val="center"/>
            <w:hideMark/>
          </w:tcPr>
          <w:p w14:paraId="37765399" w14:textId="77777777" w:rsidR="00DF2441" w:rsidRPr="00B66857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B66857">
              <w:rPr>
                <w:rFonts w:asciiTheme="majorBidi" w:hAnsiTheme="majorBidi" w:cstheme="majorBidi"/>
              </w:rPr>
              <w:t>57.89</w:t>
            </w:r>
          </w:p>
        </w:tc>
      </w:tr>
    </w:tbl>
    <w:p w14:paraId="1A7E51CB" w14:textId="77777777" w:rsidR="00DF2441" w:rsidRPr="004C41A3" w:rsidRDefault="00DF2441" w:rsidP="00DF2441">
      <w:pPr>
        <w:jc w:val="both"/>
        <w:rPr>
          <w:rFonts w:asciiTheme="majorBidi" w:hAnsiTheme="majorBidi" w:cstheme="majorBidi"/>
        </w:rPr>
      </w:pPr>
      <w:r w:rsidRPr="004C41A3">
        <w:rPr>
          <w:rFonts w:asciiTheme="majorBidi" w:hAnsiTheme="majorBidi" w:cstheme="majorBidi"/>
        </w:rPr>
        <w:t>Supplementary Tables S1&amp;S2 | EEG data-quality metrics</w:t>
      </w:r>
    </w:p>
    <w:p w14:paraId="7B148B3F" w14:textId="77777777" w:rsidR="00DF2441" w:rsidRDefault="00DF2441" w:rsidP="00DF2441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S1: </w:t>
      </w:r>
      <w:r w:rsidRPr="00CC45D1">
        <w:rPr>
          <w:rFonts w:asciiTheme="majorBidi" w:hAnsiTheme="majorBidi" w:cstheme="majorBidi"/>
        </w:rPr>
        <w:t>Per-block percentage of samples removed by ASR and number of interpolated channels (mean ± SD). Datasets exceeding 25 % sample loss or 40 channels were excluded.</w:t>
      </w:r>
      <w:r>
        <w:rPr>
          <w:rFonts w:asciiTheme="majorBidi" w:hAnsiTheme="majorBidi" w:cstheme="majorBidi"/>
        </w:rPr>
        <w:t xml:space="preserve"> S2 : </w:t>
      </w:r>
      <w:r w:rsidRPr="00B66857">
        <w:rPr>
          <w:rFonts w:asciiTheme="majorBidi" w:hAnsiTheme="majorBidi" w:cstheme="majorBidi"/>
        </w:rPr>
        <w:t>Values denote the number of independent components (ICs) automatically flagged and removed by ADJUST per 7-min rest block.</w:t>
      </w:r>
      <w:r>
        <w:rPr>
          <w:rFonts w:asciiTheme="majorBidi" w:hAnsiTheme="majorBidi" w:cstheme="majorBidi"/>
        </w:rPr>
        <w:t xml:space="preserve"> </w:t>
      </w:r>
      <w:r w:rsidRPr="00B66857">
        <w:rPr>
          <w:rFonts w:asciiTheme="majorBidi" w:hAnsiTheme="majorBidi" w:cstheme="majorBidi"/>
        </w:rPr>
        <w:t>Means and SDs are computed across the 30 EEG datasets that passed final inclusion criteria.</w:t>
      </w:r>
    </w:p>
    <w:p w14:paraId="5E2EDA0F" w14:textId="77777777" w:rsidR="00DF2441" w:rsidRDefault="00DF2441" w:rsidP="00DF2441">
      <w:pPr>
        <w:jc w:val="both"/>
        <w:rPr>
          <w:rFonts w:asciiTheme="majorBidi" w:hAnsiTheme="majorBidi" w:cstheme="majorBidi"/>
        </w:rPr>
      </w:pPr>
    </w:p>
    <w:p w14:paraId="46705A20" w14:textId="77777777" w:rsidR="00DF2441" w:rsidRDefault="00DF2441" w:rsidP="00DF2441">
      <w:pPr>
        <w:jc w:val="both"/>
        <w:rPr>
          <w:rFonts w:asciiTheme="majorBidi" w:hAnsiTheme="majorBidi" w:cstheme="majorBidi"/>
        </w:rPr>
      </w:pPr>
    </w:p>
    <w:tbl>
      <w:tblPr>
        <w:tblStyle w:val="TableGrid"/>
        <w:tblW w:w="9522" w:type="dxa"/>
        <w:tblLook w:val="04A0" w:firstRow="1" w:lastRow="0" w:firstColumn="1" w:lastColumn="0" w:noHBand="0" w:noVBand="1"/>
      </w:tblPr>
      <w:tblGrid>
        <w:gridCol w:w="1058"/>
        <w:gridCol w:w="1058"/>
        <w:gridCol w:w="1058"/>
        <w:gridCol w:w="1058"/>
        <w:gridCol w:w="1058"/>
        <w:gridCol w:w="1058"/>
        <w:gridCol w:w="1058"/>
        <w:gridCol w:w="1058"/>
        <w:gridCol w:w="1058"/>
      </w:tblGrid>
      <w:tr w:rsidR="00DF2441" w:rsidRPr="005A121B" w14:paraId="6664601D" w14:textId="77777777" w:rsidTr="00FF4B02">
        <w:trPr>
          <w:trHeight w:val="418"/>
        </w:trPr>
        <w:tc>
          <w:tcPr>
            <w:tcW w:w="1058" w:type="dxa"/>
            <w:vAlign w:val="center"/>
            <w:hideMark/>
          </w:tcPr>
          <w:p w14:paraId="5F3E4DF2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Label</w:t>
            </w:r>
          </w:p>
        </w:tc>
        <w:tc>
          <w:tcPr>
            <w:tcW w:w="1058" w:type="dxa"/>
            <w:vAlign w:val="center"/>
            <w:hideMark/>
          </w:tcPr>
          <w:p w14:paraId="74413253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θ (°)</w:t>
            </w:r>
          </w:p>
        </w:tc>
        <w:tc>
          <w:tcPr>
            <w:tcW w:w="1058" w:type="dxa"/>
            <w:vAlign w:val="center"/>
            <w:hideMark/>
          </w:tcPr>
          <w:p w14:paraId="04348C32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Radius</w:t>
            </w:r>
          </w:p>
        </w:tc>
        <w:tc>
          <w:tcPr>
            <w:tcW w:w="1058" w:type="dxa"/>
            <w:vAlign w:val="center"/>
            <w:hideMark/>
          </w:tcPr>
          <w:p w14:paraId="6EF31F52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X (mm)</w:t>
            </w:r>
          </w:p>
        </w:tc>
        <w:tc>
          <w:tcPr>
            <w:tcW w:w="1058" w:type="dxa"/>
            <w:vAlign w:val="center"/>
            <w:hideMark/>
          </w:tcPr>
          <w:p w14:paraId="00057FBC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Y (mm)</w:t>
            </w:r>
          </w:p>
        </w:tc>
        <w:tc>
          <w:tcPr>
            <w:tcW w:w="1058" w:type="dxa"/>
            <w:vAlign w:val="center"/>
            <w:hideMark/>
          </w:tcPr>
          <w:p w14:paraId="6E01F4FC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Z (mm)</w:t>
            </w:r>
          </w:p>
        </w:tc>
        <w:tc>
          <w:tcPr>
            <w:tcW w:w="1058" w:type="dxa"/>
            <w:vAlign w:val="center"/>
            <w:hideMark/>
          </w:tcPr>
          <w:p w14:paraId="5C204F66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Sph-θ </w:t>
            </w:r>
            <w:r w:rsidRPr="005A121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(°)</w:t>
            </w:r>
          </w:p>
        </w:tc>
        <w:tc>
          <w:tcPr>
            <w:tcW w:w="1058" w:type="dxa"/>
            <w:vAlign w:val="center"/>
            <w:hideMark/>
          </w:tcPr>
          <w:p w14:paraId="5E92DA63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Sph-φ</w:t>
            </w:r>
            <w:r w:rsidRPr="005A121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(°)</w:t>
            </w:r>
          </w:p>
        </w:tc>
        <w:tc>
          <w:tcPr>
            <w:tcW w:w="1058" w:type="dxa"/>
            <w:vAlign w:val="center"/>
            <w:hideMark/>
          </w:tcPr>
          <w:p w14:paraId="42D0FC1B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A12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Sph-r</w:t>
            </w:r>
          </w:p>
        </w:tc>
      </w:tr>
      <w:tr w:rsidR="00DF2441" w:rsidRPr="005A121B" w14:paraId="03571E7D" w14:textId="77777777" w:rsidTr="00FF4B02">
        <w:trPr>
          <w:trHeight w:val="418"/>
        </w:trPr>
        <w:tc>
          <w:tcPr>
            <w:tcW w:w="1058" w:type="dxa"/>
            <w:vAlign w:val="center"/>
            <w:hideMark/>
          </w:tcPr>
          <w:p w14:paraId="33C81D3D" w14:textId="77777777" w:rsidR="00DF2441" w:rsidRPr="00CB0E32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CB0E32">
              <w:rPr>
                <w:rFonts w:asciiTheme="majorBidi" w:hAnsiTheme="majorBidi" w:cstheme="majorBidi"/>
              </w:rPr>
              <w:t>AFF7h</w:t>
            </w:r>
          </w:p>
        </w:tc>
        <w:tc>
          <w:tcPr>
            <w:tcW w:w="1058" w:type="dxa"/>
            <w:vAlign w:val="center"/>
            <w:hideMark/>
          </w:tcPr>
          <w:p w14:paraId="1F168BCC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–42.8</w:t>
            </w:r>
          </w:p>
        </w:tc>
        <w:tc>
          <w:tcPr>
            <w:tcW w:w="1058" w:type="dxa"/>
            <w:vAlign w:val="center"/>
            <w:hideMark/>
          </w:tcPr>
          <w:p w14:paraId="3EFDD465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0.486</w:t>
            </w:r>
          </w:p>
        </w:tc>
        <w:tc>
          <w:tcPr>
            <w:tcW w:w="1058" w:type="dxa"/>
            <w:vAlign w:val="center"/>
            <w:hideMark/>
          </w:tcPr>
          <w:p w14:paraId="2ACA04E1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62.3</w:t>
            </w:r>
          </w:p>
        </w:tc>
        <w:tc>
          <w:tcPr>
            <w:tcW w:w="1058" w:type="dxa"/>
            <w:vAlign w:val="center"/>
            <w:hideMark/>
          </w:tcPr>
          <w:p w14:paraId="2329EB94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57.7</w:t>
            </w:r>
          </w:p>
        </w:tc>
        <w:tc>
          <w:tcPr>
            <w:tcW w:w="1058" w:type="dxa"/>
            <w:vAlign w:val="center"/>
            <w:hideMark/>
          </w:tcPr>
          <w:p w14:paraId="1A3F5D51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3.8</w:t>
            </w:r>
          </w:p>
        </w:tc>
        <w:tc>
          <w:tcPr>
            <w:tcW w:w="1058" w:type="dxa"/>
            <w:vAlign w:val="center"/>
            <w:hideMark/>
          </w:tcPr>
          <w:p w14:paraId="0BEBAA05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42.8</w:t>
            </w:r>
          </w:p>
        </w:tc>
        <w:tc>
          <w:tcPr>
            <w:tcW w:w="1058" w:type="dxa"/>
            <w:vAlign w:val="center"/>
            <w:hideMark/>
          </w:tcPr>
          <w:p w14:paraId="6AE64121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2.6</w:t>
            </w:r>
          </w:p>
        </w:tc>
        <w:tc>
          <w:tcPr>
            <w:tcW w:w="1058" w:type="dxa"/>
            <w:vAlign w:val="center"/>
            <w:hideMark/>
          </w:tcPr>
          <w:p w14:paraId="1E5D7B7D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0.85</w:t>
            </w:r>
          </w:p>
        </w:tc>
      </w:tr>
      <w:tr w:rsidR="00DF2441" w:rsidRPr="005A121B" w14:paraId="2A1FCDFE" w14:textId="77777777" w:rsidTr="00FF4B02">
        <w:trPr>
          <w:trHeight w:val="418"/>
        </w:trPr>
        <w:tc>
          <w:tcPr>
            <w:tcW w:w="1058" w:type="dxa"/>
            <w:vAlign w:val="center"/>
            <w:hideMark/>
          </w:tcPr>
          <w:p w14:paraId="40395E1A" w14:textId="77777777" w:rsidR="00DF2441" w:rsidRPr="00CB0E32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CB0E32">
              <w:rPr>
                <w:rFonts w:asciiTheme="majorBidi" w:hAnsiTheme="majorBidi" w:cstheme="majorBidi"/>
              </w:rPr>
              <w:t>AFF5h</w:t>
            </w:r>
          </w:p>
        </w:tc>
        <w:tc>
          <w:tcPr>
            <w:tcW w:w="1058" w:type="dxa"/>
            <w:vAlign w:val="center"/>
            <w:hideMark/>
          </w:tcPr>
          <w:p w14:paraId="73DBEA3A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–35.8</w:t>
            </w:r>
          </w:p>
        </w:tc>
        <w:tc>
          <w:tcPr>
            <w:tcW w:w="1058" w:type="dxa"/>
            <w:vAlign w:val="center"/>
            <w:hideMark/>
          </w:tcPr>
          <w:p w14:paraId="56B5AAA8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0.413</w:t>
            </w:r>
          </w:p>
        </w:tc>
        <w:tc>
          <w:tcPr>
            <w:tcW w:w="1058" w:type="dxa"/>
            <w:vAlign w:val="center"/>
            <w:hideMark/>
          </w:tcPr>
          <w:p w14:paraId="1260C4FA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66.4</w:t>
            </w:r>
          </w:p>
        </w:tc>
        <w:tc>
          <w:tcPr>
            <w:tcW w:w="1058" w:type="dxa"/>
            <w:vAlign w:val="center"/>
            <w:hideMark/>
          </w:tcPr>
          <w:p w14:paraId="25716B69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47.9</w:t>
            </w:r>
          </w:p>
        </w:tc>
        <w:tc>
          <w:tcPr>
            <w:tcW w:w="1058" w:type="dxa"/>
            <w:vAlign w:val="center"/>
            <w:hideMark/>
          </w:tcPr>
          <w:p w14:paraId="0B3264A7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23.0</w:t>
            </w:r>
          </w:p>
        </w:tc>
        <w:tc>
          <w:tcPr>
            <w:tcW w:w="1058" w:type="dxa"/>
            <w:vAlign w:val="center"/>
            <w:hideMark/>
          </w:tcPr>
          <w:p w14:paraId="274C156A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35.8</w:t>
            </w:r>
          </w:p>
        </w:tc>
        <w:tc>
          <w:tcPr>
            <w:tcW w:w="1058" w:type="dxa"/>
            <w:vAlign w:val="center"/>
            <w:hideMark/>
          </w:tcPr>
          <w:p w14:paraId="2CDE4692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15.7</w:t>
            </w:r>
          </w:p>
        </w:tc>
        <w:tc>
          <w:tcPr>
            <w:tcW w:w="1058" w:type="dxa"/>
            <w:vAlign w:val="center"/>
            <w:hideMark/>
          </w:tcPr>
          <w:p w14:paraId="66461851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0.85</w:t>
            </w:r>
          </w:p>
        </w:tc>
      </w:tr>
      <w:tr w:rsidR="00DF2441" w:rsidRPr="005A121B" w14:paraId="04913BF6" w14:textId="77777777" w:rsidTr="00FF4B02">
        <w:trPr>
          <w:trHeight w:val="418"/>
        </w:trPr>
        <w:tc>
          <w:tcPr>
            <w:tcW w:w="1058" w:type="dxa"/>
            <w:vAlign w:val="center"/>
            <w:hideMark/>
          </w:tcPr>
          <w:p w14:paraId="212E58B3" w14:textId="77777777" w:rsidR="00DF2441" w:rsidRPr="00CB0E32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CB0E32">
              <w:rPr>
                <w:rFonts w:asciiTheme="majorBidi" w:hAnsiTheme="majorBidi" w:cstheme="majorBidi"/>
              </w:rPr>
              <w:t>AFF3h</w:t>
            </w:r>
          </w:p>
        </w:tc>
        <w:tc>
          <w:tcPr>
            <w:tcW w:w="1058" w:type="dxa"/>
            <w:vAlign w:val="center"/>
            <w:hideMark/>
          </w:tcPr>
          <w:p w14:paraId="0A0D9330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–24.4</w:t>
            </w:r>
          </w:p>
        </w:tc>
        <w:tc>
          <w:tcPr>
            <w:tcW w:w="1058" w:type="dxa"/>
            <w:vAlign w:val="center"/>
            <w:hideMark/>
          </w:tcPr>
          <w:p w14:paraId="45D448D7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0.354</w:t>
            </w:r>
          </w:p>
        </w:tc>
        <w:tc>
          <w:tcPr>
            <w:tcW w:w="1058" w:type="dxa"/>
            <w:vAlign w:val="center"/>
            <w:hideMark/>
          </w:tcPr>
          <w:p w14:paraId="7BFB46FB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69.5</w:t>
            </w:r>
          </w:p>
        </w:tc>
        <w:tc>
          <w:tcPr>
            <w:tcW w:w="1058" w:type="dxa"/>
            <w:vAlign w:val="center"/>
            <w:hideMark/>
          </w:tcPr>
          <w:p w14:paraId="71DEF415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31.5</w:t>
            </w:r>
          </w:p>
        </w:tc>
        <w:tc>
          <w:tcPr>
            <w:tcW w:w="1058" w:type="dxa"/>
            <w:vAlign w:val="center"/>
            <w:hideMark/>
          </w:tcPr>
          <w:p w14:paraId="1146AEDC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37.5</w:t>
            </w:r>
          </w:p>
        </w:tc>
        <w:tc>
          <w:tcPr>
            <w:tcW w:w="1058" w:type="dxa"/>
            <w:vAlign w:val="center"/>
            <w:hideMark/>
          </w:tcPr>
          <w:p w14:paraId="5FAEF0AE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24.4</w:t>
            </w:r>
          </w:p>
        </w:tc>
        <w:tc>
          <w:tcPr>
            <w:tcW w:w="1058" w:type="dxa"/>
            <w:vAlign w:val="center"/>
            <w:hideMark/>
          </w:tcPr>
          <w:p w14:paraId="55543D58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26.2</w:t>
            </w:r>
          </w:p>
        </w:tc>
        <w:tc>
          <w:tcPr>
            <w:tcW w:w="1058" w:type="dxa"/>
            <w:vAlign w:val="center"/>
            <w:hideMark/>
          </w:tcPr>
          <w:p w14:paraId="1BC235A8" w14:textId="77777777" w:rsidR="00DF2441" w:rsidRPr="005A121B" w:rsidRDefault="00DF2441" w:rsidP="00FF4B02">
            <w:pPr>
              <w:spacing w:after="160" w:line="278" w:lineRule="auto"/>
              <w:jc w:val="center"/>
              <w:rPr>
                <w:rFonts w:asciiTheme="majorBidi" w:hAnsiTheme="majorBidi" w:cstheme="majorBidi"/>
              </w:rPr>
            </w:pPr>
            <w:r w:rsidRPr="005A121B">
              <w:rPr>
                <w:rFonts w:asciiTheme="majorBidi" w:hAnsiTheme="majorBidi" w:cstheme="majorBidi"/>
              </w:rPr>
              <w:t>0.85</w:t>
            </w:r>
          </w:p>
        </w:tc>
      </w:tr>
    </w:tbl>
    <w:p w14:paraId="52B5FC3F" w14:textId="77777777" w:rsidR="00DF2441" w:rsidRPr="004C41A3" w:rsidRDefault="00DF2441" w:rsidP="00DF2441">
      <w:pPr>
        <w:jc w:val="both"/>
        <w:rPr>
          <w:rFonts w:asciiTheme="majorBidi" w:hAnsiTheme="majorBidi" w:cstheme="majorBidi"/>
        </w:rPr>
      </w:pPr>
      <w:r w:rsidRPr="004C41A3">
        <w:rPr>
          <w:rFonts w:asciiTheme="majorBidi" w:hAnsiTheme="majorBidi" w:cstheme="majorBidi"/>
        </w:rPr>
        <w:t>Supplementary Table S3 | Electrodes constituting the dlPFC ROI</w:t>
      </w:r>
    </w:p>
    <w:p w14:paraId="2A9AD95A" w14:textId="77777777" w:rsidR="00DF2441" w:rsidRDefault="00DF2441" w:rsidP="00DF2441">
      <w:pPr>
        <w:jc w:val="both"/>
        <w:rPr>
          <w:rFonts w:asciiTheme="majorBidi" w:hAnsiTheme="majorBidi" w:cstheme="majorBidi"/>
        </w:rPr>
      </w:pPr>
      <w:r w:rsidRPr="00CC45D1">
        <w:rPr>
          <w:rFonts w:asciiTheme="majorBidi" w:hAnsiTheme="majorBidi" w:cstheme="majorBidi"/>
        </w:rPr>
        <w:t xml:space="preserve">List of </w:t>
      </w:r>
      <w:r>
        <w:rPr>
          <w:rFonts w:asciiTheme="majorBidi" w:hAnsiTheme="majorBidi" w:cstheme="majorBidi"/>
        </w:rPr>
        <w:t>10-5 EEG channel</w:t>
      </w:r>
      <w:r w:rsidRPr="00CC45D1">
        <w:rPr>
          <w:rFonts w:asciiTheme="majorBidi" w:hAnsiTheme="majorBidi" w:cstheme="majorBidi"/>
        </w:rPr>
        <w:t xml:space="preserve"> labels (AFF3h, AFF5h, AFF7h) and corresponding coordinates used for ROI analyses.</w:t>
      </w:r>
    </w:p>
    <w:p w14:paraId="1A17133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441"/>
    <w:rsid w:val="00011119"/>
    <w:rsid w:val="002E281E"/>
    <w:rsid w:val="003201BB"/>
    <w:rsid w:val="00865217"/>
    <w:rsid w:val="00DF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67683"/>
  <w15:chartTrackingRefBased/>
  <w15:docId w15:val="{545D6D3C-D7C8-4592-BB0A-E2FF77AA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441"/>
  </w:style>
  <w:style w:type="paragraph" w:styleId="Heading1">
    <w:name w:val="heading 1"/>
    <w:basedOn w:val="Normal"/>
    <w:next w:val="Normal"/>
    <w:link w:val="Heading1Char"/>
    <w:uiPriority w:val="9"/>
    <w:qFormat/>
    <w:rsid w:val="00DF2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4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4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4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2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1074</Characters>
  <Application>Microsoft Office Word</Application>
  <DocSecurity>0</DocSecurity>
  <Lines>8</Lines>
  <Paragraphs>2</Paragraphs>
  <ScaleCrop>false</ScaleCrop>
  <Company>Springer Nature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2025-07-28T15:10:00Z</dcterms:created>
  <dcterms:modified xsi:type="dcterms:W3CDTF">2025-07-28T15:10:00Z</dcterms:modified>
</cp:coreProperties>
</file>