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F6CF" w14:textId="77777777" w:rsidR="009A13BA" w:rsidRPr="00B12AC9" w:rsidRDefault="009A13BA" w:rsidP="009A13BA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B12AC9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Tetrandrine-Driven Autophagy Suppresses SARS-CoV-2 Replication by Modulating Cholesterol and IGF Signaling Pathways: A Proteomic Analysis</w:t>
      </w:r>
    </w:p>
    <w:p w14:paraId="48E1608E" w14:textId="77777777" w:rsidR="009A13BA" w:rsidRPr="00B12AC9" w:rsidRDefault="009A13BA" w:rsidP="009A13BA">
      <w:pPr>
        <w:pStyle w:val="NoSpacing"/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41FD15" w14:textId="77777777" w:rsidR="009A13BA" w:rsidRPr="00B12AC9" w:rsidRDefault="009A13BA" w:rsidP="009A13BA">
      <w:pPr>
        <w:pStyle w:val="NoSpacing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96CBC5" w14:textId="77777777" w:rsidR="009A13BA" w:rsidRPr="00E00300" w:rsidRDefault="009A13BA" w:rsidP="009A13BA">
      <w:pPr>
        <w:pStyle w:val="NoSpacing"/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bookmarkStart w:id="0" w:name="m_8653221813896717568__msoanchor_1"/>
      <w:r w:rsidRPr="00E00300">
        <w:rPr>
          <w:rFonts w:ascii="Times New Roman" w:hAnsi="Times New Roman" w:cs="Times New Roman"/>
          <w:sz w:val="20"/>
          <w:szCs w:val="20"/>
          <w:lang w:val="it-IT"/>
        </w:rPr>
        <w:t xml:space="preserve">Lais de O. Marchioro (1, </w:t>
      </w:r>
      <w:r>
        <w:rPr>
          <w:rFonts w:ascii="Times New Roman" w:hAnsi="Times New Roman" w:cs="Times New Roman"/>
          <w:sz w:val="20"/>
          <w:szCs w:val="20"/>
          <w:lang w:val="it-IT"/>
        </w:rPr>
        <w:t>2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>), Sofia De Stefanis (</w:t>
      </w:r>
      <w:r>
        <w:rPr>
          <w:rFonts w:ascii="Times New Roman" w:hAnsi="Times New Roman" w:cs="Times New Roman"/>
          <w:sz w:val="20"/>
          <w:szCs w:val="20"/>
          <w:lang w:val="it-IT"/>
        </w:rPr>
        <w:t>3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>), Beatriz G. Araújo (1), Davide Mariotti (</w:t>
      </w:r>
      <w:r>
        <w:rPr>
          <w:rFonts w:ascii="Times New Roman" w:hAnsi="Times New Roman" w:cs="Times New Roman"/>
          <w:sz w:val="20"/>
          <w:szCs w:val="20"/>
          <w:lang w:val="it-IT"/>
        </w:rPr>
        <w:t>4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>), Ingrid K. M. Watanabe (</w:t>
      </w:r>
      <w:r>
        <w:rPr>
          <w:rFonts w:ascii="Times New Roman" w:hAnsi="Times New Roman" w:cs="Times New Roman"/>
          <w:sz w:val="20"/>
          <w:szCs w:val="20"/>
          <w:lang w:val="it-IT"/>
        </w:rPr>
        <w:t>5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 xml:space="preserve">), Michael </w:t>
      </w:r>
      <w:proofErr w:type="spellStart"/>
      <w:r w:rsidRPr="00E00300">
        <w:rPr>
          <w:rFonts w:ascii="Times New Roman" w:hAnsi="Times New Roman" w:cs="Times New Roman"/>
          <w:sz w:val="20"/>
          <w:szCs w:val="20"/>
          <w:lang w:val="it-IT"/>
        </w:rPr>
        <w:t>Stumpe</w:t>
      </w:r>
      <w:proofErr w:type="spellEnd"/>
      <w:r w:rsidRPr="00E00300">
        <w:rPr>
          <w:rFonts w:ascii="Times New Roman" w:hAnsi="Times New Roman" w:cs="Times New Roman"/>
          <w:sz w:val="20"/>
          <w:szCs w:val="20"/>
          <w:lang w:val="it-IT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it-IT"/>
        </w:rPr>
        <w:t>6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>), Giulia Matusali (</w:t>
      </w:r>
      <w:r>
        <w:rPr>
          <w:rFonts w:ascii="Times New Roman" w:hAnsi="Times New Roman" w:cs="Times New Roman"/>
          <w:sz w:val="20"/>
          <w:szCs w:val="20"/>
          <w:lang w:val="it-IT"/>
        </w:rPr>
        <w:t>4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>), Fabrizio Maggi (</w:t>
      </w:r>
      <w:r>
        <w:rPr>
          <w:rFonts w:ascii="Times New Roman" w:hAnsi="Times New Roman" w:cs="Times New Roman"/>
          <w:sz w:val="20"/>
          <w:szCs w:val="20"/>
          <w:lang w:val="it-IT"/>
        </w:rPr>
        <w:t>2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it-IT"/>
        </w:rPr>
        <w:t>4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 xml:space="preserve">), Soraya S. </w:t>
      </w:r>
      <w:proofErr w:type="spellStart"/>
      <w:r w:rsidRPr="00E00300">
        <w:rPr>
          <w:rFonts w:ascii="Times New Roman" w:hAnsi="Times New Roman" w:cs="Times New Roman"/>
          <w:sz w:val="20"/>
          <w:szCs w:val="20"/>
          <w:lang w:val="it-IT"/>
        </w:rPr>
        <w:t>Smaili</w:t>
      </w:r>
      <w:proofErr w:type="spellEnd"/>
      <w:r w:rsidRPr="00E00300">
        <w:rPr>
          <w:rFonts w:ascii="Times New Roman" w:hAnsi="Times New Roman" w:cs="Times New Roman"/>
          <w:sz w:val="20"/>
          <w:szCs w:val="20"/>
          <w:lang w:val="it-IT"/>
        </w:rPr>
        <w:t xml:space="preserve"> (1), </w:t>
      </w:r>
      <w:proofErr w:type="spellStart"/>
      <w:r w:rsidRPr="00E00300">
        <w:rPr>
          <w:rFonts w:ascii="Times New Roman" w:hAnsi="Times New Roman" w:cs="Times New Roman"/>
          <w:sz w:val="20"/>
          <w:szCs w:val="20"/>
          <w:lang w:val="it-IT"/>
        </w:rPr>
        <w:t>Jörn</w:t>
      </w:r>
      <w:proofErr w:type="spellEnd"/>
      <w:r w:rsidRPr="00E00300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proofErr w:type="spellStart"/>
      <w:r w:rsidRPr="00E00300">
        <w:rPr>
          <w:rFonts w:ascii="Times New Roman" w:hAnsi="Times New Roman" w:cs="Times New Roman"/>
          <w:sz w:val="20"/>
          <w:szCs w:val="20"/>
          <w:lang w:val="it-IT"/>
        </w:rPr>
        <w:t>Dengjel</w:t>
      </w:r>
      <w:proofErr w:type="spellEnd"/>
      <w:r w:rsidRPr="00E00300">
        <w:rPr>
          <w:rFonts w:ascii="Times New Roman" w:hAnsi="Times New Roman" w:cs="Times New Roman"/>
          <w:sz w:val="20"/>
          <w:szCs w:val="20"/>
          <w:lang w:val="it-IT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val="it-IT"/>
        </w:rPr>
        <w:t>6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>), Gustavo J. S. Pereira (1,</w:t>
      </w:r>
      <w:r>
        <w:rPr>
          <w:rFonts w:ascii="Times New Roman" w:hAnsi="Times New Roman" w:cs="Times New Roman"/>
          <w:sz w:val="20"/>
          <w:szCs w:val="20"/>
          <w:lang w:val="it-IT"/>
        </w:rPr>
        <w:t>7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>)</w:t>
      </w:r>
      <w:r w:rsidRPr="00E00300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>*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>,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>Manuela Antonioli (</w:t>
      </w:r>
      <w:bookmarkEnd w:id="0"/>
      <w:r>
        <w:rPr>
          <w:rFonts w:ascii="Times New Roman" w:hAnsi="Times New Roman" w:cs="Times New Roman"/>
          <w:sz w:val="20"/>
          <w:szCs w:val="20"/>
          <w:lang w:val="it-IT"/>
        </w:rPr>
        <w:t>2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>,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8</w:t>
      </w:r>
      <w:r w:rsidRPr="00E00300">
        <w:rPr>
          <w:rFonts w:ascii="Times New Roman" w:hAnsi="Times New Roman" w:cs="Times New Roman"/>
          <w:sz w:val="20"/>
          <w:szCs w:val="20"/>
          <w:lang w:val="it-IT"/>
        </w:rPr>
        <w:t>)</w:t>
      </w:r>
      <w:r w:rsidRPr="00E00300">
        <w:rPr>
          <w:rFonts w:ascii="Times New Roman" w:hAnsi="Times New Roman" w:cs="Times New Roman"/>
          <w:sz w:val="20"/>
          <w:szCs w:val="20"/>
          <w:vertAlign w:val="superscript"/>
          <w:lang w:val="it-IT"/>
        </w:rPr>
        <w:t>*</w:t>
      </w:r>
    </w:p>
    <w:p w14:paraId="77F60544" w14:textId="77777777" w:rsidR="00522CF3" w:rsidRDefault="00522CF3" w:rsidP="002D0F9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2BF41E4E" w14:textId="2438261B" w:rsidR="00B63723" w:rsidRDefault="00B63723">
      <w:p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EF42F65" w14:textId="10AF30E9" w:rsidR="00522CF3" w:rsidRPr="002D0F9C" w:rsidRDefault="00522CF3" w:rsidP="002D0F9C">
      <w:pPr>
        <w:spacing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Supplementary Materials</w:t>
      </w:r>
    </w:p>
    <w:p w14:paraId="3761698A" w14:textId="7FD93D14" w:rsidR="0022133A" w:rsidRPr="002D0F9C" w:rsidRDefault="0022133A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2BE390C" w14:textId="05C7EEB0" w:rsidR="00DC25BE" w:rsidRPr="002D0F9C" w:rsidRDefault="00DC25BE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>Suppl. Figure 1: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>Evaluation of Cell Viability and Autophagic Modulation After 24 Hours of Treatment with Tetrandrine in Calu-3 Cells. A: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Assessment of cell viability using the MTT assay after 24 hours of treatment with Tetrandrine 5 µM and 10 µM or DMSO (UNT) in the Calu-3 cell line; </w:t>
      </w: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>B: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Trypan blue exclusion test after treatments</w:t>
      </w:r>
      <w:r w:rsidR="00F135F3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>C: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Evaluation of autophagic flux in cells treated with Tetrandrine at 5 and 10 µM or DMSO (UNT) after 24 hours using Western blotting with anti-LC3 (14 </w:t>
      </w:r>
      <w:proofErr w:type="spellStart"/>
      <w:r w:rsidRPr="002D0F9C">
        <w:rPr>
          <w:rFonts w:ascii="Times New Roman" w:hAnsi="Times New Roman" w:cs="Times New Roman"/>
          <w:sz w:val="20"/>
          <w:szCs w:val="20"/>
          <w:lang w:val="en-US"/>
        </w:rPr>
        <w:t>kDa</w:t>
      </w:r>
      <w:proofErr w:type="spellEnd"/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) and anti-HSP90 (90 </w:t>
      </w:r>
      <w:proofErr w:type="spellStart"/>
      <w:r w:rsidRPr="002D0F9C">
        <w:rPr>
          <w:rFonts w:ascii="Times New Roman" w:hAnsi="Times New Roman" w:cs="Times New Roman"/>
          <w:sz w:val="20"/>
          <w:szCs w:val="20"/>
          <w:lang w:val="en-US"/>
        </w:rPr>
        <w:t>kDa</w:t>
      </w:r>
      <w:proofErr w:type="spellEnd"/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) antibodies. Bafilomycin A1 was added 2 hours before cell lysis. The optical density representing the relative expression of each protein was normalized using the internal control for the anti-HSP90 (90 </w:t>
      </w:r>
      <w:proofErr w:type="spellStart"/>
      <w:r w:rsidRPr="002D0F9C">
        <w:rPr>
          <w:rFonts w:ascii="Times New Roman" w:hAnsi="Times New Roman" w:cs="Times New Roman"/>
          <w:sz w:val="20"/>
          <w:szCs w:val="20"/>
          <w:lang w:val="en-US"/>
        </w:rPr>
        <w:t>kDa</w:t>
      </w:r>
      <w:proofErr w:type="spellEnd"/>
      <w:r w:rsidRPr="002D0F9C">
        <w:rPr>
          <w:rFonts w:ascii="Times New Roman" w:hAnsi="Times New Roman" w:cs="Times New Roman"/>
          <w:sz w:val="20"/>
          <w:szCs w:val="20"/>
          <w:lang w:val="en-US"/>
        </w:rPr>
        <w:t>) antibody, as shown in the representations. All results are expressed as mean ± SEM, and data were analyzed by one-way ANOVA followed by Tukey’s post hoc test. ****p &lt; 0.0001 compared to the UNT group.</w:t>
      </w:r>
    </w:p>
    <w:p w14:paraId="2AEAC570" w14:textId="77777777" w:rsidR="00DC25BE" w:rsidRPr="002D0F9C" w:rsidRDefault="00DC25BE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E097B84" w14:textId="09F69876" w:rsidR="0022133A" w:rsidRPr="002D0F9C" w:rsidRDefault="0022133A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Suppl. Figure </w:t>
      </w:r>
      <w:r w:rsidR="0082439C"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 </w:t>
      </w:r>
      <w:r w:rsidR="00383855" w:rsidRPr="002D0F9C">
        <w:rPr>
          <w:rFonts w:ascii="Times New Roman" w:hAnsi="Times New Roman" w:cs="Times New Roman"/>
          <w:b/>
          <w:bCs/>
          <w:sz w:val="20"/>
          <w:szCs w:val="20"/>
        </w:rPr>
        <w:t>Evaluation of Infectivity in Vero-E6 Cells by SARS-CoV-2 (B.1.1.7) and after 24 Hours of Infection with or without 2-Hour Pre-Treatment</w:t>
      </w:r>
      <w:r w:rsidR="00383855" w:rsidRPr="002D0F9C">
        <w:rPr>
          <w:rFonts w:ascii="Times New Roman" w:hAnsi="Times New Roman" w:cs="Times New Roman"/>
          <w:sz w:val="20"/>
          <w:szCs w:val="20"/>
        </w:rPr>
        <w:t xml:space="preserve">. </w:t>
      </w:r>
      <w:r w:rsidR="005B5DA5" w:rsidRPr="002D0F9C">
        <w:rPr>
          <w:rFonts w:ascii="Times New Roman" w:hAnsi="Times New Roman" w:cs="Times New Roman"/>
          <w:sz w:val="20"/>
          <w:szCs w:val="20"/>
        </w:rPr>
        <w:t xml:space="preserve">Expression of the ESARBECO gene after 24 hours of infection with SARS-CoV-2 (B.1.1.7) at an M.O.I. of 0.2, in the presence of treatments with NAADP-AM </w:t>
      </w:r>
      <w:r w:rsidR="00F0610B" w:rsidRPr="002D0F9C">
        <w:rPr>
          <w:rFonts w:ascii="Times New Roman" w:hAnsi="Times New Roman" w:cs="Times New Roman"/>
          <w:sz w:val="20"/>
          <w:szCs w:val="20"/>
        </w:rPr>
        <w:t>(</w:t>
      </w:r>
      <w:r w:rsidR="005B5DA5" w:rsidRPr="002D0F9C">
        <w:rPr>
          <w:rFonts w:ascii="Times New Roman" w:hAnsi="Times New Roman" w:cs="Times New Roman"/>
          <w:sz w:val="20"/>
          <w:szCs w:val="20"/>
        </w:rPr>
        <w:t xml:space="preserve">100 </w:t>
      </w:r>
      <w:proofErr w:type="spellStart"/>
      <w:r w:rsidR="005B5DA5" w:rsidRPr="002D0F9C">
        <w:rPr>
          <w:rFonts w:ascii="Times New Roman" w:hAnsi="Times New Roman" w:cs="Times New Roman"/>
          <w:sz w:val="20"/>
          <w:szCs w:val="20"/>
        </w:rPr>
        <w:t>nM</w:t>
      </w:r>
      <w:proofErr w:type="spellEnd"/>
      <w:r w:rsidR="00F0610B" w:rsidRPr="002D0F9C">
        <w:rPr>
          <w:rFonts w:ascii="Times New Roman" w:hAnsi="Times New Roman" w:cs="Times New Roman"/>
          <w:sz w:val="20"/>
          <w:szCs w:val="20"/>
        </w:rPr>
        <w:t>)</w:t>
      </w:r>
      <w:r w:rsidR="005B5DA5" w:rsidRPr="002D0F9C">
        <w:rPr>
          <w:rFonts w:ascii="Times New Roman" w:hAnsi="Times New Roman" w:cs="Times New Roman"/>
          <w:sz w:val="20"/>
          <w:szCs w:val="20"/>
        </w:rPr>
        <w:t xml:space="preserve">, </w:t>
      </w:r>
      <w:r w:rsidR="00F0610B" w:rsidRPr="002D0F9C">
        <w:rPr>
          <w:rFonts w:ascii="Times New Roman" w:hAnsi="Times New Roman" w:cs="Times New Roman"/>
          <w:sz w:val="20"/>
          <w:szCs w:val="20"/>
        </w:rPr>
        <w:t>(</w:t>
      </w:r>
      <w:r w:rsidR="002953BF" w:rsidRPr="002D0F9C">
        <w:rPr>
          <w:rFonts w:ascii="Times New Roman" w:hAnsi="Times New Roman" w:cs="Times New Roman"/>
          <w:sz w:val="20"/>
          <w:szCs w:val="20"/>
        </w:rPr>
        <w:t>1</w:t>
      </w:r>
      <w:r w:rsidR="005B5DA5" w:rsidRPr="002D0F9C">
        <w:rPr>
          <w:rFonts w:ascii="Times New Roman" w:hAnsi="Times New Roman" w:cs="Times New Roman"/>
          <w:sz w:val="20"/>
          <w:szCs w:val="20"/>
        </w:rPr>
        <w:t xml:space="preserve"> µM</w:t>
      </w:r>
      <w:r w:rsidR="00F0610B" w:rsidRPr="002D0F9C">
        <w:rPr>
          <w:rFonts w:ascii="Times New Roman" w:hAnsi="Times New Roman" w:cs="Times New Roman"/>
          <w:sz w:val="20"/>
          <w:szCs w:val="20"/>
        </w:rPr>
        <w:t>)</w:t>
      </w:r>
      <w:r w:rsidR="005B5DA5" w:rsidRPr="002D0F9C">
        <w:rPr>
          <w:rFonts w:ascii="Times New Roman" w:hAnsi="Times New Roman" w:cs="Times New Roman"/>
          <w:sz w:val="20"/>
          <w:szCs w:val="20"/>
        </w:rPr>
        <w:t xml:space="preserve"> and </w:t>
      </w:r>
      <w:r w:rsidR="00646B38" w:rsidRPr="002D0F9C">
        <w:rPr>
          <w:rFonts w:ascii="Times New Roman" w:hAnsi="Times New Roman" w:cs="Times New Roman"/>
          <w:sz w:val="20"/>
          <w:szCs w:val="20"/>
        </w:rPr>
        <w:t>(</w:t>
      </w:r>
      <w:r w:rsidR="005B5DA5" w:rsidRPr="002D0F9C">
        <w:rPr>
          <w:rFonts w:ascii="Times New Roman" w:hAnsi="Times New Roman" w:cs="Times New Roman"/>
          <w:sz w:val="20"/>
          <w:szCs w:val="20"/>
        </w:rPr>
        <w:t>10 µM</w:t>
      </w:r>
      <w:r w:rsidR="00646B38" w:rsidRPr="002D0F9C">
        <w:rPr>
          <w:rFonts w:ascii="Times New Roman" w:hAnsi="Times New Roman" w:cs="Times New Roman"/>
          <w:sz w:val="20"/>
          <w:szCs w:val="20"/>
        </w:rPr>
        <w:t>)</w:t>
      </w:r>
      <w:r w:rsidR="005B5DA5" w:rsidRPr="002D0F9C">
        <w:rPr>
          <w:rFonts w:ascii="Times New Roman" w:hAnsi="Times New Roman" w:cs="Times New Roman"/>
          <w:sz w:val="20"/>
          <w:szCs w:val="20"/>
        </w:rPr>
        <w:t xml:space="preserve">, Ned-19 </w:t>
      </w:r>
      <w:r w:rsidR="00646B38" w:rsidRPr="002D0F9C">
        <w:rPr>
          <w:rFonts w:ascii="Times New Roman" w:hAnsi="Times New Roman" w:cs="Times New Roman"/>
          <w:sz w:val="20"/>
          <w:szCs w:val="20"/>
        </w:rPr>
        <w:t>(</w:t>
      </w:r>
      <w:r w:rsidR="005B5DA5" w:rsidRPr="002D0F9C">
        <w:rPr>
          <w:rFonts w:ascii="Times New Roman" w:hAnsi="Times New Roman" w:cs="Times New Roman"/>
          <w:sz w:val="20"/>
          <w:szCs w:val="20"/>
        </w:rPr>
        <w:t>1 µM</w:t>
      </w:r>
      <w:r w:rsidR="00646B38" w:rsidRPr="002D0F9C">
        <w:rPr>
          <w:rFonts w:ascii="Times New Roman" w:hAnsi="Times New Roman" w:cs="Times New Roman"/>
          <w:sz w:val="20"/>
          <w:szCs w:val="20"/>
        </w:rPr>
        <w:t>)</w:t>
      </w:r>
      <w:r w:rsidR="005B5DA5" w:rsidRPr="002D0F9C">
        <w:rPr>
          <w:rFonts w:ascii="Times New Roman" w:hAnsi="Times New Roman" w:cs="Times New Roman"/>
          <w:sz w:val="20"/>
          <w:szCs w:val="20"/>
        </w:rPr>
        <w:t xml:space="preserve">, </w:t>
      </w:r>
      <w:r w:rsidR="00646B38" w:rsidRPr="002D0F9C">
        <w:rPr>
          <w:rFonts w:ascii="Times New Roman" w:hAnsi="Times New Roman" w:cs="Times New Roman"/>
          <w:sz w:val="20"/>
          <w:szCs w:val="20"/>
        </w:rPr>
        <w:t>(</w:t>
      </w:r>
      <w:r w:rsidR="005B5DA5" w:rsidRPr="002D0F9C">
        <w:rPr>
          <w:rFonts w:ascii="Times New Roman" w:hAnsi="Times New Roman" w:cs="Times New Roman"/>
          <w:sz w:val="20"/>
          <w:szCs w:val="20"/>
        </w:rPr>
        <w:t>5 µM</w:t>
      </w:r>
      <w:r w:rsidR="00646B38" w:rsidRPr="002D0F9C">
        <w:rPr>
          <w:rFonts w:ascii="Times New Roman" w:hAnsi="Times New Roman" w:cs="Times New Roman"/>
          <w:sz w:val="20"/>
          <w:szCs w:val="20"/>
        </w:rPr>
        <w:t>)</w:t>
      </w:r>
      <w:r w:rsidR="005B5DA5" w:rsidRPr="002D0F9C">
        <w:rPr>
          <w:rFonts w:ascii="Times New Roman" w:hAnsi="Times New Roman" w:cs="Times New Roman"/>
          <w:sz w:val="20"/>
          <w:szCs w:val="20"/>
        </w:rPr>
        <w:t xml:space="preserve"> and </w:t>
      </w:r>
      <w:r w:rsidR="00646B38" w:rsidRPr="002D0F9C">
        <w:rPr>
          <w:rFonts w:ascii="Times New Roman" w:hAnsi="Times New Roman" w:cs="Times New Roman"/>
          <w:sz w:val="20"/>
          <w:szCs w:val="20"/>
        </w:rPr>
        <w:t>(</w:t>
      </w:r>
      <w:r w:rsidR="005B5DA5" w:rsidRPr="002D0F9C">
        <w:rPr>
          <w:rFonts w:ascii="Times New Roman" w:hAnsi="Times New Roman" w:cs="Times New Roman"/>
          <w:sz w:val="20"/>
          <w:szCs w:val="20"/>
        </w:rPr>
        <w:t>10 µM</w:t>
      </w:r>
      <w:r w:rsidR="00646B38" w:rsidRPr="002D0F9C">
        <w:rPr>
          <w:rFonts w:ascii="Times New Roman" w:hAnsi="Times New Roman" w:cs="Times New Roman"/>
          <w:sz w:val="20"/>
          <w:szCs w:val="20"/>
        </w:rPr>
        <w:t>)</w:t>
      </w:r>
      <w:r w:rsidR="005B5DA5" w:rsidRPr="002D0F9C">
        <w:rPr>
          <w:rFonts w:ascii="Times New Roman" w:hAnsi="Times New Roman" w:cs="Times New Roman"/>
          <w:sz w:val="20"/>
          <w:szCs w:val="20"/>
        </w:rPr>
        <w:t xml:space="preserve">, and Tetrandrine </w:t>
      </w:r>
      <w:r w:rsidR="00D9079D" w:rsidRPr="002D0F9C">
        <w:rPr>
          <w:rFonts w:ascii="Times New Roman" w:hAnsi="Times New Roman" w:cs="Times New Roman"/>
          <w:sz w:val="20"/>
          <w:szCs w:val="20"/>
        </w:rPr>
        <w:t>(</w:t>
      </w:r>
      <w:r w:rsidR="005B5DA5" w:rsidRPr="002D0F9C">
        <w:rPr>
          <w:rFonts w:ascii="Times New Roman" w:hAnsi="Times New Roman" w:cs="Times New Roman"/>
          <w:sz w:val="20"/>
          <w:szCs w:val="20"/>
        </w:rPr>
        <w:t>1 µM</w:t>
      </w:r>
      <w:r w:rsidR="00D9079D" w:rsidRPr="002D0F9C">
        <w:rPr>
          <w:rFonts w:ascii="Times New Roman" w:hAnsi="Times New Roman" w:cs="Times New Roman"/>
          <w:sz w:val="20"/>
          <w:szCs w:val="20"/>
        </w:rPr>
        <w:t>)</w:t>
      </w:r>
      <w:r w:rsidR="005B5DA5" w:rsidRPr="002D0F9C">
        <w:rPr>
          <w:rFonts w:ascii="Times New Roman" w:hAnsi="Times New Roman" w:cs="Times New Roman"/>
          <w:sz w:val="20"/>
          <w:szCs w:val="20"/>
        </w:rPr>
        <w:t xml:space="preserve">, </w:t>
      </w:r>
      <w:r w:rsidR="00D9079D" w:rsidRPr="002D0F9C">
        <w:rPr>
          <w:rFonts w:ascii="Times New Roman" w:hAnsi="Times New Roman" w:cs="Times New Roman"/>
          <w:sz w:val="20"/>
          <w:szCs w:val="20"/>
        </w:rPr>
        <w:t>(</w:t>
      </w:r>
      <w:r w:rsidR="005B5DA5" w:rsidRPr="002D0F9C">
        <w:rPr>
          <w:rFonts w:ascii="Times New Roman" w:hAnsi="Times New Roman" w:cs="Times New Roman"/>
          <w:sz w:val="20"/>
          <w:szCs w:val="20"/>
        </w:rPr>
        <w:t>5 µM</w:t>
      </w:r>
      <w:r w:rsidR="00D9079D" w:rsidRPr="002D0F9C">
        <w:rPr>
          <w:rFonts w:ascii="Times New Roman" w:hAnsi="Times New Roman" w:cs="Times New Roman"/>
          <w:sz w:val="20"/>
          <w:szCs w:val="20"/>
        </w:rPr>
        <w:t>)</w:t>
      </w:r>
      <w:r w:rsidR="005B5DA5" w:rsidRPr="002D0F9C">
        <w:rPr>
          <w:rFonts w:ascii="Times New Roman" w:hAnsi="Times New Roman" w:cs="Times New Roman"/>
          <w:sz w:val="20"/>
          <w:szCs w:val="20"/>
        </w:rPr>
        <w:t xml:space="preserve"> and </w:t>
      </w:r>
      <w:r w:rsidR="00D9079D" w:rsidRPr="002D0F9C">
        <w:rPr>
          <w:rFonts w:ascii="Times New Roman" w:hAnsi="Times New Roman" w:cs="Times New Roman"/>
          <w:sz w:val="20"/>
          <w:szCs w:val="20"/>
        </w:rPr>
        <w:t>(</w:t>
      </w:r>
      <w:r w:rsidR="005B5DA5" w:rsidRPr="002D0F9C">
        <w:rPr>
          <w:rFonts w:ascii="Times New Roman" w:hAnsi="Times New Roman" w:cs="Times New Roman"/>
          <w:sz w:val="20"/>
          <w:szCs w:val="20"/>
        </w:rPr>
        <w:t>10 µM</w:t>
      </w:r>
      <w:r w:rsidR="00D9079D" w:rsidRPr="002D0F9C">
        <w:rPr>
          <w:rFonts w:ascii="Times New Roman" w:hAnsi="Times New Roman" w:cs="Times New Roman"/>
          <w:sz w:val="20"/>
          <w:szCs w:val="20"/>
        </w:rPr>
        <w:t>)</w:t>
      </w:r>
      <w:r w:rsidR="005B5DA5" w:rsidRPr="002D0F9C">
        <w:rPr>
          <w:rFonts w:ascii="Times New Roman" w:hAnsi="Times New Roman" w:cs="Times New Roman"/>
          <w:sz w:val="20"/>
          <w:szCs w:val="20"/>
        </w:rPr>
        <w:t>. Samples were normalized using the housekeeping gene Tubulin and the positive control (CTR+).</w:t>
      </w:r>
      <w:r w:rsidR="00AD4FE1" w:rsidRPr="002D0F9C">
        <w:rPr>
          <w:rFonts w:ascii="Times New Roman" w:hAnsi="Times New Roman" w:cs="Times New Roman"/>
          <w:sz w:val="20"/>
          <w:szCs w:val="20"/>
        </w:rPr>
        <w:t xml:space="preserve"> </w:t>
      </w:r>
      <w:r w:rsidR="00AD4FE1" w:rsidRPr="002D0F9C">
        <w:rPr>
          <w:rFonts w:ascii="Times New Roman" w:hAnsi="Times New Roman" w:cs="Times New Roman"/>
          <w:b/>
          <w:bCs/>
          <w:sz w:val="20"/>
          <w:szCs w:val="20"/>
        </w:rPr>
        <w:t>A:</w:t>
      </w:r>
      <w:r w:rsidR="00AD4FE1" w:rsidRPr="002D0F9C">
        <w:rPr>
          <w:rFonts w:ascii="Times New Roman" w:hAnsi="Times New Roman" w:cs="Times New Roman"/>
          <w:sz w:val="20"/>
          <w:szCs w:val="20"/>
        </w:rPr>
        <w:t xml:space="preserve"> </w:t>
      </w:r>
      <w:r w:rsidR="0029595D" w:rsidRPr="002D0F9C">
        <w:rPr>
          <w:rFonts w:ascii="Times New Roman" w:hAnsi="Times New Roman" w:cs="Times New Roman"/>
          <w:sz w:val="20"/>
          <w:szCs w:val="20"/>
        </w:rPr>
        <w:t xml:space="preserve">post infection treatment protocol; </w:t>
      </w:r>
      <w:r w:rsidR="0029595D" w:rsidRPr="002D0F9C">
        <w:rPr>
          <w:rFonts w:ascii="Times New Roman" w:hAnsi="Times New Roman" w:cs="Times New Roman"/>
          <w:b/>
          <w:bCs/>
          <w:sz w:val="20"/>
          <w:szCs w:val="20"/>
        </w:rPr>
        <w:t>B:</w:t>
      </w:r>
      <w:r w:rsidR="0029595D" w:rsidRPr="002D0F9C">
        <w:rPr>
          <w:rFonts w:ascii="Times New Roman" w:hAnsi="Times New Roman" w:cs="Times New Roman"/>
          <w:sz w:val="20"/>
          <w:szCs w:val="20"/>
        </w:rPr>
        <w:t xml:space="preserve"> pre infection treatment protocol. </w:t>
      </w:r>
      <w:r w:rsidR="00404E73" w:rsidRPr="002D0F9C">
        <w:rPr>
          <w:rFonts w:ascii="Times New Roman" w:hAnsi="Times New Roman" w:cs="Times New Roman"/>
          <w:sz w:val="20"/>
          <w:szCs w:val="20"/>
        </w:rPr>
        <w:t xml:space="preserve">All data are expressed as mean ± SEM, and the data were analyzed by </w:t>
      </w:r>
      <w:r w:rsidR="00404E73" w:rsidRPr="002D0F9C">
        <w:rPr>
          <w:rFonts w:ascii="Times New Roman" w:hAnsi="Times New Roman" w:cs="Times New Roman"/>
          <w:sz w:val="20"/>
          <w:szCs w:val="20"/>
        </w:rPr>
        <w:lastRenderedPageBreak/>
        <w:t>one-way ANOVA followed by Tukey’s post hoc test. *p &lt; 0.03 compared to another treatment; ****p &lt; 0.0001 compared to the UNT group.</w:t>
      </w:r>
    </w:p>
    <w:p w14:paraId="0F0E30EF" w14:textId="59DC9AF6" w:rsidR="00D46077" w:rsidRPr="002D0F9C" w:rsidRDefault="00D46077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A76C7D9" w14:textId="43A16C56" w:rsidR="005A0B36" w:rsidRPr="002D0F9C" w:rsidRDefault="005A2BC3" w:rsidP="005A2BC3">
      <w:pPr>
        <w:pStyle w:val="NoSpacing"/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12AC9">
        <w:rPr>
          <w:rFonts w:ascii="Times New Roman" w:hAnsi="Times New Roman" w:cs="Times New Roman"/>
          <w:b/>
          <w:bCs/>
          <w:sz w:val="20"/>
          <w:szCs w:val="20"/>
        </w:rPr>
        <w:t>Experimental Procedures</w:t>
      </w:r>
    </w:p>
    <w:p w14:paraId="7A85833B" w14:textId="05A4C01B" w:rsidR="006A27A8" w:rsidRPr="002D0F9C" w:rsidRDefault="00FA0C02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>Drug.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D0F9C">
        <w:rPr>
          <w:rFonts w:ascii="Times New Roman" w:hAnsi="Times New Roman" w:cs="Times New Roman"/>
          <w:sz w:val="20"/>
          <w:szCs w:val="20"/>
        </w:rPr>
        <w:t>NAADP-AM was kindly provided by Grant Churchill (Department of Pharmacology, University of Oxford, UK). The compounds Trans-Ned-19 (</w:t>
      </w:r>
      <w:proofErr w:type="spellStart"/>
      <w:r w:rsidRPr="002D0F9C">
        <w:rPr>
          <w:rFonts w:ascii="Times New Roman" w:hAnsi="Times New Roman" w:cs="Times New Roman"/>
          <w:sz w:val="20"/>
          <w:szCs w:val="20"/>
        </w:rPr>
        <w:t>Tocris</w:t>
      </w:r>
      <w:proofErr w:type="spellEnd"/>
      <w:r w:rsidRPr="002D0F9C">
        <w:rPr>
          <w:rFonts w:ascii="Times New Roman" w:hAnsi="Times New Roman" w:cs="Times New Roman"/>
          <w:sz w:val="20"/>
          <w:szCs w:val="20"/>
        </w:rPr>
        <w:t xml:space="preserve"> Bioscience, Bristol, UK) and Tetrandrine (Cayman Chemical, Ann Arbor, MI, USA) were commercially acquired. The MTT ([3-(4,5-dimethylthiazol-2-yl)-2,5-diphenyltetrazolium bromide]), used in the cell viability protocol, was purchased from Sigma-Aldrich (St. Louis, MO, USA).</w:t>
      </w:r>
    </w:p>
    <w:p w14:paraId="633847E5" w14:textId="35135243" w:rsidR="009824A8" w:rsidRPr="002D0F9C" w:rsidRDefault="009824A8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F9C">
        <w:rPr>
          <w:rFonts w:ascii="Times New Roman" w:hAnsi="Times New Roman" w:cs="Times New Roman"/>
          <w:b/>
          <w:bCs/>
          <w:sz w:val="20"/>
          <w:szCs w:val="20"/>
        </w:rPr>
        <w:t>Cell culture.</w:t>
      </w:r>
      <w:r w:rsidRPr="002D0F9C">
        <w:rPr>
          <w:rFonts w:ascii="Times New Roman" w:hAnsi="Times New Roman" w:cs="Times New Roman"/>
          <w:sz w:val="20"/>
          <w:szCs w:val="20"/>
        </w:rPr>
        <w:t xml:space="preserve"> </w:t>
      </w:r>
      <w:r w:rsidR="00AE32AA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Calu-3 were cultured in </w:t>
      </w:r>
      <w:r w:rsidR="00AE32AA" w:rsidRPr="002D0F9C">
        <w:rPr>
          <w:rStyle w:val="normaltextrun"/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val="en-US"/>
        </w:rPr>
        <w:t>Eagle’s Minimum Essential Medium</w:t>
      </w:r>
      <w:r w:rsidR="00AE32AA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(MEM; Sigma-Aldrich 51412C)</w:t>
      </w:r>
      <w:r w:rsidR="009837F1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and Vero-E6</w:t>
      </w:r>
      <w:r w:rsidR="00E361E5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E361E5" w:rsidRPr="002D0F9C">
        <w:rPr>
          <w:rFonts w:ascii="Times New Roman" w:hAnsi="Times New Roman" w:cs="Times New Roman"/>
          <w:i/>
          <w:sz w:val="20"/>
          <w:szCs w:val="20"/>
          <w:lang w:val="en-US"/>
        </w:rPr>
        <w:t>African green monkey kidney</w:t>
      </w:r>
      <w:r w:rsidR="00E361E5" w:rsidRPr="002D0F9C">
        <w:rPr>
          <w:rFonts w:ascii="Times New Roman" w:hAnsi="Times New Roman" w:cs="Times New Roman"/>
          <w:sz w:val="20"/>
          <w:szCs w:val="20"/>
          <w:lang w:val="en-US"/>
        </w:rPr>
        <w:t>; ATCC® CRL-1586™)</w:t>
      </w:r>
      <w:r w:rsidR="001C6109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cultivated in high-glucose Dulbecco's modified Eagle medium</w:t>
      </w:r>
      <w:r w:rsidR="001C6109" w:rsidRPr="002D0F9C" w:rsidDel="0001724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C6109" w:rsidRPr="002D0F9C">
        <w:rPr>
          <w:rFonts w:ascii="Times New Roman" w:hAnsi="Times New Roman" w:cs="Times New Roman"/>
          <w:sz w:val="20"/>
          <w:szCs w:val="20"/>
          <w:lang w:val="en-US"/>
        </w:rPr>
        <w:t>(DMEM, Sigma-Aldrich St. Louis, Missouri, USA), both mediums</w:t>
      </w:r>
      <w:r w:rsidR="00AE32AA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integrated with 10% of Fetal Bovine Serum (FBS), L-glutamine 2</w:t>
      </w:r>
      <w:r w:rsidR="00AE32AA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M(Corning 25-005-CI) and 1% of penicillin/streptomycin (Corning 30-001-CI). Cells were maintained in culture in sterile polystyrene plates, at 37°C and 5% of CO</w:t>
      </w:r>
      <w:r w:rsidR="00AE32AA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bscript"/>
          <w:lang w:val="en-US"/>
        </w:rPr>
        <w:t>2</w:t>
      </w:r>
      <w:r w:rsidR="00AE32AA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in thermostatic incubators. At 80-90% confluence the cells were diluted following this procedure: washed twice with </w:t>
      </w:r>
      <w:bookmarkStart w:id="1" w:name="_Int_aLahg6Ny"/>
      <w:r w:rsidR="00AE32AA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PBS</w:t>
      </w:r>
      <w:bookmarkEnd w:id="1"/>
      <w:r w:rsidR="00AE32AA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(Dulbecco's Phosphate Buffered Saline; </w:t>
      </w:r>
      <w:proofErr w:type="spellStart"/>
      <w:r w:rsidR="00AE32AA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Euroclone</w:t>
      </w:r>
      <w:proofErr w:type="spellEnd"/>
      <w:r w:rsidR="00AE32AA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ECB 4004L), detached from the plate using trypsin/EDTA (Sigma-Aldrich T3924) and, finally dilute 1:4 to new plates (Corning).</w:t>
      </w:r>
    </w:p>
    <w:p w14:paraId="43626CB2" w14:textId="767E3806" w:rsidR="004605E0" w:rsidRPr="002D0F9C" w:rsidRDefault="00C75EC2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D0F9C">
        <w:rPr>
          <w:rFonts w:ascii="Times New Roman" w:hAnsi="Times New Roman" w:cs="Times New Roman"/>
          <w:b/>
          <w:bCs/>
          <w:sz w:val="20"/>
          <w:szCs w:val="20"/>
        </w:rPr>
        <w:t>Cell viability assay.</w:t>
      </w:r>
      <w:r w:rsidRPr="002D0F9C">
        <w:rPr>
          <w:rFonts w:ascii="Times New Roman" w:hAnsi="Times New Roman" w:cs="Times New Roman"/>
          <w:sz w:val="20"/>
          <w:szCs w:val="20"/>
        </w:rPr>
        <w:t xml:space="preserve"> </w:t>
      </w:r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Calu-3 cells were plated in 96 wells plates (2500 cells/well). The following day, cells were treated with 5 m, 10 </w:t>
      </w:r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></w:t>
      </w:r>
      <w:proofErr w:type="spellStart"/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>MTetrandrine</w:t>
      </w:r>
      <w:proofErr w:type="spellEnd"/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, or DMSO as negative control. </w:t>
      </w:r>
      <w:bookmarkStart w:id="2" w:name="_Int_o7aNmsQX"/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>24h after</w:t>
      </w:r>
      <w:bookmarkEnd w:id="2"/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the treatment medium was replaced with 100</w:t>
      </w:r>
      <w:r w:rsidR="004605E0" w:rsidRPr="002D0F9C">
        <w:rPr>
          <w:rFonts w:ascii="Times New Roman" w:hAnsi="Times New Roman" w:cs="Times New Roman"/>
          <w:sz w:val="20"/>
          <w:szCs w:val="20"/>
        </w:rPr>
        <w:t>μ</w:t>
      </w:r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L of fresh one, plus 20 </w:t>
      </w:r>
      <w:r w:rsidR="004605E0" w:rsidRPr="002D0F9C">
        <w:rPr>
          <w:rFonts w:ascii="Times New Roman" w:hAnsi="Times New Roman" w:cs="Times New Roman"/>
          <w:sz w:val="20"/>
          <w:szCs w:val="20"/>
        </w:rPr>
        <w:t>μ</w:t>
      </w:r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L of MTS solution (Promega </w:t>
      </w:r>
      <w:proofErr w:type="spellStart"/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>CellTiter</w:t>
      </w:r>
      <w:proofErr w:type="spellEnd"/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96® </w:t>
      </w:r>
      <w:proofErr w:type="spellStart"/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>AQueous</w:t>
      </w:r>
      <w:proofErr w:type="spellEnd"/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One Solution Cell Proliferation Assay, G3580). Cells were incubated for 2h at 37°C and 5% CO</w:t>
      </w:r>
      <w:r w:rsidR="004605E0" w:rsidRPr="002D0F9C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4605E0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, and then the absorbance was measured by spectrophotometer at 492 nm of wavelength.  </w:t>
      </w:r>
    </w:p>
    <w:p w14:paraId="736CE668" w14:textId="77777777" w:rsidR="00BD1968" w:rsidRPr="002D0F9C" w:rsidRDefault="00354E2B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>Trypan Blue assay.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D1968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To estimate cell death, Calu-3 cells were plated in 12 wells plates (30000 cells/well) and left growing overnight. The following day, 5 m, or10 </w:t>
      </w:r>
      <w:r w:rsidR="00BD1968" w:rsidRPr="002D0F9C">
        <w:rPr>
          <w:rFonts w:ascii="Times New Roman" w:hAnsi="Times New Roman" w:cs="Times New Roman"/>
          <w:sz w:val="20"/>
          <w:szCs w:val="20"/>
          <w:lang w:val="en-US"/>
        </w:rPr>
        <w:t></w:t>
      </w:r>
      <w:proofErr w:type="spellStart"/>
      <w:r w:rsidR="00BD1968" w:rsidRPr="002D0F9C">
        <w:rPr>
          <w:rFonts w:ascii="Times New Roman" w:hAnsi="Times New Roman" w:cs="Times New Roman"/>
          <w:sz w:val="20"/>
          <w:szCs w:val="20"/>
          <w:lang w:val="en-US"/>
        </w:rPr>
        <w:t>MTetrandrine</w:t>
      </w:r>
      <w:proofErr w:type="spellEnd"/>
      <w:r w:rsidR="00BD1968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, or DMSO were added for 24 hours. Then, cells were washed with PBS, detached from the plate using trypsin, and stained with trypan blue solution diluted 1:2 with PBS. The amount of both stained and unstained cells was determined by using a Burker chamber. Live and death cells were expressed as the percentage of total cells counted per </w:t>
      </w:r>
      <w:proofErr w:type="spellStart"/>
      <w:r w:rsidR="00BD1968" w:rsidRPr="002D0F9C">
        <w:rPr>
          <w:rFonts w:ascii="Times New Roman" w:hAnsi="Times New Roman" w:cs="Times New Roman"/>
          <w:sz w:val="20"/>
          <w:szCs w:val="20"/>
          <w:lang w:val="en-US"/>
        </w:rPr>
        <w:t>mL.</w:t>
      </w:r>
      <w:proofErr w:type="spellEnd"/>
      <w:r w:rsidR="00BD1968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1EF090CB" w14:textId="767903C6" w:rsidR="00403413" w:rsidRPr="002D0F9C" w:rsidRDefault="003C1758" w:rsidP="002D0F9C">
      <w:pPr>
        <w:spacing w:line="480" w:lineRule="auto"/>
        <w:jc w:val="both"/>
        <w:rPr>
          <w:rStyle w:val="normaltextrun"/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>SARS-CoV-2 infection.</w:t>
      </w:r>
      <w:r w:rsidR="00D21D4A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21D4A" w:rsidRPr="002D0F9C">
        <w:rPr>
          <w:rFonts w:ascii="Times New Roman" w:hAnsi="Times New Roman" w:cs="Times New Roman"/>
          <w:sz w:val="20"/>
          <w:szCs w:val="20"/>
        </w:rPr>
        <w:t xml:space="preserve">SARS-CoV-2 B.1.1.7 strain (SARS-COV-2/HUMANA/BRA/HIAE-02/SP02/2020, GenBank MT126808) was kindly provided by Professor Edison Luiz </w:t>
      </w:r>
      <w:proofErr w:type="spellStart"/>
      <w:r w:rsidR="00D21D4A" w:rsidRPr="002D0F9C">
        <w:rPr>
          <w:rFonts w:ascii="Times New Roman" w:hAnsi="Times New Roman" w:cs="Times New Roman"/>
          <w:sz w:val="20"/>
          <w:szCs w:val="20"/>
        </w:rPr>
        <w:t>Durigon</w:t>
      </w:r>
      <w:proofErr w:type="spellEnd"/>
      <w:r w:rsidR="00D21D4A" w:rsidRPr="002D0F9C">
        <w:rPr>
          <w:rFonts w:ascii="Times New Roman" w:hAnsi="Times New Roman" w:cs="Times New Roman"/>
          <w:sz w:val="20"/>
          <w:szCs w:val="20"/>
        </w:rPr>
        <w:t xml:space="preserve"> from the University of São Paulo (USP), </w:t>
      </w:r>
      <w:r w:rsidR="00D21D4A" w:rsidRPr="002D0F9C">
        <w:rPr>
          <w:rFonts w:ascii="Times New Roman" w:hAnsi="Times New Roman" w:cs="Times New Roman"/>
          <w:sz w:val="20"/>
          <w:szCs w:val="20"/>
        </w:rPr>
        <w:lastRenderedPageBreak/>
        <w:t>São Paulo-SP</w:t>
      </w:r>
      <w:r w:rsidR="00DA2481" w:rsidRPr="002D0F9C">
        <w:rPr>
          <w:rFonts w:ascii="Times New Roman" w:hAnsi="Times New Roman" w:cs="Times New Roman"/>
          <w:sz w:val="20"/>
          <w:szCs w:val="20"/>
        </w:rPr>
        <w:t xml:space="preserve"> and used </w:t>
      </w:r>
      <w:r w:rsidR="00403413" w:rsidRPr="002D0F9C">
        <w:rPr>
          <w:rFonts w:ascii="Times New Roman" w:hAnsi="Times New Roman" w:cs="Times New Roman"/>
          <w:color w:val="1F1F1F"/>
          <w:sz w:val="20"/>
          <w:szCs w:val="20"/>
          <w:lang w:val="en-US"/>
        </w:rPr>
        <w:t>to infect Vero-E6 cells at a </w:t>
      </w:r>
      <w:hyperlink r:id="rId5">
        <w:r w:rsidR="00403413" w:rsidRPr="002D0F9C">
          <w:rPr>
            <w:rStyle w:val="Hyperlink"/>
            <w:rFonts w:ascii="Times New Roman" w:hAnsi="Times New Roman" w:cs="Times New Roman"/>
            <w:color w:val="1F1F1F"/>
            <w:sz w:val="20"/>
            <w:szCs w:val="20"/>
            <w:lang w:val="en-US"/>
          </w:rPr>
          <w:t>multiplicity of infection</w:t>
        </w:r>
      </w:hyperlink>
      <w:r w:rsidR="00403413" w:rsidRPr="002D0F9C">
        <w:rPr>
          <w:rFonts w:ascii="Times New Roman" w:hAnsi="Times New Roman" w:cs="Times New Roman"/>
          <w:color w:val="1F1F1F"/>
          <w:sz w:val="20"/>
          <w:szCs w:val="20"/>
          <w:lang w:val="en-US"/>
        </w:rPr>
        <w:t> (M.O.I.) of 0.2. Viral </w:t>
      </w:r>
      <w:hyperlink r:id="rId6">
        <w:r w:rsidR="00403413" w:rsidRPr="002D0F9C">
          <w:rPr>
            <w:rStyle w:val="Hyperlink"/>
            <w:rFonts w:ascii="Times New Roman" w:hAnsi="Times New Roman" w:cs="Times New Roman"/>
            <w:color w:val="1F1F1F"/>
            <w:sz w:val="20"/>
            <w:szCs w:val="20"/>
            <w:lang w:val="en-US"/>
          </w:rPr>
          <w:t>inoculum</w:t>
        </w:r>
      </w:hyperlink>
      <w:r w:rsidR="00403413" w:rsidRPr="002D0F9C">
        <w:rPr>
          <w:rFonts w:ascii="Times New Roman" w:hAnsi="Times New Roman" w:cs="Times New Roman"/>
          <w:color w:val="1F1F1F"/>
          <w:sz w:val="20"/>
          <w:szCs w:val="20"/>
          <w:lang w:val="en-US"/>
        </w:rPr>
        <w:t xml:space="preserve"> or medium only (Not Infected) was added to cells and incubated for 1 h and 30′ at 37°C, 5% CO2. The viral inoculum was then removed, and cells were washed twice with PBS. Next, complete DMEM was added and cells were cultured at 37°C, 5% CO2. 24h post-infection, supernatants and cells were collected for the subsequent analysis. </w:t>
      </w:r>
    </w:p>
    <w:p w14:paraId="03BEEAE4" w14:textId="2380036D" w:rsidR="00795A4E" w:rsidRPr="002D0F9C" w:rsidRDefault="0059311B" w:rsidP="002D0F9C">
      <w:pPr>
        <w:spacing w:line="480" w:lineRule="auto"/>
        <w:jc w:val="both"/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Cell treatment. </w:t>
      </w:r>
      <w:r w:rsidR="00857118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Vero-E6 cells were seeded in a 3,5 cm diameter plate (300’000 cells/well). The following day,</w:t>
      </w:r>
      <w:r w:rsidR="00795A4E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for pre-treatment, Tetrandrine was added two hours before SARS-CoV-2 infection at the indicated concentrations, and, following the exposition to the virus, it was added again to the fresh medium. For post-treatment, Tetrandrine was added only to the fresh DMEM following SARS-CoV-2 exposition.</w:t>
      </w:r>
    </w:p>
    <w:p w14:paraId="78EADF19" w14:textId="77777777" w:rsidR="007D6C39" w:rsidRPr="002D0F9C" w:rsidRDefault="00C75EC2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>Real-time PCR</w:t>
      </w:r>
      <w:r w:rsidRPr="002D0F9C">
        <w:rPr>
          <w:rFonts w:ascii="Times New Roman" w:hAnsi="Times New Roman" w:cs="Times New Roman"/>
          <w:i/>
          <w:sz w:val="20"/>
          <w:szCs w:val="20"/>
          <w:lang w:val="en-US"/>
        </w:rPr>
        <w:t xml:space="preserve">. </w:t>
      </w:r>
      <w:r w:rsidR="007D6C39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RNA from 140 µL of cell culture supernatant was isolated using the </w:t>
      </w:r>
      <w:proofErr w:type="spellStart"/>
      <w:r w:rsidR="007D6C39" w:rsidRPr="002D0F9C">
        <w:rPr>
          <w:rFonts w:ascii="Times New Roman" w:hAnsi="Times New Roman" w:cs="Times New Roman"/>
          <w:sz w:val="20"/>
          <w:szCs w:val="20"/>
          <w:lang w:val="en-US"/>
        </w:rPr>
        <w:t>QIAmp</w:t>
      </w:r>
      <w:proofErr w:type="spellEnd"/>
      <w:r w:rsidR="007D6C39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viral RNA kit (Qiagen, Germantown, MD, USA) following manufacturer’s instructions and eluted in 40 µL of elution buffer. To determine viral replication, Real time RT-PCR was performed using 10 µL of RNA according to the protocol described by Corman </w:t>
      </w:r>
      <w:r w:rsidR="007D6C39" w:rsidRPr="002D0F9C">
        <w:rPr>
          <w:rFonts w:ascii="Times New Roman" w:hAnsi="Times New Roman" w:cs="Times New Roman"/>
          <w:i/>
          <w:iCs/>
          <w:sz w:val="20"/>
          <w:szCs w:val="20"/>
          <w:lang w:val="en-US"/>
        </w:rPr>
        <w:t>et al.</w:t>
      </w:r>
      <w:sdt>
        <w:sdtPr>
          <w:rPr>
            <w:rFonts w:ascii="Times New Roman" w:hAnsi="Times New Roman" w:cs="Times New Roman"/>
            <w:color w:val="000000"/>
            <w:sz w:val="20"/>
            <w:szCs w:val="20"/>
            <w:lang w:val="en-US"/>
          </w:rPr>
          <w:tag w:val="MENDELEY_CITATION_v3_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"/>
          <w:id w:val="-1337073153"/>
          <w:placeholder>
            <w:docPart w:val="83D90DF9CB9B492AAE7177631381C826"/>
          </w:placeholder>
        </w:sdtPr>
        <w:sdtEndPr/>
        <w:sdtContent>
          <w:r w:rsidR="007D6C39" w:rsidRPr="002D0F9C">
            <w:rPr>
              <w:rFonts w:ascii="Times New Roman" w:hAnsi="Times New Roman" w:cs="Times New Roman"/>
              <w:color w:val="000000"/>
              <w:sz w:val="20"/>
              <w:szCs w:val="20"/>
              <w:lang w:val="en-US"/>
            </w:rPr>
            <w:t>(Corman et al., 2020)</w:t>
          </w:r>
        </w:sdtContent>
      </w:sdt>
      <w:r w:rsidR="007D6C39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using the </w:t>
      </w:r>
      <w:proofErr w:type="spellStart"/>
      <w:r w:rsidR="007D6C39" w:rsidRPr="002D0F9C">
        <w:rPr>
          <w:rFonts w:ascii="Times New Roman" w:hAnsi="Times New Roman" w:cs="Times New Roman"/>
          <w:iCs/>
          <w:sz w:val="20"/>
          <w:szCs w:val="20"/>
          <w:lang w:val="en-US"/>
        </w:rPr>
        <w:t>AgPath</w:t>
      </w:r>
      <w:proofErr w:type="spellEnd"/>
      <w:r w:rsidR="007D6C39" w:rsidRPr="002D0F9C">
        <w:rPr>
          <w:rFonts w:ascii="Times New Roman" w:hAnsi="Times New Roman" w:cs="Times New Roman"/>
          <w:iCs/>
          <w:sz w:val="20"/>
          <w:szCs w:val="20"/>
          <w:lang w:val="en-US"/>
        </w:rPr>
        <w:t>-ID One Step kit (Applied Biosystems,</w:t>
      </w:r>
      <w:r w:rsidR="007D6C39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Waltham, Massachusetts, USA) in </w:t>
      </w:r>
      <w:proofErr w:type="spellStart"/>
      <w:r w:rsidR="007D6C39" w:rsidRPr="002D0F9C">
        <w:rPr>
          <w:rFonts w:ascii="Times New Roman" w:hAnsi="Times New Roman" w:cs="Times New Roman"/>
          <w:sz w:val="20"/>
          <w:szCs w:val="20"/>
          <w:lang w:val="en-US"/>
        </w:rPr>
        <w:t>QauntStudio</w:t>
      </w:r>
      <w:proofErr w:type="spellEnd"/>
      <w:r w:rsidR="007D6C39" w:rsidRPr="002D0F9C">
        <w:rPr>
          <w:rFonts w:ascii="Times New Roman" w:hAnsi="Times New Roman" w:cs="Times New Roman"/>
          <w:sz w:val="20"/>
          <w:szCs w:val="20"/>
          <w:lang w:val="en-US"/>
        </w:rPr>
        <w:t>™ (</w:t>
      </w:r>
      <w:proofErr w:type="spellStart"/>
      <w:r w:rsidR="007D6C39" w:rsidRPr="002D0F9C">
        <w:rPr>
          <w:rFonts w:ascii="Times New Roman" w:hAnsi="Times New Roman" w:cs="Times New Roman"/>
          <w:sz w:val="20"/>
          <w:szCs w:val="20"/>
          <w:lang w:val="en-US"/>
        </w:rPr>
        <w:t>Thermo</w:t>
      </w:r>
      <w:proofErr w:type="spellEnd"/>
      <w:r w:rsidR="007D6C39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Fisher Scientific, Waltham, MA, USA). The primers and probe sequences are the following: ESARBECO gene FW5’3’ ACAGGTACGTTAATAGTAATAGCGT, RV5’3’ ATATTGCAGCAGTACGCACACA and probe 6FAM-ACACTAGCCATCCTTACTGCGCTTCG-QSY.</w:t>
      </w:r>
    </w:p>
    <w:p w14:paraId="5830984E" w14:textId="48CBD59A" w:rsidR="002C0F9B" w:rsidRPr="002D0F9C" w:rsidRDefault="00C75EC2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2D0F9C">
        <w:rPr>
          <w:rFonts w:ascii="Times New Roman" w:hAnsi="Times New Roman" w:cs="Times New Roman"/>
          <w:b/>
          <w:bCs/>
          <w:sz w:val="20"/>
          <w:szCs w:val="20"/>
          <w:lang w:val="en-US"/>
        </w:rPr>
        <w:t>Western blotting.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Cells were treated according to each experimental protocol and lysed in </w:t>
      </w:r>
      <w:proofErr w:type="spellStart"/>
      <w:r w:rsidR="002C220E" w:rsidRPr="002D0F9C">
        <w:rPr>
          <w:rFonts w:ascii="Times New Roman" w:hAnsi="Times New Roman" w:cs="Times New Roman"/>
          <w:sz w:val="20"/>
          <w:szCs w:val="20"/>
          <w:lang w:val="en-US"/>
        </w:rPr>
        <w:t>CelLytic</w:t>
      </w:r>
      <w:proofErr w:type="spellEnd"/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060B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reagent (Sigma-Aldrich) 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>in the presence of a cocktail of protease and phosphatase inhibitors (</w:t>
      </w:r>
      <w:proofErr w:type="spellStart"/>
      <w:r w:rsidRPr="002D0F9C">
        <w:rPr>
          <w:rFonts w:ascii="Times New Roman" w:hAnsi="Times New Roman" w:cs="Times New Roman"/>
          <w:sz w:val="20"/>
          <w:szCs w:val="20"/>
          <w:lang w:val="en-US"/>
        </w:rPr>
        <w:t>NaF</w:t>
      </w:r>
      <w:proofErr w:type="spellEnd"/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(5 mM), </w:t>
      </w:r>
      <w:proofErr w:type="spellStart"/>
      <w:r w:rsidRPr="002D0F9C">
        <w:rPr>
          <w:rFonts w:ascii="Times New Roman" w:hAnsi="Times New Roman" w:cs="Times New Roman"/>
          <w:sz w:val="20"/>
          <w:szCs w:val="20"/>
          <w:lang w:val="en-US"/>
        </w:rPr>
        <w:t>NaMo</w:t>
      </w:r>
      <w:proofErr w:type="spellEnd"/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(1 mM), </w:t>
      </w:r>
      <w:proofErr w:type="spellStart"/>
      <w:r w:rsidRPr="002D0F9C">
        <w:rPr>
          <w:rFonts w:ascii="Times New Roman" w:hAnsi="Times New Roman" w:cs="Times New Roman"/>
          <w:sz w:val="20"/>
          <w:szCs w:val="20"/>
          <w:lang w:val="en-US"/>
        </w:rPr>
        <w:t>NaOt</w:t>
      </w:r>
      <w:proofErr w:type="spellEnd"/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(0.5 mM), PMSF (0.5 mM) and IP 1:100). </w:t>
      </w:r>
      <w:r w:rsidR="000B496B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Protein concentration was quantified using the BCA method (</w:t>
      </w:r>
      <w:proofErr w:type="spellStart"/>
      <w:r w:rsidR="000B496B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Thermo</w:t>
      </w:r>
      <w:proofErr w:type="spellEnd"/>
      <w:r w:rsidR="000B496B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Fisher). To this aim, a standard curve of known BSA (bovine serum albumin; Sigma-Aldrich) amounts was used to determine the concentration of the extracted proteins. An equal amount of total protein per sample was mixed with a reducing agent (</w:t>
      </w:r>
      <w:proofErr w:type="spellStart"/>
      <w:r w:rsidR="000B496B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NuPAGE</w:t>
      </w:r>
      <w:proofErr w:type="spellEnd"/>
      <w:r w:rsidR="000B496B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™ Cat. N. NP0004, </w:t>
      </w:r>
      <w:proofErr w:type="spellStart"/>
      <w:r w:rsidR="000B496B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Thermo</w:t>
      </w:r>
      <w:proofErr w:type="spellEnd"/>
      <w:r w:rsidR="000B496B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Fisher) and </w:t>
      </w:r>
      <w:proofErr w:type="spellStart"/>
      <w:r w:rsidR="000B496B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Lea</w:t>
      </w:r>
      <w:r w:rsidR="00E85DA3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m</w:t>
      </w:r>
      <w:r w:rsidR="000B496B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>li</w:t>
      </w:r>
      <w:proofErr w:type="spellEnd"/>
      <w:r w:rsidR="000B496B" w:rsidRPr="002D0F9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  <w:t xml:space="preserve"> Sample Buffer (Bio-Rad Cat. N. 1610747), and then loaded in homemade polyacrylamide gels at different concentrations for the SDS-PAGE 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>sequentially transferred to PVDF membranes</w:t>
      </w:r>
      <w:r w:rsidR="00662D3C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(Polyvinylidene Fluoride, Millipore) previously activated with 100% methanol. Protein transfer to the membrane was performed in semi-dry conditions at a constant voltage</w:t>
      </w:r>
      <w:r w:rsidR="00C73846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using Transfer Blot Turbo (Bio-Rad) with a buffer consisting of 0.025 M Tris-base, 0.19 M glycine (</w:t>
      </w:r>
      <w:proofErr w:type="spellStart"/>
      <w:r w:rsidR="00C73846" w:rsidRPr="002D0F9C">
        <w:rPr>
          <w:rFonts w:ascii="Times New Roman" w:hAnsi="Times New Roman" w:cs="Times New Roman"/>
          <w:sz w:val="20"/>
          <w:szCs w:val="20"/>
          <w:lang w:val="en-US"/>
        </w:rPr>
        <w:t>TrisGly</w:t>
      </w:r>
      <w:proofErr w:type="spellEnd"/>
      <w:r w:rsidR="00C73846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Bio-Rad, Cat N. 1610734) and 20% methanol</w:t>
      </w:r>
      <w:r w:rsidR="009837EF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201A69" w:rsidRPr="002D0F9C">
        <w:rPr>
          <w:rFonts w:ascii="Times New Roman" w:hAnsi="Times New Roman" w:cs="Times New Roman"/>
          <w:sz w:val="20"/>
          <w:szCs w:val="20"/>
          <w:lang w:val="en-US"/>
        </w:rPr>
        <w:t>The primary antibodies used were diluted in 5% milk in T-PBS as subsequently indicated</w:t>
      </w:r>
      <w:r w:rsidR="00246BD8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and the </w:t>
      </w:r>
      <w:r w:rsidR="00201A69" w:rsidRPr="002D0F9C">
        <w:rPr>
          <w:rFonts w:ascii="Times New Roman" w:hAnsi="Times New Roman" w:cs="Times New Roman"/>
          <w:sz w:val="20"/>
          <w:szCs w:val="20"/>
          <w:lang w:val="en-US"/>
        </w:rPr>
        <w:t>secondary antibody diluted 1:5000 in 5% milk in T-PBS.</w:t>
      </w:r>
      <w:r w:rsidR="002C0F9B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For protein detection, the PVDF membranes were incubated for three minutes with a commercial solution (ECL plus Millipore WBLUC0500 or WBLUR0500) containing the substrate for the </w:t>
      </w:r>
      <w:r w:rsidR="002C0F9B" w:rsidRPr="002D0F9C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chemiluminescence reaction catalyzed by peroxidase. Finally, the light signal was detected through a CCD camera of the </w:t>
      </w:r>
      <w:proofErr w:type="spellStart"/>
      <w:r w:rsidR="002C0F9B" w:rsidRPr="002D0F9C">
        <w:rPr>
          <w:rFonts w:ascii="Times New Roman" w:hAnsi="Times New Roman" w:cs="Times New Roman"/>
          <w:sz w:val="20"/>
          <w:szCs w:val="20"/>
          <w:lang w:val="en-US"/>
        </w:rPr>
        <w:t>ChemiDoc</w:t>
      </w:r>
      <w:proofErr w:type="spellEnd"/>
      <w:r w:rsidR="002C0F9B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 Touch Imaging System (Bio-Rad) associated with a digital image acquisition system. Image Lab 6.1 software from Bio-Rad was used to visualize and process images.</w:t>
      </w:r>
    </w:p>
    <w:p w14:paraId="4978D2AC" w14:textId="35A72564" w:rsidR="002C0F9B" w:rsidRPr="002D0F9C" w:rsidRDefault="002C0F9B" w:rsidP="002D0F9C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F9C">
        <w:rPr>
          <w:rFonts w:ascii="Times New Roman" w:hAnsi="Times New Roman" w:cs="Times New Roman"/>
          <w:sz w:val="20"/>
          <w:szCs w:val="20"/>
        </w:rPr>
        <w:t xml:space="preserve">Primary antibodies used were: 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>Rabbit anti-LC3 (1:1000, Cell Signaling Technology 2775)</w:t>
      </w:r>
      <w:r w:rsidR="00404210"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>Mouse anti-HSP90 (1:1000, Santa Cruz Biotechnology, sc-13,119)</w:t>
      </w:r>
      <w:r w:rsidR="00404210" w:rsidRPr="002D0F9C">
        <w:rPr>
          <w:rFonts w:ascii="Times New Roman" w:hAnsi="Times New Roman" w:cs="Times New Roman"/>
          <w:sz w:val="20"/>
          <w:szCs w:val="20"/>
        </w:rPr>
        <w:t xml:space="preserve">; </w:t>
      </w:r>
      <w:r w:rsidRPr="002D0F9C">
        <w:rPr>
          <w:rFonts w:ascii="Times New Roman" w:hAnsi="Times New Roman" w:cs="Times New Roman"/>
          <w:sz w:val="20"/>
          <w:szCs w:val="20"/>
          <w:lang w:val="en-US"/>
        </w:rPr>
        <w:t xml:space="preserve">Secondary antibodies used (Jackson lab) were anti-rabbit (JI 711–036-152), anti-mouse (JI 715–036-150) all diluted 1:5000. </w:t>
      </w:r>
    </w:p>
    <w:p w14:paraId="2156CBEA" w14:textId="3B36EDFF" w:rsidR="00201A69" w:rsidRPr="00351726" w:rsidRDefault="00201A69" w:rsidP="005A0B3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2B7F16D" w14:textId="19D99EC3" w:rsidR="00554B1C" w:rsidRPr="00351726" w:rsidRDefault="00554B1C" w:rsidP="007D6C39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54B1C" w:rsidRPr="00351726" w:rsidSect="002D0F9C"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66ED"/>
    <w:multiLevelType w:val="hybridMultilevel"/>
    <w:tmpl w:val="597AFE84"/>
    <w:lvl w:ilvl="0" w:tplc="D8F6E5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32E42"/>
    <w:multiLevelType w:val="hybridMultilevel"/>
    <w:tmpl w:val="C094895A"/>
    <w:lvl w:ilvl="0" w:tplc="C212AF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913370">
    <w:abstractNumId w:val="1"/>
  </w:num>
  <w:num w:numId="2" w16cid:durableId="199395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F3"/>
    <w:rsid w:val="000227CD"/>
    <w:rsid w:val="00035E00"/>
    <w:rsid w:val="000B496B"/>
    <w:rsid w:val="000E5169"/>
    <w:rsid w:val="0010187D"/>
    <w:rsid w:val="001C6109"/>
    <w:rsid w:val="00201A69"/>
    <w:rsid w:val="0022133A"/>
    <w:rsid w:val="00232850"/>
    <w:rsid w:val="00246BD8"/>
    <w:rsid w:val="00250027"/>
    <w:rsid w:val="002953BF"/>
    <w:rsid w:val="0029595D"/>
    <w:rsid w:val="002C0F9B"/>
    <w:rsid w:val="002C220E"/>
    <w:rsid w:val="002D0F9C"/>
    <w:rsid w:val="002F4E86"/>
    <w:rsid w:val="00351726"/>
    <w:rsid w:val="00354E2B"/>
    <w:rsid w:val="00383855"/>
    <w:rsid w:val="003C1758"/>
    <w:rsid w:val="00403413"/>
    <w:rsid w:val="00404210"/>
    <w:rsid w:val="00404E73"/>
    <w:rsid w:val="004605E0"/>
    <w:rsid w:val="004E52D1"/>
    <w:rsid w:val="004F4585"/>
    <w:rsid w:val="00522CF3"/>
    <w:rsid w:val="0053060B"/>
    <w:rsid w:val="00554B1C"/>
    <w:rsid w:val="0059311B"/>
    <w:rsid w:val="005A0B36"/>
    <w:rsid w:val="005A2BC3"/>
    <w:rsid w:val="005B5DA5"/>
    <w:rsid w:val="005B74B5"/>
    <w:rsid w:val="00646B38"/>
    <w:rsid w:val="00662D3C"/>
    <w:rsid w:val="0067069D"/>
    <w:rsid w:val="006A27A8"/>
    <w:rsid w:val="00704226"/>
    <w:rsid w:val="00795A4E"/>
    <w:rsid w:val="007B11D2"/>
    <w:rsid w:val="007D6C39"/>
    <w:rsid w:val="0081264A"/>
    <w:rsid w:val="0082439C"/>
    <w:rsid w:val="00857118"/>
    <w:rsid w:val="008A2755"/>
    <w:rsid w:val="009824A8"/>
    <w:rsid w:val="009837EF"/>
    <w:rsid w:val="009837F1"/>
    <w:rsid w:val="009A13BA"/>
    <w:rsid w:val="009C42B8"/>
    <w:rsid w:val="009C4A05"/>
    <w:rsid w:val="00A006EA"/>
    <w:rsid w:val="00AD4FE1"/>
    <w:rsid w:val="00AE32AA"/>
    <w:rsid w:val="00B36051"/>
    <w:rsid w:val="00B42BDF"/>
    <w:rsid w:val="00B63723"/>
    <w:rsid w:val="00BD1968"/>
    <w:rsid w:val="00C73846"/>
    <w:rsid w:val="00C75EC2"/>
    <w:rsid w:val="00CB647B"/>
    <w:rsid w:val="00D02F65"/>
    <w:rsid w:val="00D21D4A"/>
    <w:rsid w:val="00D46077"/>
    <w:rsid w:val="00D9079D"/>
    <w:rsid w:val="00DA1FC8"/>
    <w:rsid w:val="00DA2481"/>
    <w:rsid w:val="00DC25BE"/>
    <w:rsid w:val="00E361E5"/>
    <w:rsid w:val="00E85DA3"/>
    <w:rsid w:val="00F0610B"/>
    <w:rsid w:val="00F135F3"/>
    <w:rsid w:val="00F2380D"/>
    <w:rsid w:val="00FA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1109B"/>
  <w15:chartTrackingRefBased/>
  <w15:docId w15:val="{E4052092-6C39-4AC6-B4A8-68730E17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CF3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C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C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C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C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52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52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C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522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C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styleId="IntenseEmphasis">
    <w:name w:val="Intense Emphasis"/>
    <w:basedOn w:val="DefaultParagraphFont"/>
    <w:uiPriority w:val="21"/>
    <w:qFormat/>
    <w:rsid w:val="00522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CF3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22CF3"/>
  </w:style>
  <w:style w:type="paragraph" w:styleId="NormalWeb">
    <w:name w:val="Normal (Web)"/>
    <w:basedOn w:val="Normal"/>
    <w:uiPriority w:val="99"/>
    <w:semiHidden/>
    <w:unhideWhenUsed/>
    <w:rsid w:val="00DC25BE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03413"/>
  </w:style>
  <w:style w:type="character" w:styleId="Hyperlink">
    <w:name w:val="Hyperlink"/>
    <w:basedOn w:val="DefaultParagraphFont"/>
    <w:uiPriority w:val="99"/>
    <w:unhideWhenUsed/>
    <w:rsid w:val="00403413"/>
    <w:rPr>
      <w:color w:val="0000FF"/>
      <w:u w:val="single"/>
    </w:rPr>
  </w:style>
  <w:style w:type="paragraph" w:styleId="NoSpacing">
    <w:name w:val="No Spacing"/>
    <w:uiPriority w:val="1"/>
    <w:qFormat/>
    <w:rsid w:val="00D02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topics/biochemistry-genetics-and-molecular-biology/inoculation" TargetMode="External"/><Relationship Id="rId5" Type="http://schemas.openxmlformats.org/officeDocument/2006/relationships/hyperlink" Target="https://www.sciencedirect.com/topics/immunology-and-microbiology/multiplicity-of-infec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D90DF9CB9B492AAE7177631381C8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D422A-FB18-437A-82FB-EAC5088325BF}"/>
      </w:docPartPr>
      <w:docPartBody>
        <w:p w:rsidR="00A34CB5" w:rsidRDefault="00A34CB5" w:rsidP="00A34CB5">
          <w:pPr>
            <w:pStyle w:val="83D90DF9CB9B492AAE7177631381C826"/>
          </w:pPr>
          <w:r w:rsidRPr="00B0126E">
            <w:rPr>
              <w:rStyle w:val="PlaceholderText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B5"/>
    <w:rsid w:val="00250027"/>
    <w:rsid w:val="002F4E86"/>
    <w:rsid w:val="00A34CB5"/>
    <w:rsid w:val="00DA1FC8"/>
    <w:rsid w:val="00E273B1"/>
    <w:rsid w:val="00F2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CB5"/>
    <w:rPr>
      <w:color w:val="666666"/>
    </w:rPr>
  </w:style>
  <w:style w:type="paragraph" w:customStyle="1" w:styleId="83D90DF9CB9B492AAE7177631381C826">
    <w:name w:val="83D90DF9CB9B492AAE7177631381C826"/>
    <w:rsid w:val="00A34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1227</Words>
  <Characters>7142</Characters>
  <Application>Microsoft Office Word</Application>
  <DocSecurity>0</DocSecurity>
  <Lines>95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Marchioro</dc:creator>
  <cp:keywords/>
  <dc:description/>
  <cp:lastModifiedBy>manuela antonioli</cp:lastModifiedBy>
  <cp:revision>17</cp:revision>
  <dcterms:created xsi:type="dcterms:W3CDTF">2025-03-20T05:17:00Z</dcterms:created>
  <dcterms:modified xsi:type="dcterms:W3CDTF">2025-06-04T12:42:00Z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73d71cfe-57ff-459b-b12b-8af868203a15</vt:lpwstr>
  </property>
</Properties>
</file>