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AB46B" w14:textId="28B1448A" w:rsidR="003415E2" w:rsidRPr="00446BDF" w:rsidRDefault="003415E2" w:rsidP="003B7C05">
      <w:pPr>
        <w:spacing w:before="0" w:after="0"/>
        <w:rPr>
          <w:lang w:eastAsia="en-GB"/>
        </w:rPr>
      </w:pPr>
      <w:r w:rsidRPr="00446BDF">
        <w:rPr>
          <w:b/>
          <w:bCs/>
        </w:rPr>
        <w:t>Additional file 3.</w:t>
      </w:r>
      <w:r w:rsidRPr="00446BDF">
        <w:t xml:space="preserve"> Number of ongoing COVID-19 trials during </w:t>
      </w:r>
      <w:r w:rsidR="003B7C05" w:rsidRPr="00446BDF">
        <w:t xml:space="preserve">each of </w:t>
      </w:r>
      <w:r w:rsidR="00242787" w:rsidRPr="00446BDF">
        <w:t xml:space="preserve">the </w:t>
      </w:r>
      <w:r w:rsidRPr="00446BDF">
        <w:t>four quarters of 2020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1"/>
        <w:gridCol w:w="1660"/>
        <w:gridCol w:w="1663"/>
        <w:gridCol w:w="1663"/>
        <w:gridCol w:w="1663"/>
      </w:tblGrid>
      <w:tr w:rsidR="003415E2" w:rsidRPr="00446BDF" w14:paraId="2866AE43" w14:textId="77777777" w:rsidTr="00AE00E6">
        <w:tc>
          <w:tcPr>
            <w:tcW w:w="2433" w:type="pct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D8619C" w14:textId="77777777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46BDF">
              <w:rPr>
                <w:b/>
                <w:bCs/>
                <w:sz w:val="20"/>
                <w:szCs w:val="20"/>
                <w:lang w:val="en-US"/>
              </w:rPr>
              <w:t>Health domain</w:t>
            </w:r>
          </w:p>
        </w:tc>
        <w:tc>
          <w:tcPr>
            <w:tcW w:w="2567" w:type="pct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0257783" w14:textId="16D71F4C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46BDF">
              <w:rPr>
                <w:b/>
                <w:bCs/>
                <w:sz w:val="20"/>
                <w:szCs w:val="20"/>
                <w:lang w:val="en-US"/>
              </w:rPr>
              <w:t>Number o</w:t>
            </w:r>
            <w:r w:rsidR="00232ADE" w:rsidRPr="00446BDF">
              <w:rPr>
                <w:b/>
                <w:bCs/>
                <w:sz w:val="20"/>
                <w:szCs w:val="20"/>
                <w:lang w:val="en-US"/>
              </w:rPr>
              <w:t>f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 xml:space="preserve"> studies, N (% of all</w:t>
            </w:r>
            <w:r w:rsidR="000D21AC" w:rsidRPr="00446BD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>studies</w:t>
            </w:r>
            <w:r w:rsidR="000D21AC" w:rsidRPr="00446BDF">
              <w:rPr>
                <w:b/>
                <w:bCs/>
                <w:sz w:val="20"/>
                <w:szCs w:val="20"/>
                <w:lang w:val="en-US"/>
              </w:rPr>
              <w:t xml:space="preserve"> per quarter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3415E2" w:rsidRPr="00446BDF" w14:paraId="196A27F9" w14:textId="77777777" w:rsidTr="00AE00E6">
        <w:tc>
          <w:tcPr>
            <w:tcW w:w="2433" w:type="pct"/>
            <w:vMerge/>
            <w:tcBorders>
              <w:top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063819BC" w14:textId="77777777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auto"/>
              <w:bottom w:val="double" w:sz="4" w:space="0" w:color="auto"/>
            </w:tcBorders>
            <w:vAlign w:val="center"/>
          </w:tcPr>
          <w:p w14:paraId="313FE929" w14:textId="21EFD443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46BD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242787" w:rsidRPr="00446BD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>Q1</w:t>
            </w:r>
          </w:p>
        </w:tc>
        <w:tc>
          <w:tcPr>
            <w:tcW w:w="642" w:type="pct"/>
            <w:tcBorders>
              <w:top w:val="nil"/>
              <w:bottom w:val="double" w:sz="4" w:space="0" w:color="auto"/>
            </w:tcBorders>
            <w:vAlign w:val="center"/>
          </w:tcPr>
          <w:p w14:paraId="7BE095A5" w14:textId="08AED573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46BD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242787" w:rsidRPr="00446BD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>Q2</w:t>
            </w:r>
          </w:p>
        </w:tc>
        <w:tc>
          <w:tcPr>
            <w:tcW w:w="642" w:type="pct"/>
            <w:tcBorders>
              <w:top w:val="nil"/>
              <w:bottom w:val="double" w:sz="4" w:space="0" w:color="auto"/>
            </w:tcBorders>
            <w:vAlign w:val="center"/>
          </w:tcPr>
          <w:p w14:paraId="71D9CD47" w14:textId="363F5EB7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46BD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242787" w:rsidRPr="00446BD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>Q3</w:t>
            </w:r>
          </w:p>
        </w:tc>
        <w:tc>
          <w:tcPr>
            <w:tcW w:w="642" w:type="pct"/>
            <w:tcBorders>
              <w:top w:val="nil"/>
              <w:bottom w:val="double" w:sz="4" w:space="0" w:color="auto"/>
            </w:tcBorders>
            <w:vAlign w:val="center"/>
          </w:tcPr>
          <w:p w14:paraId="4BA52430" w14:textId="38216653" w:rsidR="003415E2" w:rsidRPr="00446BDF" w:rsidRDefault="003415E2" w:rsidP="003B7C05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46BD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242787" w:rsidRPr="00446BD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46BDF">
              <w:rPr>
                <w:b/>
                <w:bCs/>
                <w:sz w:val="20"/>
                <w:szCs w:val="20"/>
                <w:lang w:val="en-US"/>
              </w:rPr>
              <w:t>Q4</w:t>
            </w:r>
          </w:p>
        </w:tc>
      </w:tr>
      <w:tr w:rsidR="003415E2" w:rsidRPr="00446BDF" w14:paraId="79E3D818" w14:textId="77777777" w:rsidTr="00AE00E6">
        <w:tc>
          <w:tcPr>
            <w:tcW w:w="2433" w:type="pct"/>
            <w:tcBorders>
              <w:top w:val="double" w:sz="4" w:space="0" w:color="auto"/>
              <w:right w:val="single" w:sz="4" w:space="0" w:color="auto"/>
            </w:tcBorders>
          </w:tcPr>
          <w:p w14:paraId="188C2977" w14:textId="358A1070" w:rsidR="003415E2" w:rsidRPr="00446BDF" w:rsidRDefault="000D21AC" w:rsidP="003B7C05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446BDF">
              <w:rPr>
                <w:b/>
                <w:bCs/>
                <w:sz w:val="18"/>
                <w:szCs w:val="18"/>
                <w:lang w:val="en-US"/>
              </w:rPr>
              <w:t>Total number of studies</w:t>
            </w:r>
            <w:r w:rsidR="00232ADE" w:rsidRPr="00446BDF">
              <w:rPr>
                <w:b/>
                <w:bCs/>
                <w:sz w:val="18"/>
                <w:szCs w:val="18"/>
                <w:lang w:val="en-US"/>
              </w:rPr>
              <w:t xml:space="preserve"> per quarter based on CTDB</w:t>
            </w:r>
          </w:p>
        </w:tc>
        <w:tc>
          <w:tcPr>
            <w:tcW w:w="641" w:type="pct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541F81F0" w14:textId="255E565C" w:rsidR="003415E2" w:rsidRPr="00446BDF" w:rsidRDefault="000D21AC" w:rsidP="003B7C05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78311 (100%)</w:t>
            </w:r>
          </w:p>
        </w:tc>
        <w:tc>
          <w:tcPr>
            <w:tcW w:w="642" w:type="pct"/>
            <w:tcBorders>
              <w:top w:val="double" w:sz="4" w:space="0" w:color="auto"/>
            </w:tcBorders>
            <w:vAlign w:val="center"/>
          </w:tcPr>
          <w:p w14:paraId="57C8A782" w14:textId="2F23DEDD" w:rsidR="003415E2" w:rsidRPr="00446BDF" w:rsidRDefault="000D21AC" w:rsidP="003B7C05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78846 (100%)</w:t>
            </w:r>
          </w:p>
        </w:tc>
        <w:tc>
          <w:tcPr>
            <w:tcW w:w="642" w:type="pct"/>
            <w:tcBorders>
              <w:top w:val="double" w:sz="4" w:space="0" w:color="auto"/>
            </w:tcBorders>
            <w:vAlign w:val="center"/>
          </w:tcPr>
          <w:p w14:paraId="47CEFF77" w14:textId="0E299D27" w:rsidR="003415E2" w:rsidRPr="00446BDF" w:rsidRDefault="000D21AC" w:rsidP="003B7C05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79662 (100%)</w:t>
            </w:r>
          </w:p>
        </w:tc>
        <w:tc>
          <w:tcPr>
            <w:tcW w:w="642" w:type="pct"/>
            <w:tcBorders>
              <w:top w:val="double" w:sz="4" w:space="0" w:color="auto"/>
            </w:tcBorders>
            <w:vAlign w:val="center"/>
          </w:tcPr>
          <w:p w14:paraId="6B2B5EE1" w14:textId="6D7EA4FA" w:rsidR="003415E2" w:rsidRPr="00446BDF" w:rsidRDefault="000D21AC" w:rsidP="003B7C05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80113 (100%)</w:t>
            </w:r>
          </w:p>
        </w:tc>
      </w:tr>
      <w:tr w:rsidR="000D21AC" w:rsidRPr="00446BDF" w14:paraId="21B04E4A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064C9C26" w14:textId="4FC42963" w:rsidR="000D21AC" w:rsidRPr="00446BDF" w:rsidRDefault="000D21AC" w:rsidP="003B7C05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n-US"/>
              </w:rPr>
            </w:pPr>
            <w:r w:rsidRPr="00446BDF">
              <w:rPr>
                <w:b/>
                <w:bCs/>
                <w:sz w:val="18"/>
                <w:szCs w:val="18"/>
                <w:lang w:val="en-US"/>
              </w:rPr>
              <w:t xml:space="preserve">All </w:t>
            </w:r>
            <w:r w:rsidR="00232ADE" w:rsidRPr="00446BDF">
              <w:rPr>
                <w:b/>
                <w:bCs/>
                <w:sz w:val="18"/>
                <w:szCs w:val="18"/>
                <w:lang w:val="en-US"/>
              </w:rPr>
              <w:t xml:space="preserve">COVID-19 </w:t>
            </w:r>
            <w:r w:rsidRPr="00446BDF">
              <w:rPr>
                <w:b/>
                <w:bCs/>
                <w:sz w:val="18"/>
                <w:szCs w:val="18"/>
                <w:lang w:val="en-US"/>
              </w:rPr>
              <w:t>studies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440F13AE" w14:textId="1712270B" w:rsidR="000D21AC" w:rsidRPr="00446BDF" w:rsidRDefault="000D21AC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799 (1.0%)</w:t>
            </w:r>
          </w:p>
        </w:tc>
        <w:tc>
          <w:tcPr>
            <w:tcW w:w="642" w:type="pct"/>
            <w:vAlign w:val="center"/>
          </w:tcPr>
          <w:p w14:paraId="1172C4B1" w14:textId="2E8BF36C" w:rsidR="000D21AC" w:rsidRPr="00446BDF" w:rsidRDefault="000D21AC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2447 (3.1%)</w:t>
            </w:r>
          </w:p>
        </w:tc>
        <w:tc>
          <w:tcPr>
            <w:tcW w:w="642" w:type="pct"/>
            <w:vAlign w:val="center"/>
          </w:tcPr>
          <w:p w14:paraId="7AF082E7" w14:textId="4A063F97" w:rsidR="000D21AC" w:rsidRPr="00446BDF" w:rsidRDefault="000D21AC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2906 (3.6%)</w:t>
            </w:r>
          </w:p>
        </w:tc>
        <w:tc>
          <w:tcPr>
            <w:tcW w:w="642" w:type="pct"/>
            <w:vAlign w:val="center"/>
          </w:tcPr>
          <w:p w14:paraId="77DAD87E" w14:textId="6CC25706" w:rsidR="000D21AC" w:rsidRPr="00446BDF" w:rsidRDefault="000D21AC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3080 (3.8%)</w:t>
            </w:r>
          </w:p>
        </w:tc>
      </w:tr>
      <w:tr w:rsidR="003415E2" w:rsidRPr="00446BDF" w14:paraId="60511302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34E60263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Bacterial Infections and Mycoses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76F6589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92 (3.5%)</w:t>
            </w:r>
          </w:p>
        </w:tc>
        <w:tc>
          <w:tcPr>
            <w:tcW w:w="642" w:type="pct"/>
            <w:vAlign w:val="center"/>
          </w:tcPr>
          <w:p w14:paraId="63B0B340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294 (10.8%)</w:t>
            </w:r>
          </w:p>
        </w:tc>
        <w:tc>
          <w:tcPr>
            <w:tcW w:w="642" w:type="pct"/>
            <w:vAlign w:val="center"/>
          </w:tcPr>
          <w:p w14:paraId="0CD992C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347 (12.4%)</w:t>
            </w:r>
          </w:p>
        </w:tc>
        <w:tc>
          <w:tcPr>
            <w:tcW w:w="642" w:type="pct"/>
            <w:vAlign w:val="center"/>
          </w:tcPr>
          <w:p w14:paraId="11E02DF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383 (13.7%)</w:t>
            </w:r>
          </w:p>
        </w:tc>
      </w:tr>
      <w:tr w:rsidR="003415E2" w:rsidRPr="00446BDF" w14:paraId="6A5142EA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2153143D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Behavior and Behavior Mechanisms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0B3C19D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23 (1.0%)</w:t>
            </w:r>
          </w:p>
        </w:tc>
        <w:tc>
          <w:tcPr>
            <w:tcW w:w="642" w:type="pct"/>
            <w:vAlign w:val="center"/>
          </w:tcPr>
          <w:p w14:paraId="1BB810F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80 (3.5%)</w:t>
            </w:r>
          </w:p>
        </w:tc>
        <w:tc>
          <w:tcPr>
            <w:tcW w:w="642" w:type="pct"/>
            <w:vAlign w:val="center"/>
          </w:tcPr>
          <w:p w14:paraId="7F70A97A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85 (3.7%)</w:t>
            </w:r>
          </w:p>
        </w:tc>
        <w:tc>
          <w:tcPr>
            <w:tcW w:w="642" w:type="pct"/>
            <w:vAlign w:val="center"/>
          </w:tcPr>
          <w:p w14:paraId="202298EB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107 (4.5%)</w:t>
            </w:r>
          </w:p>
        </w:tc>
      </w:tr>
      <w:tr w:rsidR="003415E2" w:rsidRPr="00446BDF" w14:paraId="477E018B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4A80F927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Cardiovascular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50E32775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56 (0.6%)</w:t>
            </w:r>
          </w:p>
        </w:tc>
        <w:tc>
          <w:tcPr>
            <w:tcW w:w="642" w:type="pct"/>
            <w:vAlign w:val="center"/>
          </w:tcPr>
          <w:p w14:paraId="356D88A0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126 (1.3%)</w:t>
            </w:r>
          </w:p>
        </w:tc>
        <w:tc>
          <w:tcPr>
            <w:tcW w:w="642" w:type="pct"/>
            <w:vAlign w:val="center"/>
          </w:tcPr>
          <w:p w14:paraId="461F22CA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141 (1.4%)</w:t>
            </w:r>
          </w:p>
        </w:tc>
        <w:tc>
          <w:tcPr>
            <w:tcW w:w="642" w:type="pct"/>
            <w:vAlign w:val="center"/>
          </w:tcPr>
          <w:p w14:paraId="33866FDB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142 (1.4%)</w:t>
            </w:r>
          </w:p>
        </w:tc>
      </w:tr>
      <w:tr w:rsidR="003415E2" w:rsidRPr="00446BDF" w14:paraId="2A3946B2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480E1B4B" w14:textId="5BDD2601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Congenital, Hereditary, and Neonatal Diseases and Abnormalities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6039F85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32 (0.8%)</w:t>
            </w:r>
          </w:p>
        </w:tc>
        <w:tc>
          <w:tcPr>
            <w:tcW w:w="642" w:type="pct"/>
            <w:vAlign w:val="center"/>
          </w:tcPr>
          <w:p w14:paraId="2AFA0C1C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97 (2.3%)</w:t>
            </w:r>
          </w:p>
        </w:tc>
        <w:tc>
          <w:tcPr>
            <w:tcW w:w="642" w:type="pct"/>
            <w:vAlign w:val="center"/>
          </w:tcPr>
          <w:p w14:paraId="55AF5F78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119 (2.8%)</w:t>
            </w:r>
          </w:p>
        </w:tc>
        <w:tc>
          <w:tcPr>
            <w:tcW w:w="642" w:type="pct"/>
            <w:vAlign w:val="center"/>
          </w:tcPr>
          <w:p w14:paraId="43EE5B8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131 (3.1%)</w:t>
            </w:r>
          </w:p>
        </w:tc>
      </w:tr>
      <w:tr w:rsidR="003415E2" w:rsidRPr="00446BDF" w14:paraId="6F5D1B73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7259E48A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Digestive System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7DA1861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35 (0.5%)</w:t>
            </w:r>
          </w:p>
        </w:tc>
        <w:tc>
          <w:tcPr>
            <w:tcW w:w="642" w:type="pct"/>
            <w:vAlign w:val="center"/>
          </w:tcPr>
          <w:p w14:paraId="38A1A886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48 (0.6%)</w:t>
            </w:r>
          </w:p>
        </w:tc>
        <w:tc>
          <w:tcPr>
            <w:tcW w:w="642" w:type="pct"/>
            <w:vAlign w:val="center"/>
          </w:tcPr>
          <w:p w14:paraId="2CCAEEE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46 (0.6%)</w:t>
            </w:r>
          </w:p>
        </w:tc>
        <w:tc>
          <w:tcPr>
            <w:tcW w:w="642" w:type="pct"/>
            <w:vAlign w:val="center"/>
          </w:tcPr>
          <w:p w14:paraId="003AEB2F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46 (0.6%)</w:t>
            </w:r>
          </w:p>
        </w:tc>
      </w:tr>
      <w:tr w:rsidR="003415E2" w:rsidRPr="00446BDF" w14:paraId="6C8AFD89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61F2FF84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Endocrine System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4241530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24 (0.6%)</w:t>
            </w:r>
          </w:p>
        </w:tc>
        <w:tc>
          <w:tcPr>
            <w:tcW w:w="642" w:type="pct"/>
            <w:vAlign w:val="center"/>
          </w:tcPr>
          <w:p w14:paraId="5F1B18D8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36 (0.9%)</w:t>
            </w:r>
          </w:p>
        </w:tc>
        <w:tc>
          <w:tcPr>
            <w:tcW w:w="642" w:type="pct"/>
            <w:vAlign w:val="center"/>
          </w:tcPr>
          <w:p w14:paraId="2D95067D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34 (0.8%)</w:t>
            </w:r>
          </w:p>
        </w:tc>
        <w:tc>
          <w:tcPr>
            <w:tcW w:w="642" w:type="pct"/>
            <w:vAlign w:val="center"/>
          </w:tcPr>
          <w:p w14:paraId="4926B21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33 (0.8%)</w:t>
            </w:r>
          </w:p>
        </w:tc>
      </w:tr>
      <w:tr w:rsidR="003415E2" w:rsidRPr="00446BDF" w14:paraId="0B594245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2B2D612A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Female Urogenital Diseases and Pregnancy Complications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06F54D6C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25 (0.4%)</w:t>
            </w:r>
          </w:p>
        </w:tc>
        <w:tc>
          <w:tcPr>
            <w:tcW w:w="642" w:type="pct"/>
            <w:vAlign w:val="center"/>
          </w:tcPr>
          <w:p w14:paraId="0BA7CE7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53 (0.9%)</w:t>
            </w:r>
          </w:p>
        </w:tc>
        <w:tc>
          <w:tcPr>
            <w:tcW w:w="642" w:type="pct"/>
            <w:vAlign w:val="center"/>
          </w:tcPr>
          <w:p w14:paraId="3FA7DDA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54 (0.9%)</w:t>
            </w:r>
          </w:p>
        </w:tc>
        <w:tc>
          <w:tcPr>
            <w:tcW w:w="642" w:type="pct"/>
            <w:vAlign w:val="center"/>
          </w:tcPr>
          <w:p w14:paraId="25F03620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69 (1.2%)</w:t>
            </w:r>
          </w:p>
        </w:tc>
      </w:tr>
      <w:tr w:rsidR="003415E2" w:rsidRPr="00446BDF" w14:paraId="012E9C9A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7A4FFFF8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Hemic and Lymphatic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6A1BC20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15 (0.3%)</w:t>
            </w:r>
          </w:p>
        </w:tc>
        <w:tc>
          <w:tcPr>
            <w:tcW w:w="642" w:type="pct"/>
            <w:vAlign w:val="center"/>
          </w:tcPr>
          <w:p w14:paraId="45F081C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40 (0.7%)</w:t>
            </w:r>
          </w:p>
        </w:tc>
        <w:tc>
          <w:tcPr>
            <w:tcW w:w="642" w:type="pct"/>
            <w:vAlign w:val="center"/>
          </w:tcPr>
          <w:p w14:paraId="36AEADD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55 (1.0%)</w:t>
            </w:r>
          </w:p>
        </w:tc>
        <w:tc>
          <w:tcPr>
            <w:tcW w:w="642" w:type="pct"/>
            <w:vAlign w:val="center"/>
          </w:tcPr>
          <w:p w14:paraId="664F098F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60 (1.1%)</w:t>
            </w:r>
          </w:p>
        </w:tc>
      </w:tr>
      <w:tr w:rsidR="003415E2" w:rsidRPr="00446BDF" w14:paraId="2A2CDFF5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743A77C4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Immune System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02118069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29 (0.4%)</w:t>
            </w:r>
          </w:p>
        </w:tc>
        <w:tc>
          <w:tcPr>
            <w:tcW w:w="642" w:type="pct"/>
            <w:vAlign w:val="center"/>
          </w:tcPr>
          <w:p w14:paraId="7477F1D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58 (0.8%)</w:t>
            </w:r>
          </w:p>
        </w:tc>
        <w:tc>
          <w:tcPr>
            <w:tcW w:w="642" w:type="pct"/>
            <w:vAlign w:val="center"/>
          </w:tcPr>
          <w:p w14:paraId="3886B48F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72 (1.0%)</w:t>
            </w:r>
          </w:p>
        </w:tc>
        <w:tc>
          <w:tcPr>
            <w:tcW w:w="642" w:type="pct"/>
            <w:vAlign w:val="center"/>
          </w:tcPr>
          <w:p w14:paraId="22C99383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78 (1.1%)</w:t>
            </w:r>
          </w:p>
        </w:tc>
      </w:tr>
      <w:tr w:rsidR="003415E2" w:rsidRPr="00446BDF" w14:paraId="1DEE29C9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16988BE7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Male Urogenital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753BE4D9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20 (0.4%)</w:t>
            </w:r>
          </w:p>
        </w:tc>
        <w:tc>
          <w:tcPr>
            <w:tcW w:w="642" w:type="pct"/>
            <w:vAlign w:val="center"/>
          </w:tcPr>
          <w:p w14:paraId="15C7410F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37 (0.8%)</w:t>
            </w:r>
          </w:p>
        </w:tc>
        <w:tc>
          <w:tcPr>
            <w:tcW w:w="642" w:type="pct"/>
            <w:vAlign w:val="center"/>
          </w:tcPr>
          <w:p w14:paraId="1817A96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39 (0.8%)</w:t>
            </w:r>
          </w:p>
        </w:tc>
        <w:tc>
          <w:tcPr>
            <w:tcW w:w="642" w:type="pct"/>
            <w:vAlign w:val="center"/>
          </w:tcPr>
          <w:p w14:paraId="5ECA9CCC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51 (1.0%)</w:t>
            </w:r>
          </w:p>
        </w:tc>
      </w:tr>
      <w:tr w:rsidR="003415E2" w:rsidRPr="00446BDF" w14:paraId="0E1273BD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54C5B82B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Mental Disorders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403733A5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72 (1.2%)</w:t>
            </w:r>
          </w:p>
        </w:tc>
        <w:tc>
          <w:tcPr>
            <w:tcW w:w="642" w:type="pct"/>
            <w:vAlign w:val="center"/>
          </w:tcPr>
          <w:p w14:paraId="20C51B9B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146 (2.5%)</w:t>
            </w:r>
          </w:p>
        </w:tc>
        <w:tc>
          <w:tcPr>
            <w:tcW w:w="642" w:type="pct"/>
            <w:vAlign w:val="center"/>
          </w:tcPr>
          <w:p w14:paraId="44C0DAE8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158 (2.7%)</w:t>
            </w:r>
          </w:p>
        </w:tc>
        <w:tc>
          <w:tcPr>
            <w:tcW w:w="642" w:type="pct"/>
            <w:vAlign w:val="center"/>
          </w:tcPr>
          <w:p w14:paraId="359AC8B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191 (3.2%)</w:t>
            </w:r>
          </w:p>
        </w:tc>
      </w:tr>
      <w:tr w:rsidR="003415E2" w:rsidRPr="00446BDF" w14:paraId="089941C5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74EEE509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Musculoskeletal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0BD58023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24 (0.6%)</w:t>
            </w:r>
          </w:p>
        </w:tc>
        <w:tc>
          <w:tcPr>
            <w:tcW w:w="642" w:type="pct"/>
            <w:vAlign w:val="center"/>
          </w:tcPr>
          <w:p w14:paraId="18A1678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36 (0.9%)</w:t>
            </w:r>
          </w:p>
        </w:tc>
        <w:tc>
          <w:tcPr>
            <w:tcW w:w="642" w:type="pct"/>
            <w:vAlign w:val="center"/>
          </w:tcPr>
          <w:p w14:paraId="030E65D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41 (1.0%)</w:t>
            </w:r>
          </w:p>
        </w:tc>
        <w:tc>
          <w:tcPr>
            <w:tcW w:w="642" w:type="pct"/>
            <w:vAlign w:val="center"/>
          </w:tcPr>
          <w:p w14:paraId="5A65A5DF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46 (1.2%)</w:t>
            </w:r>
          </w:p>
        </w:tc>
      </w:tr>
      <w:tr w:rsidR="003415E2" w:rsidRPr="00446BDF" w14:paraId="789E4FA5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7A7CE04E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Neoplasms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23B603F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25 (0.1%)</w:t>
            </w:r>
          </w:p>
        </w:tc>
        <w:tc>
          <w:tcPr>
            <w:tcW w:w="642" w:type="pct"/>
            <w:vAlign w:val="center"/>
          </w:tcPr>
          <w:p w14:paraId="18C2659C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52 (0.2%)</w:t>
            </w:r>
          </w:p>
        </w:tc>
        <w:tc>
          <w:tcPr>
            <w:tcW w:w="642" w:type="pct"/>
            <w:vAlign w:val="center"/>
          </w:tcPr>
          <w:p w14:paraId="74C0CD76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68 (0.3%)</w:t>
            </w:r>
          </w:p>
        </w:tc>
        <w:tc>
          <w:tcPr>
            <w:tcW w:w="642" w:type="pct"/>
            <w:vAlign w:val="center"/>
          </w:tcPr>
          <w:p w14:paraId="23972620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79 (0.4%)</w:t>
            </w:r>
          </w:p>
        </w:tc>
      </w:tr>
      <w:tr w:rsidR="003415E2" w:rsidRPr="00446BDF" w14:paraId="347D853D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6C626BB8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Nervous System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16CB5893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63 (0.6%)</w:t>
            </w:r>
          </w:p>
        </w:tc>
        <w:tc>
          <w:tcPr>
            <w:tcW w:w="642" w:type="pct"/>
            <w:vAlign w:val="center"/>
          </w:tcPr>
          <w:p w14:paraId="1211B41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121 (1.2%)</w:t>
            </w:r>
          </w:p>
        </w:tc>
        <w:tc>
          <w:tcPr>
            <w:tcW w:w="642" w:type="pct"/>
            <w:vAlign w:val="center"/>
          </w:tcPr>
          <w:p w14:paraId="4C36315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136 (1.3%)</w:t>
            </w:r>
          </w:p>
        </w:tc>
        <w:tc>
          <w:tcPr>
            <w:tcW w:w="642" w:type="pct"/>
            <w:vAlign w:val="center"/>
          </w:tcPr>
          <w:p w14:paraId="560FBAC9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137 (1.3%)</w:t>
            </w:r>
          </w:p>
        </w:tc>
      </w:tr>
      <w:tr w:rsidR="003415E2" w:rsidRPr="00446BDF" w14:paraId="32200C39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4E6D554B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Nutritional and Metabolic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536DF9CF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39 (0.7%)</w:t>
            </w:r>
          </w:p>
        </w:tc>
        <w:tc>
          <w:tcPr>
            <w:tcW w:w="642" w:type="pct"/>
            <w:vAlign w:val="center"/>
          </w:tcPr>
          <w:p w14:paraId="3D1552B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53 (1.0%)</w:t>
            </w:r>
          </w:p>
        </w:tc>
        <w:tc>
          <w:tcPr>
            <w:tcW w:w="642" w:type="pct"/>
            <w:vAlign w:val="center"/>
          </w:tcPr>
          <w:p w14:paraId="761217A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55 (1.1%)</w:t>
            </w:r>
          </w:p>
        </w:tc>
        <w:tc>
          <w:tcPr>
            <w:tcW w:w="642" w:type="pct"/>
            <w:vAlign w:val="center"/>
          </w:tcPr>
          <w:p w14:paraId="2F2178B2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61 (1.2%)</w:t>
            </w:r>
          </w:p>
        </w:tc>
      </w:tr>
      <w:tr w:rsidR="003415E2" w:rsidRPr="00446BDF" w14:paraId="7EFF8D06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1281AC18" w14:textId="14043DD3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Pathological Conditions, Signs</w:t>
            </w:r>
            <w:r w:rsidR="00E67A82" w:rsidRPr="00446BDF">
              <w:rPr>
                <w:sz w:val="18"/>
                <w:szCs w:val="18"/>
                <w:lang w:val="en-US"/>
              </w:rPr>
              <w:t>,</w:t>
            </w:r>
            <w:r w:rsidRPr="00446BDF">
              <w:rPr>
                <w:sz w:val="18"/>
                <w:szCs w:val="18"/>
                <w:lang w:val="en-US"/>
              </w:rPr>
              <w:t xml:space="preserve"> and Symptoms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13B3CFD7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156 (0.8%)</w:t>
            </w:r>
          </w:p>
        </w:tc>
        <w:tc>
          <w:tcPr>
            <w:tcW w:w="642" w:type="pct"/>
            <w:vAlign w:val="center"/>
          </w:tcPr>
          <w:p w14:paraId="74392AA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351 (1.8%)</w:t>
            </w:r>
          </w:p>
        </w:tc>
        <w:tc>
          <w:tcPr>
            <w:tcW w:w="642" w:type="pct"/>
            <w:vAlign w:val="center"/>
          </w:tcPr>
          <w:p w14:paraId="5025D6FB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413 (2.1%)</w:t>
            </w:r>
          </w:p>
        </w:tc>
        <w:tc>
          <w:tcPr>
            <w:tcW w:w="642" w:type="pct"/>
            <w:vAlign w:val="center"/>
          </w:tcPr>
          <w:p w14:paraId="56B52955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439 (2.2%)</w:t>
            </w:r>
          </w:p>
        </w:tc>
      </w:tr>
      <w:tr w:rsidR="003415E2" w:rsidRPr="00446BDF" w14:paraId="2440B823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2CD215A5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Respiratory Tract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1295152A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194 (3.2%)</w:t>
            </w:r>
          </w:p>
        </w:tc>
        <w:tc>
          <w:tcPr>
            <w:tcW w:w="642" w:type="pct"/>
            <w:vAlign w:val="center"/>
          </w:tcPr>
          <w:p w14:paraId="7C59A4E6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651 (10.2%)</w:t>
            </w:r>
          </w:p>
        </w:tc>
        <w:tc>
          <w:tcPr>
            <w:tcW w:w="642" w:type="pct"/>
            <w:vAlign w:val="center"/>
          </w:tcPr>
          <w:p w14:paraId="1618180C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775 (11.8%)</w:t>
            </w:r>
          </w:p>
        </w:tc>
        <w:tc>
          <w:tcPr>
            <w:tcW w:w="642" w:type="pct"/>
            <w:vAlign w:val="center"/>
          </w:tcPr>
          <w:p w14:paraId="355F4E0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803 (12.1%)</w:t>
            </w:r>
          </w:p>
        </w:tc>
      </w:tr>
      <w:tr w:rsidR="003415E2" w:rsidRPr="00446BDF" w14:paraId="181ABD34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61E4D188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Skin and Connective Tissue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22473ECD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12 (0.2%)</w:t>
            </w:r>
          </w:p>
        </w:tc>
        <w:tc>
          <w:tcPr>
            <w:tcW w:w="642" w:type="pct"/>
            <w:vAlign w:val="center"/>
          </w:tcPr>
          <w:p w14:paraId="224103A2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29 (0.6%)</w:t>
            </w:r>
          </w:p>
        </w:tc>
        <w:tc>
          <w:tcPr>
            <w:tcW w:w="642" w:type="pct"/>
            <w:vAlign w:val="center"/>
          </w:tcPr>
          <w:p w14:paraId="33352A6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40 (0.8%)</w:t>
            </w:r>
          </w:p>
        </w:tc>
        <w:tc>
          <w:tcPr>
            <w:tcW w:w="642" w:type="pct"/>
            <w:vAlign w:val="center"/>
          </w:tcPr>
          <w:p w14:paraId="19A989D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39 (0.7%)</w:t>
            </w:r>
          </w:p>
        </w:tc>
      </w:tr>
      <w:tr w:rsidR="003415E2" w:rsidRPr="00446BDF" w14:paraId="7CCE4086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54D9262B" w14:textId="0424D4CC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Vir</w:t>
            </w:r>
            <w:r w:rsidR="00E67A82" w:rsidRPr="00446BDF">
              <w:rPr>
                <w:sz w:val="18"/>
                <w:szCs w:val="18"/>
                <w:lang w:val="en-US"/>
              </w:rPr>
              <w:t>al</w:t>
            </w:r>
            <w:r w:rsidRPr="00446BDF">
              <w:rPr>
                <w:sz w:val="18"/>
                <w:szCs w:val="18"/>
                <w:lang w:val="en-US"/>
              </w:rPr>
              <w:t xml:space="preserve"> Diseases</w:t>
            </w:r>
          </w:p>
        </w:tc>
        <w:tc>
          <w:tcPr>
            <w:tcW w:w="641" w:type="pct"/>
            <w:tcBorders>
              <w:left w:val="single" w:sz="4" w:space="0" w:color="auto"/>
            </w:tcBorders>
            <w:vAlign w:val="center"/>
          </w:tcPr>
          <w:p w14:paraId="299A14E4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172 (8.2%)</w:t>
            </w:r>
          </w:p>
        </w:tc>
        <w:tc>
          <w:tcPr>
            <w:tcW w:w="642" w:type="pct"/>
            <w:vAlign w:val="center"/>
          </w:tcPr>
          <w:p w14:paraId="17203D6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551 (22.6%)</w:t>
            </w:r>
          </w:p>
        </w:tc>
        <w:tc>
          <w:tcPr>
            <w:tcW w:w="642" w:type="pct"/>
            <w:vAlign w:val="center"/>
          </w:tcPr>
          <w:p w14:paraId="4AE16D31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627 (25.1%)</w:t>
            </w:r>
          </w:p>
        </w:tc>
        <w:tc>
          <w:tcPr>
            <w:tcW w:w="642" w:type="pct"/>
            <w:vAlign w:val="center"/>
          </w:tcPr>
          <w:p w14:paraId="4526CE89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633 (25.5%)</w:t>
            </w:r>
          </w:p>
        </w:tc>
      </w:tr>
      <w:tr w:rsidR="003415E2" w:rsidRPr="00446BDF" w14:paraId="5A77603A" w14:textId="77777777" w:rsidTr="00AE00E6">
        <w:tc>
          <w:tcPr>
            <w:tcW w:w="2433" w:type="pct"/>
            <w:tcBorders>
              <w:right w:val="single" w:sz="4" w:space="0" w:color="auto"/>
            </w:tcBorders>
            <w:vAlign w:val="bottom"/>
          </w:tcPr>
          <w:p w14:paraId="0F8E3DF5" w14:textId="77777777" w:rsidR="003415E2" w:rsidRPr="00446BDF" w:rsidRDefault="003415E2" w:rsidP="003B7C05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446BDF">
              <w:rPr>
                <w:sz w:val="18"/>
                <w:szCs w:val="18"/>
                <w:lang w:val="en-US"/>
              </w:rPr>
              <w:t>Wounds and Injuries</w:t>
            </w:r>
          </w:p>
        </w:tc>
        <w:tc>
          <w:tcPr>
            <w:tcW w:w="64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EB9B6C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20 (0.7%)</w:t>
            </w:r>
          </w:p>
        </w:tc>
        <w:tc>
          <w:tcPr>
            <w:tcW w:w="642" w:type="pct"/>
            <w:vAlign w:val="center"/>
          </w:tcPr>
          <w:p w14:paraId="0FB659A6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49 (1.6%)</w:t>
            </w:r>
          </w:p>
        </w:tc>
        <w:tc>
          <w:tcPr>
            <w:tcW w:w="642" w:type="pct"/>
            <w:vAlign w:val="center"/>
          </w:tcPr>
          <w:p w14:paraId="6199FFDB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62 (2.0%)</w:t>
            </w:r>
          </w:p>
        </w:tc>
        <w:tc>
          <w:tcPr>
            <w:tcW w:w="642" w:type="pct"/>
            <w:vAlign w:val="center"/>
          </w:tcPr>
          <w:p w14:paraId="6BF96A7E" w14:textId="77777777" w:rsidR="003415E2" w:rsidRPr="00446BDF" w:rsidRDefault="003415E2" w:rsidP="003B7C05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446BDF">
              <w:rPr>
                <w:sz w:val="16"/>
                <w:szCs w:val="16"/>
                <w:lang w:val="en-US"/>
              </w:rPr>
              <w:t>63 (2.1%)</w:t>
            </w:r>
          </w:p>
        </w:tc>
      </w:tr>
    </w:tbl>
    <w:p w14:paraId="30B38609" w14:textId="521FD367" w:rsidR="003415E2" w:rsidRPr="00446BDF" w:rsidRDefault="00232ADE" w:rsidP="003B7C05">
      <w:pPr>
        <w:rPr>
          <w:sz w:val="18"/>
          <w:szCs w:val="18"/>
        </w:rPr>
      </w:pPr>
      <w:bookmarkStart w:id="0" w:name="_Hlk71538107"/>
      <w:r w:rsidRPr="00446BDF">
        <w:rPr>
          <w:sz w:val="18"/>
          <w:szCs w:val="18"/>
        </w:rPr>
        <w:t xml:space="preserve">CTDB, ClinicalTrials.gov database. </w:t>
      </w:r>
    </w:p>
    <w:bookmarkEnd w:id="0"/>
    <w:p w14:paraId="7229CF7F" w14:textId="77777777" w:rsidR="003415E2" w:rsidRPr="00446BDF" w:rsidRDefault="003415E2" w:rsidP="003B7C05"/>
    <w:p w14:paraId="580E3124" w14:textId="77777777" w:rsidR="005D31F5" w:rsidRPr="00446BDF" w:rsidRDefault="005D31F5" w:rsidP="003B7C05"/>
    <w:sectPr w:rsidR="005D31F5" w:rsidRPr="00446BDF" w:rsidSect="002F37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5E2"/>
    <w:rsid w:val="000C3FF8"/>
    <w:rsid w:val="000D21AC"/>
    <w:rsid w:val="000F4716"/>
    <w:rsid w:val="00232ADE"/>
    <w:rsid w:val="00242787"/>
    <w:rsid w:val="00335EA3"/>
    <w:rsid w:val="003415E2"/>
    <w:rsid w:val="003B7C05"/>
    <w:rsid w:val="00446BDF"/>
    <w:rsid w:val="005D31F5"/>
    <w:rsid w:val="005D704A"/>
    <w:rsid w:val="00A576F5"/>
    <w:rsid w:val="00BC4B19"/>
    <w:rsid w:val="00C3098C"/>
    <w:rsid w:val="00CA7504"/>
    <w:rsid w:val="00D71C94"/>
    <w:rsid w:val="00DD3CE8"/>
    <w:rsid w:val="00E67A82"/>
    <w:rsid w:val="00FA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938C8"/>
  <w15:chartTrackingRefBased/>
  <w15:docId w15:val="{F7654C3A-4872-49C4-987B-D8C978D5C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5E2"/>
    <w:pPr>
      <w:spacing w:before="120" w:after="120" w:line="360" w:lineRule="auto"/>
      <w:jc w:val="both"/>
    </w:pPr>
    <w:rPr>
      <w:rFonts w:ascii="Arial" w:eastAsia="Calibri" w:hAnsi="Arial" w:cs="Times New Roman"/>
      <w:spacing w:val="-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3415E2"/>
    <w:pPr>
      <w:spacing w:line="276" w:lineRule="auto"/>
    </w:pPr>
    <w:rPr>
      <w:color w:val="404040"/>
      <w:spacing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15E2"/>
    <w:rPr>
      <w:rFonts w:ascii="Arial" w:eastAsia="Calibri" w:hAnsi="Arial" w:cs="Times New Roman"/>
      <w:color w:val="404040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3415E2"/>
    <w:rPr>
      <w:sz w:val="16"/>
      <w:szCs w:val="16"/>
    </w:rPr>
  </w:style>
  <w:style w:type="table" w:styleId="TableGridLight">
    <w:name w:val="Grid Table Light"/>
    <w:basedOn w:val="TableNormal"/>
    <w:uiPriority w:val="40"/>
    <w:rsid w:val="003415E2"/>
    <w:pPr>
      <w:spacing w:after="0" w:line="240" w:lineRule="auto"/>
      <w:jc w:val="both"/>
    </w:pPr>
    <w:rPr>
      <w:sz w:val="24"/>
      <w:szCs w:val="24"/>
      <w:lang w:val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1AC"/>
    <w:pPr>
      <w:spacing w:line="240" w:lineRule="auto"/>
    </w:pPr>
    <w:rPr>
      <w:b/>
      <w:bCs/>
      <w:color w:val="auto"/>
      <w:spacing w:val="-1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1AC"/>
    <w:rPr>
      <w:rFonts w:ascii="Arial" w:eastAsia="Calibri" w:hAnsi="Arial" w:cs="Times New Roman"/>
      <w:b/>
      <w:bCs/>
      <w:color w:val="404040"/>
      <w:spacing w:val="-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ApotheCom</dc:creator>
  <cp:keywords/>
  <dc:description/>
  <cp:lastModifiedBy>ApotheCom</cp:lastModifiedBy>
  <cp:revision>2</cp:revision>
  <dcterms:created xsi:type="dcterms:W3CDTF">2021-05-27T20:19:00Z</dcterms:created>
  <dcterms:modified xsi:type="dcterms:W3CDTF">2021-05-27T20:19:00Z</dcterms:modified>
</cp:coreProperties>
</file>