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830BC" w14:textId="76075074" w:rsidR="006233E4" w:rsidRPr="001815AF" w:rsidRDefault="006233E4" w:rsidP="00554C03">
      <w:pPr>
        <w:spacing w:before="0" w:after="0"/>
        <w:rPr>
          <w:lang w:eastAsia="en-GB"/>
        </w:rPr>
      </w:pPr>
      <w:r w:rsidRPr="001815AF">
        <w:rPr>
          <w:b/>
          <w:bCs/>
        </w:rPr>
        <w:t xml:space="preserve">Additional file </w:t>
      </w:r>
      <w:r w:rsidR="00822E32" w:rsidRPr="001815AF">
        <w:rPr>
          <w:b/>
          <w:bCs/>
        </w:rPr>
        <w:t>1</w:t>
      </w:r>
      <w:r w:rsidRPr="001815AF">
        <w:rPr>
          <w:b/>
          <w:bCs/>
        </w:rPr>
        <w:t>.</w:t>
      </w:r>
      <w:r w:rsidRPr="001815AF">
        <w:t xml:space="preserve"> Number of </w:t>
      </w:r>
      <w:r w:rsidR="00583D34" w:rsidRPr="001815AF">
        <w:t xml:space="preserve">“missing” </w:t>
      </w:r>
      <w:r w:rsidRPr="001815AF">
        <w:t>ongoing non</w:t>
      </w:r>
      <w:r w:rsidR="00151604" w:rsidRPr="001815AF">
        <w:t>-</w:t>
      </w:r>
      <w:r w:rsidRPr="001815AF">
        <w:t>COVID</w:t>
      </w:r>
      <w:r w:rsidR="00151604" w:rsidRPr="001815AF">
        <w:t>-</w:t>
      </w:r>
      <w:r w:rsidRPr="001815AF">
        <w:t xml:space="preserve">19 trials </w:t>
      </w:r>
      <w:r w:rsidR="00583D34" w:rsidRPr="001815AF">
        <w:t>based on the</w:t>
      </w:r>
      <w:r w:rsidRPr="001815AF">
        <w:t xml:space="preserve"> ETS model forecast </w:t>
      </w:r>
      <w:r w:rsidR="00583D34" w:rsidRPr="001815AF">
        <w:t xml:space="preserve">for </w:t>
      </w:r>
      <w:r w:rsidRPr="001815AF">
        <w:t>2020</w:t>
      </w:r>
    </w:p>
    <w:tbl>
      <w:tblPr>
        <w:tblStyle w:val="TableGridLight"/>
        <w:tblW w:w="10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0"/>
        <w:gridCol w:w="1651"/>
        <w:gridCol w:w="1639"/>
        <w:gridCol w:w="1639"/>
        <w:gridCol w:w="1796"/>
      </w:tblGrid>
      <w:tr w:rsidR="006233E4" w:rsidRPr="001815AF" w14:paraId="06B4C36E" w14:textId="77777777" w:rsidTr="00554C03">
        <w:tc>
          <w:tcPr>
            <w:tcW w:w="3530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C25EE9" w14:textId="77777777" w:rsidR="006233E4" w:rsidRPr="001815AF" w:rsidRDefault="006233E4" w:rsidP="00554C03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815AF">
              <w:rPr>
                <w:b/>
                <w:bCs/>
                <w:sz w:val="20"/>
                <w:szCs w:val="20"/>
                <w:lang w:val="en-US"/>
              </w:rPr>
              <w:t>Health domain</w:t>
            </w:r>
          </w:p>
        </w:tc>
        <w:tc>
          <w:tcPr>
            <w:tcW w:w="67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593EB40" w14:textId="1BE59FBC" w:rsidR="006233E4" w:rsidRPr="001815AF" w:rsidRDefault="009B3D2E" w:rsidP="00554C03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815AF">
              <w:rPr>
                <w:b/>
                <w:bCs/>
                <w:sz w:val="20"/>
                <w:szCs w:val="20"/>
                <w:lang w:val="en-US"/>
              </w:rPr>
              <w:t xml:space="preserve">Difference </w:t>
            </w:r>
            <w:r w:rsidR="00C8036C" w:rsidRPr="001815AF">
              <w:rPr>
                <w:b/>
                <w:bCs/>
                <w:sz w:val="20"/>
                <w:szCs w:val="20"/>
                <w:lang w:val="en-US"/>
              </w:rPr>
              <w:t>between</w:t>
            </w:r>
            <w:r w:rsidRPr="001815AF">
              <w:rPr>
                <w:b/>
                <w:bCs/>
                <w:sz w:val="20"/>
                <w:szCs w:val="20"/>
                <w:lang w:val="en-US"/>
              </w:rPr>
              <w:t xml:space="preserve"> the n</w:t>
            </w:r>
            <w:r w:rsidR="006233E4" w:rsidRPr="001815AF">
              <w:rPr>
                <w:b/>
                <w:bCs/>
                <w:sz w:val="20"/>
                <w:szCs w:val="20"/>
                <w:lang w:val="en-US"/>
              </w:rPr>
              <w:t xml:space="preserve">umber of </w:t>
            </w:r>
            <w:r w:rsidR="00CE19DD" w:rsidRPr="001815AF">
              <w:rPr>
                <w:b/>
                <w:bCs/>
                <w:sz w:val="20"/>
                <w:szCs w:val="20"/>
                <w:lang w:val="en-US"/>
              </w:rPr>
              <w:t xml:space="preserve">actual </w:t>
            </w:r>
            <w:r w:rsidR="006233E4" w:rsidRPr="001815AF">
              <w:rPr>
                <w:b/>
                <w:bCs/>
                <w:sz w:val="20"/>
                <w:szCs w:val="20"/>
                <w:lang w:val="en-US"/>
              </w:rPr>
              <w:t>ongoing studies</w:t>
            </w:r>
            <w:r w:rsidRPr="001815AF">
              <w:rPr>
                <w:b/>
                <w:bCs/>
                <w:sz w:val="20"/>
                <w:szCs w:val="20"/>
                <w:lang w:val="en-US"/>
              </w:rPr>
              <w:t xml:space="preserve"> vs. forecasted values, N (% of all </w:t>
            </w:r>
            <w:r w:rsidR="00583D34" w:rsidRPr="001815AF">
              <w:rPr>
                <w:b/>
                <w:bCs/>
                <w:sz w:val="20"/>
                <w:szCs w:val="20"/>
                <w:lang w:val="en-US"/>
              </w:rPr>
              <w:t xml:space="preserve">predicted </w:t>
            </w:r>
            <w:r w:rsidRPr="001815AF">
              <w:rPr>
                <w:b/>
                <w:bCs/>
                <w:sz w:val="20"/>
                <w:szCs w:val="20"/>
                <w:lang w:val="en-US"/>
              </w:rPr>
              <w:t>studies per quarter)</w:t>
            </w:r>
            <w:r w:rsidR="00F7132F" w:rsidRPr="001815AF">
              <w:rPr>
                <w:b/>
                <w:bCs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583D34" w:rsidRPr="001815AF" w14:paraId="5A149A47" w14:textId="77777777" w:rsidTr="00781ACA">
        <w:trPr>
          <w:trHeight w:val="80"/>
        </w:trPr>
        <w:tc>
          <w:tcPr>
            <w:tcW w:w="3530" w:type="dxa"/>
            <w:vMerge/>
            <w:tcBorders>
              <w:top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5FBA09E2" w14:textId="77777777" w:rsidR="006233E4" w:rsidRPr="001815AF" w:rsidRDefault="006233E4" w:rsidP="00554C03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651" w:type="dxa"/>
            <w:tcBorders>
              <w:top w:val="nil"/>
              <w:left w:val="single" w:sz="4" w:space="0" w:color="auto"/>
              <w:bottom w:val="double" w:sz="4" w:space="0" w:color="auto"/>
            </w:tcBorders>
            <w:vAlign w:val="center"/>
          </w:tcPr>
          <w:p w14:paraId="7F1A0268" w14:textId="7BD61E24" w:rsidR="006233E4" w:rsidRPr="001815AF" w:rsidRDefault="006233E4" w:rsidP="00554C03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815AF">
              <w:rPr>
                <w:b/>
                <w:bCs/>
                <w:sz w:val="20"/>
                <w:szCs w:val="20"/>
                <w:lang w:val="en-US"/>
              </w:rPr>
              <w:t>2020</w:t>
            </w:r>
            <w:r w:rsidR="009B3D2E" w:rsidRPr="001815AF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1815AF">
              <w:rPr>
                <w:b/>
                <w:bCs/>
                <w:sz w:val="20"/>
                <w:szCs w:val="20"/>
                <w:lang w:val="en-US"/>
              </w:rPr>
              <w:t>Q1</w:t>
            </w:r>
          </w:p>
        </w:tc>
        <w:tc>
          <w:tcPr>
            <w:tcW w:w="1639" w:type="dxa"/>
            <w:tcBorders>
              <w:top w:val="nil"/>
              <w:bottom w:val="double" w:sz="4" w:space="0" w:color="auto"/>
            </w:tcBorders>
            <w:vAlign w:val="center"/>
          </w:tcPr>
          <w:p w14:paraId="23DB51C9" w14:textId="604F376C" w:rsidR="006233E4" w:rsidRPr="001815AF" w:rsidRDefault="006233E4" w:rsidP="00554C03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815AF">
              <w:rPr>
                <w:b/>
                <w:bCs/>
                <w:sz w:val="20"/>
                <w:szCs w:val="20"/>
                <w:lang w:val="en-US"/>
              </w:rPr>
              <w:t>2020</w:t>
            </w:r>
            <w:r w:rsidR="009B3D2E" w:rsidRPr="001815AF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1815AF">
              <w:rPr>
                <w:b/>
                <w:bCs/>
                <w:sz w:val="20"/>
                <w:szCs w:val="20"/>
                <w:lang w:val="en-US"/>
              </w:rPr>
              <w:t>Q2</w:t>
            </w:r>
          </w:p>
        </w:tc>
        <w:tc>
          <w:tcPr>
            <w:tcW w:w="1639" w:type="dxa"/>
            <w:tcBorders>
              <w:top w:val="nil"/>
              <w:bottom w:val="double" w:sz="4" w:space="0" w:color="auto"/>
            </w:tcBorders>
            <w:vAlign w:val="center"/>
          </w:tcPr>
          <w:p w14:paraId="2FDD4531" w14:textId="5A0E1D3F" w:rsidR="006233E4" w:rsidRPr="001815AF" w:rsidRDefault="006233E4" w:rsidP="00554C03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815AF">
              <w:rPr>
                <w:b/>
                <w:bCs/>
                <w:sz w:val="20"/>
                <w:szCs w:val="20"/>
                <w:lang w:val="en-US"/>
              </w:rPr>
              <w:t>2020</w:t>
            </w:r>
            <w:r w:rsidR="009B3D2E" w:rsidRPr="001815AF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1815AF">
              <w:rPr>
                <w:b/>
                <w:bCs/>
                <w:sz w:val="20"/>
                <w:szCs w:val="20"/>
                <w:lang w:val="en-US"/>
              </w:rPr>
              <w:t>Q3</w:t>
            </w:r>
          </w:p>
        </w:tc>
        <w:tc>
          <w:tcPr>
            <w:tcW w:w="1796" w:type="dxa"/>
            <w:tcBorders>
              <w:top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56B432FB" w14:textId="6A84F31E" w:rsidR="006233E4" w:rsidRPr="001815AF" w:rsidRDefault="006233E4" w:rsidP="00554C03">
            <w:pPr>
              <w:spacing w:before="0" w:after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815AF">
              <w:rPr>
                <w:b/>
                <w:bCs/>
                <w:sz w:val="20"/>
                <w:szCs w:val="20"/>
                <w:lang w:val="en-US"/>
              </w:rPr>
              <w:t>2020</w:t>
            </w:r>
            <w:r w:rsidR="009B3D2E" w:rsidRPr="001815AF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1815AF">
              <w:rPr>
                <w:b/>
                <w:bCs/>
                <w:sz w:val="20"/>
                <w:szCs w:val="20"/>
                <w:lang w:val="en-US"/>
              </w:rPr>
              <w:t>Q4</w:t>
            </w:r>
          </w:p>
        </w:tc>
      </w:tr>
      <w:tr w:rsidR="00583D34" w:rsidRPr="001815AF" w14:paraId="657E13EE" w14:textId="77777777" w:rsidTr="00554C03">
        <w:tc>
          <w:tcPr>
            <w:tcW w:w="3530" w:type="dxa"/>
            <w:tcBorders>
              <w:top w:val="double" w:sz="4" w:space="0" w:color="auto"/>
              <w:right w:val="single" w:sz="4" w:space="0" w:color="auto"/>
            </w:tcBorders>
          </w:tcPr>
          <w:p w14:paraId="636F807D" w14:textId="5BBDE6B4" w:rsidR="006233E4" w:rsidRPr="001815AF" w:rsidRDefault="009B3D2E" w:rsidP="00554C03">
            <w:pPr>
              <w:spacing w:before="0" w:after="0"/>
              <w:rPr>
                <w:b/>
                <w:bCs/>
                <w:sz w:val="18"/>
                <w:szCs w:val="18"/>
                <w:lang w:val="en-US"/>
              </w:rPr>
            </w:pPr>
            <w:r w:rsidRPr="001815AF">
              <w:rPr>
                <w:b/>
                <w:bCs/>
                <w:sz w:val="18"/>
                <w:szCs w:val="18"/>
                <w:lang w:val="en-US"/>
              </w:rPr>
              <w:t xml:space="preserve">Total number of studies </w:t>
            </w:r>
            <w:r w:rsidR="00232F99" w:rsidRPr="001815AF">
              <w:rPr>
                <w:b/>
                <w:bCs/>
                <w:sz w:val="18"/>
                <w:szCs w:val="18"/>
                <w:lang w:val="en-US"/>
              </w:rPr>
              <w:t xml:space="preserve">predicted </w:t>
            </w:r>
            <w:r w:rsidRPr="001815AF">
              <w:rPr>
                <w:b/>
                <w:bCs/>
                <w:sz w:val="18"/>
                <w:szCs w:val="18"/>
                <w:lang w:val="en-US"/>
              </w:rPr>
              <w:t>per quarter based o</w:t>
            </w:r>
            <w:r w:rsidR="00232F99" w:rsidRPr="001815AF">
              <w:rPr>
                <w:b/>
                <w:bCs/>
                <w:sz w:val="18"/>
                <w:szCs w:val="18"/>
                <w:lang w:val="en-US"/>
              </w:rPr>
              <w:t>n ETS model</w:t>
            </w:r>
          </w:p>
        </w:tc>
        <w:tc>
          <w:tcPr>
            <w:tcW w:w="1651" w:type="dxa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14:paraId="47A12E6D" w14:textId="455A8A55" w:rsidR="006233E4" w:rsidRPr="001815AF" w:rsidRDefault="001F719F" w:rsidP="00554C03">
            <w:pPr>
              <w:spacing w:before="0" w:after="0"/>
              <w:ind w:right="135"/>
              <w:jc w:val="right"/>
              <w:rPr>
                <w:rFonts w:cs="Arial"/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80201</w:t>
            </w:r>
            <w:r w:rsidR="006233E4" w:rsidRPr="001815AF">
              <w:rPr>
                <w:sz w:val="16"/>
                <w:szCs w:val="16"/>
                <w:lang w:val="en-US"/>
              </w:rPr>
              <w:t xml:space="preserve"> (</w:t>
            </w:r>
            <w:r w:rsidRPr="001815AF">
              <w:rPr>
                <w:sz w:val="16"/>
                <w:szCs w:val="16"/>
                <w:lang w:val="en-US"/>
              </w:rPr>
              <w:t>100</w:t>
            </w:r>
            <w:r w:rsidR="006233E4" w:rsidRPr="001815AF">
              <w:rPr>
                <w:sz w:val="16"/>
                <w:szCs w:val="16"/>
                <w:lang w:val="en-US"/>
              </w:rPr>
              <w:t>%)</w:t>
            </w:r>
          </w:p>
        </w:tc>
        <w:tc>
          <w:tcPr>
            <w:tcW w:w="1639" w:type="dxa"/>
            <w:tcBorders>
              <w:top w:val="double" w:sz="4" w:space="0" w:color="auto"/>
            </w:tcBorders>
            <w:vAlign w:val="center"/>
          </w:tcPr>
          <w:p w14:paraId="0D7EDE79" w14:textId="3D79C861" w:rsidR="006233E4" w:rsidRPr="001815AF" w:rsidRDefault="001F719F" w:rsidP="00554C03">
            <w:pPr>
              <w:spacing w:before="0" w:after="0"/>
              <w:ind w:right="135"/>
              <w:jc w:val="right"/>
              <w:rPr>
                <w:rFonts w:cs="Arial"/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81132</w:t>
            </w:r>
            <w:r w:rsidR="006233E4" w:rsidRPr="001815AF">
              <w:rPr>
                <w:sz w:val="16"/>
                <w:szCs w:val="16"/>
                <w:lang w:val="en-US"/>
              </w:rPr>
              <w:t xml:space="preserve"> (</w:t>
            </w:r>
            <w:r w:rsidRPr="001815AF">
              <w:rPr>
                <w:sz w:val="16"/>
                <w:szCs w:val="16"/>
                <w:lang w:val="en-US"/>
              </w:rPr>
              <w:t>100</w:t>
            </w:r>
            <w:r w:rsidR="006233E4" w:rsidRPr="001815AF">
              <w:rPr>
                <w:sz w:val="16"/>
                <w:szCs w:val="16"/>
                <w:lang w:val="en-US"/>
              </w:rPr>
              <w:t>%)</w:t>
            </w:r>
          </w:p>
        </w:tc>
        <w:tc>
          <w:tcPr>
            <w:tcW w:w="1639" w:type="dxa"/>
            <w:tcBorders>
              <w:top w:val="double" w:sz="4" w:space="0" w:color="auto"/>
            </w:tcBorders>
            <w:vAlign w:val="center"/>
          </w:tcPr>
          <w:p w14:paraId="57297763" w14:textId="0409017E" w:rsidR="006233E4" w:rsidRPr="001815AF" w:rsidRDefault="001F719F" w:rsidP="00554C03">
            <w:pPr>
              <w:spacing w:before="0" w:after="0"/>
              <w:ind w:right="135"/>
              <w:jc w:val="right"/>
              <w:rPr>
                <w:rFonts w:cs="Arial"/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81219</w:t>
            </w:r>
            <w:r w:rsidR="006233E4" w:rsidRPr="001815AF">
              <w:rPr>
                <w:sz w:val="16"/>
                <w:szCs w:val="16"/>
                <w:lang w:val="en-US"/>
              </w:rPr>
              <w:t xml:space="preserve"> (</w:t>
            </w:r>
            <w:r w:rsidRPr="001815AF">
              <w:rPr>
                <w:sz w:val="16"/>
                <w:szCs w:val="16"/>
                <w:lang w:val="en-US"/>
              </w:rPr>
              <w:t>100</w:t>
            </w:r>
            <w:r w:rsidR="006233E4" w:rsidRPr="001815AF">
              <w:rPr>
                <w:sz w:val="16"/>
                <w:szCs w:val="16"/>
                <w:lang w:val="en-US"/>
              </w:rPr>
              <w:t>%)</w:t>
            </w:r>
          </w:p>
        </w:tc>
        <w:tc>
          <w:tcPr>
            <w:tcW w:w="1796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6CD5E9FA" w14:textId="688AE07D" w:rsidR="006233E4" w:rsidRPr="001815AF" w:rsidRDefault="001F719F" w:rsidP="00554C03">
            <w:pPr>
              <w:spacing w:before="0" w:after="0"/>
              <w:ind w:right="135"/>
              <w:jc w:val="right"/>
              <w:rPr>
                <w:rFonts w:cs="Arial"/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81424</w:t>
            </w:r>
            <w:r w:rsidR="006233E4" w:rsidRPr="001815AF">
              <w:rPr>
                <w:sz w:val="16"/>
                <w:szCs w:val="16"/>
                <w:lang w:val="en-US"/>
              </w:rPr>
              <w:t xml:space="preserve"> </w:t>
            </w:r>
            <w:r w:rsidRPr="001815AF">
              <w:rPr>
                <w:sz w:val="16"/>
                <w:szCs w:val="16"/>
                <w:lang w:val="en-US"/>
              </w:rPr>
              <w:t>100</w:t>
            </w:r>
            <w:r w:rsidR="006233E4" w:rsidRPr="001815AF">
              <w:rPr>
                <w:sz w:val="16"/>
                <w:szCs w:val="16"/>
                <w:lang w:val="en-US"/>
              </w:rPr>
              <w:t>%)</w:t>
            </w:r>
          </w:p>
        </w:tc>
      </w:tr>
      <w:tr w:rsidR="00E42EC3" w:rsidRPr="001815AF" w14:paraId="1648026F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756ED845" w14:textId="1EF9783D" w:rsidR="00E42EC3" w:rsidRPr="001815AF" w:rsidRDefault="00E42EC3" w:rsidP="00E42EC3">
            <w:pPr>
              <w:spacing w:before="0" w:after="0"/>
              <w:jc w:val="left"/>
              <w:rPr>
                <w:b/>
                <w:bCs/>
                <w:sz w:val="18"/>
                <w:szCs w:val="18"/>
                <w:lang w:val="en-US"/>
              </w:rPr>
            </w:pPr>
            <w:r w:rsidRPr="001815AF">
              <w:rPr>
                <w:b/>
                <w:bCs/>
                <w:sz w:val="18"/>
                <w:szCs w:val="18"/>
                <w:lang w:val="en-US"/>
              </w:rPr>
              <w:t>All non</w:t>
            </w:r>
            <w:r w:rsidR="00151604" w:rsidRPr="001815AF">
              <w:rPr>
                <w:b/>
                <w:bCs/>
                <w:sz w:val="18"/>
                <w:szCs w:val="18"/>
                <w:lang w:val="en-US"/>
              </w:rPr>
              <w:t>-</w:t>
            </w:r>
            <w:r w:rsidRPr="001815AF">
              <w:rPr>
                <w:b/>
                <w:bCs/>
                <w:sz w:val="18"/>
                <w:szCs w:val="18"/>
                <w:lang w:val="en-US"/>
              </w:rPr>
              <w:t>COVID</w:t>
            </w:r>
            <w:r w:rsidR="00151604" w:rsidRPr="001815AF">
              <w:rPr>
                <w:b/>
                <w:bCs/>
                <w:sz w:val="18"/>
                <w:szCs w:val="18"/>
                <w:lang w:val="en-US"/>
              </w:rPr>
              <w:t>-</w:t>
            </w:r>
            <w:r w:rsidRPr="001815AF">
              <w:rPr>
                <w:b/>
                <w:bCs/>
                <w:sz w:val="18"/>
                <w:szCs w:val="18"/>
                <w:lang w:val="en-US"/>
              </w:rPr>
              <w:t>19 studies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center"/>
          </w:tcPr>
          <w:p w14:paraId="386BC694" w14:textId="32D31193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rFonts w:cs="Arial"/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2689 (−3.4%)</w:t>
            </w:r>
          </w:p>
        </w:tc>
        <w:tc>
          <w:tcPr>
            <w:tcW w:w="1639" w:type="dxa"/>
            <w:vAlign w:val="bottom"/>
          </w:tcPr>
          <w:p w14:paraId="19ADEAD1" w14:textId="6655F909" w:rsidR="00E42EC3" w:rsidRPr="001815AF" w:rsidRDefault="00151604" w:rsidP="003208F8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4733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5.8%)</w:t>
            </w:r>
          </w:p>
        </w:tc>
        <w:tc>
          <w:tcPr>
            <w:tcW w:w="1639" w:type="dxa"/>
            <w:vAlign w:val="bottom"/>
          </w:tcPr>
          <w:p w14:paraId="40161F9B" w14:textId="0B3FB6CC" w:rsidR="00E42EC3" w:rsidRPr="001815AF" w:rsidRDefault="00151604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4463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5.5%)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2BC74252" w14:textId="2654727F" w:rsidR="00E42EC3" w:rsidRPr="001815AF" w:rsidRDefault="00151604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4391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5.4%)</w:t>
            </w:r>
          </w:p>
        </w:tc>
      </w:tr>
      <w:tr w:rsidR="00E42EC3" w:rsidRPr="001815AF" w14:paraId="3EABD70F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30CF71E5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Bacterial Infections and Mycoses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21512F44" w14:textId="6CFB6ECE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163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6.1%)</w:t>
            </w:r>
          </w:p>
        </w:tc>
        <w:tc>
          <w:tcPr>
            <w:tcW w:w="1639" w:type="dxa"/>
            <w:vAlign w:val="bottom"/>
          </w:tcPr>
          <w:p w14:paraId="428F0BB6" w14:textId="04751B69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250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9.3%)</w:t>
            </w:r>
          </w:p>
        </w:tc>
        <w:tc>
          <w:tcPr>
            <w:tcW w:w="1639" w:type="dxa"/>
            <w:vAlign w:val="bottom"/>
          </w:tcPr>
          <w:p w14:paraId="04C10DF4" w14:textId="240744F7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253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9.4%)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7D40EC08" w14:textId="27A4FC86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304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11.2%)</w:t>
            </w:r>
          </w:p>
        </w:tc>
      </w:tr>
      <w:tr w:rsidR="00E42EC3" w:rsidRPr="001815AF" w14:paraId="4237C499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61662081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Behavior and Behavior Mechanisms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25F9EEB3" w14:textId="459D3AE3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60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2.6%)</w:t>
            </w:r>
          </w:p>
        </w:tc>
        <w:tc>
          <w:tcPr>
            <w:tcW w:w="1639" w:type="dxa"/>
            <w:vAlign w:val="bottom"/>
          </w:tcPr>
          <w:p w14:paraId="004709D8" w14:textId="31A91C6D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125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5.3%)</w:t>
            </w:r>
          </w:p>
        </w:tc>
        <w:tc>
          <w:tcPr>
            <w:tcW w:w="1639" w:type="dxa"/>
            <w:vAlign w:val="bottom"/>
          </w:tcPr>
          <w:p w14:paraId="40515B84" w14:textId="7C8F2388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140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5.9%)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0C30ABB4" w14:textId="33207B78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160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6.6%)</w:t>
            </w:r>
          </w:p>
        </w:tc>
      </w:tr>
      <w:tr w:rsidR="00E42EC3" w:rsidRPr="001815AF" w14:paraId="286381F2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707E01DD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Cardiovascular Diseases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2D1A64C9" w14:textId="57655A83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474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4.5%)</w:t>
            </w:r>
          </w:p>
        </w:tc>
        <w:tc>
          <w:tcPr>
            <w:tcW w:w="1639" w:type="dxa"/>
            <w:vAlign w:val="bottom"/>
          </w:tcPr>
          <w:p w14:paraId="68994344" w14:textId="3E0E79BC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604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5.8%)</w:t>
            </w:r>
          </w:p>
        </w:tc>
        <w:tc>
          <w:tcPr>
            <w:tcW w:w="1639" w:type="dxa"/>
            <w:vAlign w:val="bottom"/>
          </w:tcPr>
          <w:p w14:paraId="5AB67625" w14:textId="5C5A0D20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562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5.4%)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24DF5F9B" w14:textId="05480584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505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4.8%)</w:t>
            </w:r>
          </w:p>
        </w:tc>
      </w:tr>
      <w:tr w:rsidR="00E42EC3" w:rsidRPr="001815AF" w14:paraId="47293F3F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0C7CE314" w14:textId="22C4C52E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Congenital, Hereditary, and Neonatal Diseases and Abnormalities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2E2038A7" w14:textId="28F07C55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156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3.6%)</w:t>
            </w:r>
          </w:p>
        </w:tc>
        <w:tc>
          <w:tcPr>
            <w:tcW w:w="1639" w:type="dxa"/>
            <w:vAlign w:val="bottom"/>
          </w:tcPr>
          <w:p w14:paraId="252A35F6" w14:textId="147D15BB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218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</w:t>
            </w:r>
            <w:r w:rsidR="00AF6D36" w:rsidRPr="001815AF">
              <w:rPr>
                <w:sz w:val="16"/>
                <w:szCs w:val="16"/>
                <w:lang w:val="en-US"/>
              </w:rPr>
              <w:t>.0</w:t>
            </w:r>
            <w:r w:rsidR="00E42EC3" w:rsidRPr="001815AF">
              <w:rPr>
                <w:sz w:val="16"/>
                <w:szCs w:val="16"/>
                <w:lang w:val="en-US"/>
              </w:rPr>
              <w:t>%)</w:t>
            </w:r>
          </w:p>
        </w:tc>
        <w:tc>
          <w:tcPr>
            <w:tcW w:w="1639" w:type="dxa"/>
            <w:vAlign w:val="bottom"/>
          </w:tcPr>
          <w:p w14:paraId="5F64E94B" w14:textId="4D1D29C1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256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5.8%)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3D56D4A9" w14:textId="00F5941A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341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7.6%)</w:t>
            </w:r>
          </w:p>
        </w:tc>
      </w:tr>
      <w:tr w:rsidR="00E42EC3" w:rsidRPr="001815AF" w14:paraId="632DF3FD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146C244A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Digestive System Diseases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13B8DA8A" w14:textId="0ED6D8D5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273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3.5%)</w:t>
            </w:r>
          </w:p>
        </w:tc>
        <w:tc>
          <w:tcPr>
            <w:tcW w:w="1639" w:type="dxa"/>
            <w:vAlign w:val="bottom"/>
          </w:tcPr>
          <w:p w14:paraId="35A4A7B1" w14:textId="120CF74D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398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</w:t>
            </w:r>
            <w:r w:rsidR="00AF6D36" w:rsidRPr="001815AF">
              <w:rPr>
                <w:sz w:val="16"/>
                <w:szCs w:val="16"/>
                <w:lang w:val="en-US"/>
              </w:rPr>
              <w:t>.0</w:t>
            </w:r>
            <w:r w:rsidR="00E42EC3" w:rsidRPr="001815AF">
              <w:rPr>
                <w:sz w:val="16"/>
                <w:szCs w:val="16"/>
                <w:lang w:val="en-US"/>
              </w:rPr>
              <w:t>%)</w:t>
            </w:r>
          </w:p>
        </w:tc>
        <w:tc>
          <w:tcPr>
            <w:tcW w:w="1639" w:type="dxa"/>
            <w:vAlign w:val="bottom"/>
          </w:tcPr>
          <w:p w14:paraId="08C1F6B0" w14:textId="1AEA5CD6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377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4.7%)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1421790F" w14:textId="2315A7BC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383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4.7%)</w:t>
            </w:r>
          </w:p>
        </w:tc>
      </w:tr>
      <w:tr w:rsidR="00E42EC3" w:rsidRPr="001815AF" w14:paraId="708B7767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74F60BF2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Endocrine System Diseases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1E35375B" w14:textId="08E0852D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173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</w:t>
            </w:r>
            <w:r w:rsidR="00AF6D36" w:rsidRPr="001815AF">
              <w:rPr>
                <w:sz w:val="16"/>
                <w:szCs w:val="16"/>
                <w:lang w:val="en-US"/>
              </w:rPr>
              <w:t>.0</w:t>
            </w:r>
            <w:r w:rsidR="00E42EC3" w:rsidRPr="001815AF">
              <w:rPr>
                <w:sz w:val="16"/>
                <w:szCs w:val="16"/>
                <w:lang w:val="en-US"/>
              </w:rPr>
              <w:t>%)</w:t>
            </w:r>
          </w:p>
        </w:tc>
        <w:tc>
          <w:tcPr>
            <w:tcW w:w="1639" w:type="dxa"/>
            <w:vAlign w:val="bottom"/>
          </w:tcPr>
          <w:p w14:paraId="7A995C05" w14:textId="737BE909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281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6.4%)</w:t>
            </w:r>
          </w:p>
        </w:tc>
        <w:tc>
          <w:tcPr>
            <w:tcW w:w="1639" w:type="dxa"/>
            <w:vAlign w:val="bottom"/>
          </w:tcPr>
          <w:p w14:paraId="686C3455" w14:textId="1E2EA787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300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6.8%)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1A209F49" w14:textId="79B27F8B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282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6.4%)</w:t>
            </w:r>
          </w:p>
        </w:tc>
      </w:tr>
      <w:tr w:rsidR="00E42EC3" w:rsidRPr="001815AF" w14:paraId="74FB807D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317099FD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Female Urogenital Diseases and Pregnancy Complications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47D04438" w14:textId="61C2B1FF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328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5.3%)</w:t>
            </w:r>
          </w:p>
        </w:tc>
        <w:tc>
          <w:tcPr>
            <w:tcW w:w="1639" w:type="dxa"/>
            <w:vAlign w:val="bottom"/>
          </w:tcPr>
          <w:p w14:paraId="1BD5F2DC" w14:textId="346874DD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431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6.9%)</w:t>
            </w:r>
          </w:p>
        </w:tc>
        <w:tc>
          <w:tcPr>
            <w:tcW w:w="1639" w:type="dxa"/>
            <w:vAlign w:val="bottom"/>
          </w:tcPr>
          <w:p w14:paraId="79D2A594" w14:textId="6C126562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419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6.7%)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21271FCB" w14:textId="33435100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454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7.1%)</w:t>
            </w:r>
          </w:p>
        </w:tc>
      </w:tr>
      <w:tr w:rsidR="00E42EC3" w:rsidRPr="001815AF" w14:paraId="19182D28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6F7D4221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Hemic and Lymphatic Diseases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335EDC9B" w14:textId="47C211B0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103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1.9%)</w:t>
            </w:r>
          </w:p>
        </w:tc>
        <w:tc>
          <w:tcPr>
            <w:tcW w:w="1639" w:type="dxa"/>
            <w:vAlign w:val="bottom"/>
          </w:tcPr>
          <w:p w14:paraId="59420072" w14:textId="3EFACCC0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149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2.7%)</w:t>
            </w:r>
          </w:p>
        </w:tc>
        <w:tc>
          <w:tcPr>
            <w:tcW w:w="1639" w:type="dxa"/>
            <w:vAlign w:val="bottom"/>
          </w:tcPr>
          <w:p w14:paraId="541802F5" w14:textId="4DC7E5B3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159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2.8%)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38366046" w14:textId="785B4C3B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149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2.6%)</w:t>
            </w:r>
          </w:p>
        </w:tc>
      </w:tr>
      <w:tr w:rsidR="00E42EC3" w:rsidRPr="001815AF" w14:paraId="17002923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4F891532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Immune System Diseases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58FF0BCF" w14:textId="4AF07351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180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2.6%)</w:t>
            </w:r>
          </w:p>
        </w:tc>
        <w:tc>
          <w:tcPr>
            <w:tcW w:w="1639" w:type="dxa"/>
            <w:vAlign w:val="bottom"/>
          </w:tcPr>
          <w:p w14:paraId="4B74EC93" w14:textId="15414053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294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4.1%)</w:t>
            </w:r>
          </w:p>
        </w:tc>
        <w:tc>
          <w:tcPr>
            <w:tcW w:w="1639" w:type="dxa"/>
            <w:vAlign w:val="bottom"/>
          </w:tcPr>
          <w:p w14:paraId="5FA49E37" w14:textId="6B365337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272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3.8%)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49568384" w14:textId="33CFF967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202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2.8%)</w:t>
            </w:r>
          </w:p>
        </w:tc>
      </w:tr>
      <w:tr w:rsidR="00E42EC3" w:rsidRPr="001815AF" w14:paraId="6283A3C9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7C36D072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Male Urogenital Diseases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5DE7901C" w14:textId="7395C2CB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244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4.7%)</w:t>
            </w:r>
          </w:p>
        </w:tc>
        <w:tc>
          <w:tcPr>
            <w:tcW w:w="1639" w:type="dxa"/>
            <w:vAlign w:val="bottom"/>
          </w:tcPr>
          <w:p w14:paraId="17907531" w14:textId="50915658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339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6.5%)</w:t>
            </w:r>
          </w:p>
        </w:tc>
        <w:tc>
          <w:tcPr>
            <w:tcW w:w="1639" w:type="dxa"/>
            <w:vAlign w:val="bottom"/>
          </w:tcPr>
          <w:p w14:paraId="1BEC8550" w14:textId="4E649F40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316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</w:t>
            </w:r>
            <w:r w:rsidR="00AF6D36" w:rsidRPr="001815AF">
              <w:rPr>
                <w:sz w:val="16"/>
                <w:szCs w:val="16"/>
                <w:lang w:val="en-US"/>
              </w:rPr>
              <w:t>.0</w:t>
            </w:r>
            <w:r w:rsidR="00E42EC3" w:rsidRPr="001815AF">
              <w:rPr>
                <w:sz w:val="16"/>
                <w:szCs w:val="16"/>
                <w:lang w:val="en-US"/>
              </w:rPr>
              <w:t>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5BC2FD7E" w14:textId="76D5AE5A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314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5.9%)</w:t>
            </w:r>
          </w:p>
        </w:tc>
      </w:tr>
      <w:tr w:rsidR="00E42EC3" w:rsidRPr="001815AF" w14:paraId="1EB315C0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6F2F4E21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Mental Disorders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04D5285A" w14:textId="63A32398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246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4.1%)</w:t>
            </w:r>
          </w:p>
        </w:tc>
        <w:tc>
          <w:tcPr>
            <w:tcW w:w="1639" w:type="dxa"/>
            <w:vAlign w:val="bottom"/>
          </w:tcPr>
          <w:p w14:paraId="0079A897" w14:textId="6ED15BBC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390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6.4%)</w:t>
            </w:r>
          </w:p>
        </w:tc>
        <w:tc>
          <w:tcPr>
            <w:tcW w:w="1639" w:type="dxa"/>
            <w:vAlign w:val="bottom"/>
          </w:tcPr>
          <w:p w14:paraId="56455C8E" w14:textId="623B526F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410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6.7%)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3DFC9A2A" w14:textId="65BA46F4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369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5.9%)</w:t>
            </w:r>
          </w:p>
        </w:tc>
      </w:tr>
      <w:tr w:rsidR="00E42EC3" w:rsidRPr="001815AF" w14:paraId="729C16E7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57562E15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Musculoskeletal Diseases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2032B279" w14:textId="0CB7C14F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231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5.5%)</w:t>
            </w:r>
          </w:p>
        </w:tc>
        <w:tc>
          <w:tcPr>
            <w:tcW w:w="1639" w:type="dxa"/>
            <w:vAlign w:val="bottom"/>
          </w:tcPr>
          <w:p w14:paraId="53F59370" w14:textId="2EC2EE19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368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8.6%)</w:t>
            </w:r>
          </w:p>
        </w:tc>
        <w:tc>
          <w:tcPr>
            <w:tcW w:w="1639" w:type="dxa"/>
            <w:vAlign w:val="bottom"/>
          </w:tcPr>
          <w:p w14:paraId="0F261478" w14:textId="2AFEA553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401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9.2%)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42EBFED5" w14:textId="3F4D135F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453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10.3%)</w:t>
            </w:r>
          </w:p>
        </w:tc>
      </w:tr>
      <w:tr w:rsidR="00E42EC3" w:rsidRPr="001815AF" w14:paraId="282C678D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6927A0D7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Neoplasms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30523AF0" w14:textId="7C7519EE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459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2.1%)</w:t>
            </w:r>
          </w:p>
        </w:tc>
        <w:tc>
          <w:tcPr>
            <w:tcW w:w="1639" w:type="dxa"/>
            <w:vAlign w:val="bottom"/>
          </w:tcPr>
          <w:p w14:paraId="5DABD311" w14:textId="472A0339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648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2.9%)</w:t>
            </w:r>
          </w:p>
        </w:tc>
        <w:tc>
          <w:tcPr>
            <w:tcW w:w="1639" w:type="dxa"/>
            <w:vAlign w:val="bottom"/>
          </w:tcPr>
          <w:p w14:paraId="23CD10C3" w14:textId="301172AA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523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2.3%)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0D08DDA9" w14:textId="7A340209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548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2.4%)</w:t>
            </w:r>
          </w:p>
        </w:tc>
      </w:tr>
      <w:tr w:rsidR="00E42EC3" w:rsidRPr="001815AF" w14:paraId="398435D5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4A8D46D1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Nervous System Diseases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28E29B6A" w14:textId="38894155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467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4.4%)</w:t>
            </w:r>
          </w:p>
        </w:tc>
        <w:tc>
          <w:tcPr>
            <w:tcW w:w="1639" w:type="dxa"/>
            <w:vAlign w:val="bottom"/>
          </w:tcPr>
          <w:p w14:paraId="18710308" w14:textId="6E5B51CA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703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6.6%)</w:t>
            </w:r>
          </w:p>
        </w:tc>
        <w:tc>
          <w:tcPr>
            <w:tcW w:w="1639" w:type="dxa"/>
            <w:vAlign w:val="bottom"/>
          </w:tcPr>
          <w:p w14:paraId="428E155C" w14:textId="288F31B7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726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6.8%)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5FD640E3" w14:textId="1633673F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785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7.3%)</w:t>
            </w:r>
          </w:p>
        </w:tc>
      </w:tr>
      <w:tr w:rsidR="00E42EC3" w:rsidRPr="001815AF" w14:paraId="5CDFE224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2011FF67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Nutritional and Metabolic Diseases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6D7FCFC8" w14:textId="4EAF0A80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186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3.4%)</w:t>
            </w:r>
          </w:p>
        </w:tc>
        <w:tc>
          <w:tcPr>
            <w:tcW w:w="1639" w:type="dxa"/>
            <w:vAlign w:val="bottom"/>
          </w:tcPr>
          <w:p w14:paraId="5B5322CA" w14:textId="0E43BB36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378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6.9%)</w:t>
            </w:r>
          </w:p>
        </w:tc>
        <w:tc>
          <w:tcPr>
            <w:tcW w:w="1639" w:type="dxa"/>
            <w:vAlign w:val="bottom"/>
          </w:tcPr>
          <w:p w14:paraId="1F6A9865" w14:textId="0546E84B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401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7.3%)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57651B94" w14:textId="0CBE3791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426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7.8%)</w:t>
            </w:r>
          </w:p>
        </w:tc>
      </w:tr>
      <w:tr w:rsidR="00E42EC3" w:rsidRPr="001815AF" w14:paraId="059C58F4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13F37611" w14:textId="10353102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Pathological Conditions, Signs, and Symptoms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7E052EBB" w14:textId="10B9496E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1031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5.1%)</w:t>
            </w:r>
          </w:p>
        </w:tc>
        <w:tc>
          <w:tcPr>
            <w:tcW w:w="1639" w:type="dxa"/>
            <w:vAlign w:val="bottom"/>
          </w:tcPr>
          <w:p w14:paraId="27DEC3DB" w14:textId="2F42CBE4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1474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7.2%)</w:t>
            </w:r>
          </w:p>
        </w:tc>
        <w:tc>
          <w:tcPr>
            <w:tcW w:w="1639" w:type="dxa"/>
            <w:vAlign w:val="bottom"/>
          </w:tcPr>
          <w:p w14:paraId="280C6F38" w14:textId="3094B5E2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1440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7</w:t>
            </w:r>
            <w:r w:rsidR="00AF6D36" w:rsidRPr="001815AF">
              <w:rPr>
                <w:sz w:val="16"/>
                <w:szCs w:val="16"/>
                <w:lang w:val="en-US"/>
              </w:rPr>
              <w:t>.0</w:t>
            </w:r>
            <w:r w:rsidR="00E42EC3" w:rsidRPr="001815AF">
              <w:rPr>
                <w:sz w:val="16"/>
                <w:szCs w:val="16"/>
                <w:lang w:val="en-US"/>
              </w:rPr>
              <w:t>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001375D7" w14:textId="54126097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1484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7.2%)</w:t>
            </w:r>
          </w:p>
        </w:tc>
      </w:tr>
      <w:tr w:rsidR="00E42EC3" w:rsidRPr="001815AF" w14:paraId="55AD4947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5A0D43AF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Respiratory Tract Diseases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49EA7D2A" w14:textId="2168DD38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236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3.9%)</w:t>
            </w:r>
          </w:p>
        </w:tc>
        <w:tc>
          <w:tcPr>
            <w:tcW w:w="1639" w:type="dxa"/>
            <w:vAlign w:val="bottom"/>
          </w:tcPr>
          <w:p w14:paraId="43D08DCC" w14:textId="2F5C8A8B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364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</w:t>
            </w:r>
            <w:r w:rsidR="00AF6D36" w:rsidRPr="001815AF">
              <w:rPr>
                <w:sz w:val="16"/>
                <w:szCs w:val="16"/>
                <w:lang w:val="en-US"/>
              </w:rPr>
              <w:t>.0</w:t>
            </w:r>
            <w:r w:rsidR="00E42EC3" w:rsidRPr="001815AF">
              <w:rPr>
                <w:sz w:val="16"/>
                <w:szCs w:val="16"/>
                <w:lang w:val="en-US"/>
              </w:rPr>
              <w:t>%)</w:t>
            </w:r>
          </w:p>
        </w:tc>
        <w:tc>
          <w:tcPr>
            <w:tcW w:w="1639" w:type="dxa"/>
            <w:vAlign w:val="bottom"/>
          </w:tcPr>
          <w:p w14:paraId="32DCA746" w14:textId="4DDE8A42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335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5.5%)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5609EBF0" w14:textId="64584D14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391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6.3%)</w:t>
            </w:r>
          </w:p>
        </w:tc>
      </w:tr>
      <w:tr w:rsidR="00E42EC3" w:rsidRPr="001815AF" w14:paraId="554EFD63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73E102A1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Skin and Connective Tissue Diseases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1A2ED287" w14:textId="0E050E89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188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3.5%)</w:t>
            </w:r>
          </w:p>
        </w:tc>
        <w:tc>
          <w:tcPr>
            <w:tcW w:w="1639" w:type="dxa"/>
            <w:vAlign w:val="bottom"/>
          </w:tcPr>
          <w:p w14:paraId="114F3839" w14:textId="4E5C1877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279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5.1%)</w:t>
            </w:r>
          </w:p>
        </w:tc>
        <w:tc>
          <w:tcPr>
            <w:tcW w:w="1639" w:type="dxa"/>
            <w:vAlign w:val="bottom"/>
          </w:tcPr>
          <w:p w14:paraId="272C9882" w14:textId="751E455D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270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4.9%)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74E376BC" w14:textId="5742C8BC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291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5.3%)</w:t>
            </w:r>
          </w:p>
        </w:tc>
      </w:tr>
      <w:tr w:rsidR="00E42EC3" w:rsidRPr="001815AF" w14:paraId="0A63B3B8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525B98CE" w14:textId="56310D60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Viral Diseases</w:t>
            </w:r>
          </w:p>
        </w:tc>
        <w:tc>
          <w:tcPr>
            <w:tcW w:w="1651" w:type="dxa"/>
            <w:tcBorders>
              <w:left w:val="single" w:sz="4" w:space="0" w:color="auto"/>
            </w:tcBorders>
            <w:vAlign w:val="bottom"/>
          </w:tcPr>
          <w:p w14:paraId="1F01E883" w14:textId="51C762DB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81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4</w:t>
            </w:r>
            <w:r w:rsidR="00AF6D36" w:rsidRPr="001815AF">
              <w:rPr>
                <w:sz w:val="16"/>
                <w:szCs w:val="16"/>
                <w:lang w:val="en-US"/>
              </w:rPr>
              <w:t>.0</w:t>
            </w:r>
            <w:r w:rsidR="00E42EC3" w:rsidRPr="001815AF">
              <w:rPr>
                <w:sz w:val="16"/>
                <w:szCs w:val="16"/>
                <w:lang w:val="en-US"/>
              </w:rPr>
              <w:t>%)</w:t>
            </w:r>
          </w:p>
        </w:tc>
        <w:tc>
          <w:tcPr>
            <w:tcW w:w="1639" w:type="dxa"/>
            <w:vAlign w:val="bottom"/>
          </w:tcPr>
          <w:p w14:paraId="27419C9E" w14:textId="7987B8D2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129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6.4%)</w:t>
            </w:r>
          </w:p>
        </w:tc>
        <w:tc>
          <w:tcPr>
            <w:tcW w:w="1639" w:type="dxa"/>
            <w:vAlign w:val="bottom"/>
          </w:tcPr>
          <w:p w14:paraId="1B2227A0" w14:textId="06E19ADD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141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7</w:t>
            </w:r>
            <w:r w:rsidR="00AF6D36" w:rsidRPr="001815AF">
              <w:rPr>
                <w:sz w:val="16"/>
                <w:szCs w:val="16"/>
                <w:lang w:val="en-US"/>
              </w:rPr>
              <w:t>.0</w:t>
            </w:r>
            <w:r w:rsidR="00E42EC3" w:rsidRPr="001815AF">
              <w:rPr>
                <w:sz w:val="16"/>
                <w:szCs w:val="16"/>
                <w:lang w:val="en-US"/>
              </w:rPr>
              <w:t>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0856F0E2" w14:textId="10F97AA2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159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7.9%)</w:t>
            </w:r>
          </w:p>
        </w:tc>
      </w:tr>
      <w:tr w:rsidR="00E42EC3" w:rsidRPr="001815AF" w14:paraId="4CBE5320" w14:textId="77777777" w:rsidTr="003208F8">
        <w:tc>
          <w:tcPr>
            <w:tcW w:w="3530" w:type="dxa"/>
            <w:tcBorders>
              <w:right w:val="single" w:sz="4" w:space="0" w:color="auto"/>
            </w:tcBorders>
            <w:vAlign w:val="bottom"/>
          </w:tcPr>
          <w:p w14:paraId="2DF2545D" w14:textId="77777777" w:rsidR="00E42EC3" w:rsidRPr="001815AF" w:rsidRDefault="00E42EC3" w:rsidP="00E42EC3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1815AF">
              <w:rPr>
                <w:sz w:val="18"/>
                <w:szCs w:val="18"/>
                <w:lang w:val="en-US"/>
              </w:rPr>
              <w:t>Wounds and Injuries</w:t>
            </w:r>
          </w:p>
        </w:tc>
        <w:tc>
          <w:tcPr>
            <w:tcW w:w="1651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49B484E" w14:textId="615BDEEF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115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3.7%)</w:t>
            </w:r>
          </w:p>
        </w:tc>
        <w:tc>
          <w:tcPr>
            <w:tcW w:w="1639" w:type="dxa"/>
            <w:vAlign w:val="bottom"/>
          </w:tcPr>
          <w:p w14:paraId="1431ADFB" w14:textId="109BA312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246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7.7%)</w:t>
            </w:r>
          </w:p>
        </w:tc>
        <w:tc>
          <w:tcPr>
            <w:tcW w:w="1639" w:type="dxa"/>
            <w:vAlign w:val="bottom"/>
          </w:tcPr>
          <w:p w14:paraId="50EC4143" w14:textId="43189470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242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7.5%)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bottom"/>
          </w:tcPr>
          <w:p w14:paraId="12908155" w14:textId="08EF0C97" w:rsidR="00E42EC3" w:rsidRPr="001815AF" w:rsidRDefault="00151604" w:rsidP="00E42EC3">
            <w:pPr>
              <w:spacing w:before="0" w:after="0"/>
              <w:ind w:right="135"/>
              <w:jc w:val="right"/>
              <w:rPr>
                <w:sz w:val="16"/>
                <w:szCs w:val="16"/>
                <w:lang w:val="en-US"/>
              </w:rPr>
            </w:pP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309 (</w:t>
            </w:r>
            <w:r w:rsidRPr="001815AF">
              <w:rPr>
                <w:sz w:val="16"/>
                <w:szCs w:val="16"/>
                <w:lang w:val="en-US"/>
              </w:rPr>
              <w:t>−</w:t>
            </w:r>
            <w:r w:rsidR="00E42EC3" w:rsidRPr="001815AF">
              <w:rPr>
                <w:sz w:val="16"/>
                <w:szCs w:val="16"/>
                <w:lang w:val="en-US"/>
              </w:rPr>
              <w:t>9.5%)</w:t>
            </w:r>
          </w:p>
        </w:tc>
      </w:tr>
    </w:tbl>
    <w:p w14:paraId="61A78408" w14:textId="1ABBF487" w:rsidR="00554C03" w:rsidRPr="001815AF" w:rsidRDefault="00F7132F" w:rsidP="00554C03">
      <w:pPr>
        <w:rPr>
          <w:sz w:val="18"/>
          <w:szCs w:val="18"/>
        </w:rPr>
      </w:pPr>
      <w:proofErr w:type="spellStart"/>
      <w:r w:rsidRPr="001815AF">
        <w:rPr>
          <w:sz w:val="18"/>
          <w:szCs w:val="18"/>
          <w:vertAlign w:val="superscript"/>
        </w:rPr>
        <w:t>a</w:t>
      </w:r>
      <w:r w:rsidR="00247F76" w:rsidRPr="001815AF">
        <w:rPr>
          <w:sz w:val="18"/>
          <w:szCs w:val="18"/>
        </w:rPr>
        <w:t>Values</w:t>
      </w:r>
      <w:proofErr w:type="spellEnd"/>
      <w:r w:rsidR="00247F76" w:rsidRPr="001815AF">
        <w:rPr>
          <w:sz w:val="18"/>
          <w:szCs w:val="18"/>
        </w:rPr>
        <w:t xml:space="preserve"> represent the d</w:t>
      </w:r>
      <w:r w:rsidR="00C8036C" w:rsidRPr="001815AF">
        <w:rPr>
          <w:sz w:val="18"/>
          <w:szCs w:val="18"/>
        </w:rPr>
        <w:t xml:space="preserve">ifferences calculated </w:t>
      </w:r>
      <w:r w:rsidR="00247F76" w:rsidRPr="001815AF">
        <w:rPr>
          <w:sz w:val="18"/>
          <w:szCs w:val="18"/>
        </w:rPr>
        <w:t>between actual study numbers per quarter (using</w:t>
      </w:r>
      <w:r w:rsidR="00C8036C" w:rsidRPr="001815AF">
        <w:rPr>
          <w:sz w:val="18"/>
          <w:szCs w:val="18"/>
        </w:rPr>
        <w:t xml:space="preserve"> data in the </w:t>
      </w:r>
      <w:r w:rsidR="00554C03" w:rsidRPr="001815AF">
        <w:rPr>
          <w:sz w:val="18"/>
          <w:szCs w:val="18"/>
        </w:rPr>
        <w:t>ClinicalTrials.gov database</w:t>
      </w:r>
      <w:r w:rsidR="00247F76" w:rsidRPr="001815AF">
        <w:rPr>
          <w:sz w:val="18"/>
          <w:szCs w:val="18"/>
        </w:rPr>
        <w:t>)</w:t>
      </w:r>
      <w:r w:rsidR="00C8036C" w:rsidRPr="001815AF">
        <w:rPr>
          <w:sz w:val="18"/>
          <w:szCs w:val="18"/>
        </w:rPr>
        <w:t xml:space="preserve"> and </w:t>
      </w:r>
      <w:r w:rsidR="00247F76" w:rsidRPr="001815AF">
        <w:rPr>
          <w:sz w:val="18"/>
          <w:szCs w:val="18"/>
        </w:rPr>
        <w:t xml:space="preserve">the </w:t>
      </w:r>
      <w:r w:rsidR="00C8036C" w:rsidRPr="001815AF">
        <w:rPr>
          <w:sz w:val="18"/>
          <w:szCs w:val="18"/>
        </w:rPr>
        <w:t>forecasted values (predicted by the ETS model</w:t>
      </w:r>
      <w:r w:rsidRPr="001815AF">
        <w:rPr>
          <w:sz w:val="18"/>
          <w:szCs w:val="18"/>
        </w:rPr>
        <w:t>s generated in this study</w:t>
      </w:r>
      <w:r w:rsidR="00C8036C" w:rsidRPr="001815AF">
        <w:rPr>
          <w:sz w:val="18"/>
          <w:szCs w:val="18"/>
        </w:rPr>
        <w:t>)</w:t>
      </w:r>
      <w:r w:rsidR="00554C03" w:rsidRPr="001815AF">
        <w:rPr>
          <w:sz w:val="18"/>
          <w:szCs w:val="18"/>
        </w:rPr>
        <w:t xml:space="preserve">. </w:t>
      </w:r>
    </w:p>
    <w:p w14:paraId="3C87C3C6" w14:textId="3A2A9220" w:rsidR="006233E4" w:rsidRPr="001815AF" w:rsidRDefault="006233E4" w:rsidP="00554C03">
      <w:pPr>
        <w:spacing w:before="0" w:after="0"/>
      </w:pPr>
    </w:p>
    <w:sectPr w:rsidR="006233E4" w:rsidRPr="001815AF" w:rsidSect="009B3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23F53"/>
    <w:multiLevelType w:val="hybridMultilevel"/>
    <w:tmpl w:val="E22645BC"/>
    <w:lvl w:ilvl="0" w:tplc="F00EE402">
      <w:start w:val="524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3E4"/>
    <w:rsid w:val="000B092B"/>
    <w:rsid w:val="0010339A"/>
    <w:rsid w:val="00151604"/>
    <w:rsid w:val="001815AF"/>
    <w:rsid w:val="001B4B46"/>
    <w:rsid w:val="001F719F"/>
    <w:rsid w:val="00232F99"/>
    <w:rsid w:val="00247F76"/>
    <w:rsid w:val="003208F8"/>
    <w:rsid w:val="003E371D"/>
    <w:rsid w:val="003F012F"/>
    <w:rsid w:val="00403D90"/>
    <w:rsid w:val="004674B8"/>
    <w:rsid w:val="004B32A8"/>
    <w:rsid w:val="004C3668"/>
    <w:rsid w:val="004D0E31"/>
    <w:rsid w:val="00554C03"/>
    <w:rsid w:val="00583D34"/>
    <w:rsid w:val="005D31F5"/>
    <w:rsid w:val="006233E4"/>
    <w:rsid w:val="00655A66"/>
    <w:rsid w:val="00781ACA"/>
    <w:rsid w:val="007E2E6E"/>
    <w:rsid w:val="00822E32"/>
    <w:rsid w:val="00920B19"/>
    <w:rsid w:val="009B3D2E"/>
    <w:rsid w:val="00A81A22"/>
    <w:rsid w:val="00AF6D36"/>
    <w:rsid w:val="00B40C4F"/>
    <w:rsid w:val="00C6767F"/>
    <w:rsid w:val="00C8036C"/>
    <w:rsid w:val="00CB31FC"/>
    <w:rsid w:val="00CE19DD"/>
    <w:rsid w:val="00D20E66"/>
    <w:rsid w:val="00E42EC3"/>
    <w:rsid w:val="00E75DF9"/>
    <w:rsid w:val="00E91883"/>
    <w:rsid w:val="00EF2657"/>
    <w:rsid w:val="00F57395"/>
    <w:rsid w:val="00F7132F"/>
    <w:rsid w:val="00F932B3"/>
    <w:rsid w:val="00FF7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46898"/>
  <w15:chartTrackingRefBased/>
  <w15:docId w15:val="{53FC0FE4-F43D-4CF1-A1C8-6B281766B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3E4"/>
    <w:pPr>
      <w:spacing w:before="120" w:after="120" w:line="360" w:lineRule="auto"/>
      <w:jc w:val="both"/>
    </w:pPr>
    <w:rPr>
      <w:rFonts w:ascii="Arial" w:eastAsia="Calibri" w:hAnsi="Arial" w:cs="Times New Roman"/>
      <w:spacing w:val="-1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6233E4"/>
    <w:pPr>
      <w:spacing w:line="276" w:lineRule="auto"/>
    </w:pPr>
    <w:rPr>
      <w:color w:val="404040"/>
      <w:spacing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233E4"/>
    <w:rPr>
      <w:rFonts w:ascii="Arial" w:eastAsia="Calibri" w:hAnsi="Arial" w:cs="Times New Roman"/>
      <w:color w:val="404040"/>
      <w:sz w:val="20"/>
      <w:szCs w:val="20"/>
    </w:rPr>
  </w:style>
  <w:style w:type="character" w:styleId="CommentReference">
    <w:name w:val="annotation reference"/>
    <w:basedOn w:val="DefaultParagraphFont"/>
    <w:uiPriority w:val="99"/>
    <w:unhideWhenUsed/>
    <w:rsid w:val="006233E4"/>
    <w:rPr>
      <w:sz w:val="16"/>
      <w:szCs w:val="16"/>
    </w:rPr>
  </w:style>
  <w:style w:type="table" w:styleId="TableGridLight">
    <w:name w:val="Grid Table Light"/>
    <w:basedOn w:val="TableNormal"/>
    <w:uiPriority w:val="40"/>
    <w:rsid w:val="006233E4"/>
    <w:pPr>
      <w:spacing w:after="0" w:line="240" w:lineRule="auto"/>
      <w:jc w:val="both"/>
    </w:pPr>
    <w:rPr>
      <w:sz w:val="24"/>
      <w:szCs w:val="24"/>
      <w:lang w:val="fr-F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3D2E"/>
    <w:pPr>
      <w:spacing w:line="240" w:lineRule="auto"/>
    </w:pPr>
    <w:rPr>
      <w:b/>
      <w:bCs/>
      <w:color w:val="auto"/>
      <w:spacing w:val="-1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3D2E"/>
    <w:rPr>
      <w:rFonts w:ascii="Arial" w:eastAsia="Calibri" w:hAnsi="Arial" w:cs="Times New Roman"/>
      <w:b/>
      <w:bCs/>
      <w:color w:val="404040"/>
      <w:spacing w:val="-1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39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ApotheCom</dc:creator>
  <cp:keywords/>
  <dc:description/>
  <cp:lastModifiedBy>ApotheCom</cp:lastModifiedBy>
  <cp:revision>5</cp:revision>
  <dcterms:created xsi:type="dcterms:W3CDTF">2021-05-27T20:17:00Z</dcterms:created>
  <dcterms:modified xsi:type="dcterms:W3CDTF">2021-05-27T20:17:00Z</dcterms:modified>
</cp:coreProperties>
</file>