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0"/>
          <w:szCs w:val="20"/>
          <w:highlight w:val="none"/>
          <w:lang w:val="en-US" w:eastAsia="zh-CN"/>
        </w:rPr>
      </w:pPr>
      <w:bookmarkStart w:id="0" w:name="OLE_LINK39"/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0"/>
          <w:szCs w:val="20"/>
          <w:highlight w:val="none"/>
          <w:lang w:val="en-US" w:eastAsia="zh-CN"/>
        </w:rPr>
        <w:t>Environmental Earth Sciences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0"/>
          <w:szCs w:val="20"/>
          <w:highlight w:val="none"/>
          <w:lang w:val="en-US" w:eastAsia="zh-CN"/>
        </w:rPr>
      </w:pPr>
      <w:bookmarkStart w:id="7" w:name="_GoBack"/>
      <w:bookmarkEnd w:id="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32"/>
          <w:szCs w:val="32"/>
        </w:rPr>
      </w:pPr>
      <w:bookmarkStart w:id="1" w:name="OLE_LINK14"/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R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elease behaviour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of u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>ranium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in waste rock from abandoned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stone coal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 mine: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E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>vidence from static leaching and sequential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>chemical extraction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400" w:firstLineChars="200"/>
        <w:jc w:val="both"/>
        <w:rPr>
          <w:rFonts w:hint="default" w:ascii="Times New Roman" w:hAnsi="Times New Roman" w:cs="Times New Roman"/>
          <w:position w:val="33"/>
          <w:sz w:val="20"/>
          <w:szCs w:val="20"/>
          <w:highlight w:val="none"/>
        </w:rPr>
      </w:pPr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</w:rPr>
        <w:t>Name of the authors:</w:t>
      </w:r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</w:rPr>
        <w:t>Xinxiang Wei</w:t>
      </w:r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  <w:vertAlign w:val="superscript"/>
        </w:rPr>
        <w:t>1</w:t>
      </w:r>
      <w:bookmarkStart w:id="2" w:name="OLE_LINK13"/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  <w:vertAlign w:val="superscript"/>
        </w:rPr>
        <w:t>†</w:t>
      </w:r>
      <w:bookmarkEnd w:id="2"/>
      <w:r>
        <w:rPr>
          <w:rFonts w:hint="eastAsia" w:ascii="Times New Roman" w:hAnsi="Times New Roman" w:cs="Times New Roman"/>
          <w:position w:val="33"/>
          <w:sz w:val="20"/>
          <w:szCs w:val="20"/>
          <w:highlight w:val="none"/>
          <w:vertAlign w:val="superscript"/>
          <w:lang w:val="en-US" w:eastAsia="zh-CN"/>
        </w:rPr>
        <w:t>*</w:t>
      </w:r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</w:rPr>
        <w:t xml:space="preserve">, </w:t>
      </w:r>
      <w:r>
        <w:rPr>
          <w:rFonts w:hint="eastAsia" w:ascii="Times New Roman" w:hAnsi="Times New Roman" w:cs="Times New Roman"/>
          <w:position w:val="33"/>
          <w:sz w:val="20"/>
          <w:szCs w:val="20"/>
          <w:highlight w:val="none"/>
          <w:lang w:val="en-US" w:eastAsia="zh-CN"/>
        </w:rPr>
        <w:t>Jiali</w:t>
      </w:r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position w:val="33"/>
          <w:sz w:val="20"/>
          <w:szCs w:val="20"/>
          <w:highlight w:val="none"/>
          <w:lang w:val="en-US" w:eastAsia="zh-CN"/>
        </w:rPr>
        <w:t>Chen</w:t>
      </w:r>
      <w:r>
        <w:rPr>
          <w:rFonts w:hint="eastAsia" w:ascii="Times New Roman" w:hAnsi="Times New Roman" w:cs="Times New Roman"/>
          <w:position w:val="33"/>
          <w:sz w:val="20"/>
          <w:szCs w:val="20"/>
          <w:highlight w:val="none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  <w:vertAlign w:val="superscript"/>
        </w:rPr>
        <w:t>†</w:t>
      </w:r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  <w:vertAlign w:val="baseline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position w:val="33"/>
          <w:sz w:val="20"/>
          <w:szCs w:val="20"/>
          <w:highlight w:val="none"/>
          <w:vertAlign w:val="baseline"/>
          <w:lang w:val="en-US" w:eastAsia="zh-CN"/>
        </w:rPr>
        <w:t>Chong Huang</w:t>
      </w:r>
      <w:r>
        <w:rPr>
          <w:rFonts w:hint="eastAsia" w:ascii="Times New Roman" w:hAnsi="Times New Roman" w:cs="Times New Roman"/>
          <w:position w:val="33"/>
          <w:sz w:val="20"/>
          <w:szCs w:val="20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position w:val="33"/>
          <w:sz w:val="20"/>
          <w:szCs w:val="20"/>
          <w:highlight w:val="none"/>
          <w:vertAlign w:val="baseline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</w:rPr>
        <w:t>Jiang Li</w:t>
      </w:r>
      <w:r>
        <w:rPr>
          <w:rFonts w:hint="eastAsia" w:ascii="Times New Roman" w:hAnsi="Times New Roman" w:cs="Times New Roman"/>
          <w:position w:val="33"/>
          <w:sz w:val="20"/>
          <w:szCs w:val="20"/>
          <w:highlight w:val="none"/>
          <w:vertAlign w:val="superscript"/>
          <w:lang w:val="en-US" w:eastAsia="zh-CN"/>
        </w:rPr>
        <w:t>3</w:t>
      </w:r>
      <w:r>
        <w:rPr>
          <w:rFonts w:hint="default" w:ascii="Times New Roman" w:hAnsi="Times New Roman" w:cs="Times New Roman"/>
          <w:position w:val="33"/>
          <w:sz w:val="20"/>
          <w:szCs w:val="20"/>
          <w:highlight w:val="none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00" w:firstLineChars="200"/>
        <w:jc w:val="both"/>
        <w:textAlignment w:val="auto"/>
        <w:rPr>
          <w:rFonts w:hint="default" w:ascii="Times New Roman" w:hAnsi="Times New Roman" w:cs="Times New Roman"/>
          <w:sz w:val="20"/>
          <w:szCs w:val="20"/>
          <w:highlight w:val="none"/>
        </w:rPr>
      </w:pPr>
      <w:r>
        <w:rPr>
          <w:rFonts w:hint="default" w:ascii="Times New Roman" w:hAnsi="Times New Roman" w:cs="Times New Roman"/>
          <w:sz w:val="20"/>
          <w:szCs w:val="20"/>
          <w:highlight w:val="none"/>
        </w:rPr>
        <w:t>Title: Release behaviour of uranium in waste rock from abandoned stone coal mine: Evidence from static leaching and sequential chemical extraction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00" w:firstLineChars="200"/>
        <w:jc w:val="both"/>
        <w:textAlignment w:val="auto"/>
        <w:rPr>
          <w:rFonts w:hint="default" w:ascii="Times New Roman" w:hAnsi="Times New Roman" w:cs="Times New Roman"/>
          <w:sz w:val="20"/>
          <w:szCs w:val="20"/>
          <w:highlight w:val="none"/>
        </w:rPr>
      </w:pPr>
    </w:p>
    <w:p>
      <w:pPr>
        <w:widowControl/>
        <w:adjustRightInd w:val="0"/>
        <w:snapToGrid w:val="0"/>
        <w:spacing w:line="360" w:lineRule="auto"/>
        <w:ind w:firstLine="400" w:firstLineChars="200"/>
        <w:jc w:val="both"/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bidi="ar"/>
        </w:rPr>
        <w:t xml:space="preserve">Affiliation(s) and address(es) of the author(s): 1. Nanchang Normal University, Nanchang, China; 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2. 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bidi="ar"/>
        </w:rPr>
        <w:t xml:space="preserve">East China Jiaotong University, Nanchang, China; </w:t>
      </w:r>
      <w:r>
        <w:rPr>
          <w:rFonts w:hint="eastAsia" w:ascii="Times New Roman" w:hAnsi="Times New Roma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3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bidi="ar"/>
        </w:rPr>
        <w:t>. East China University of Technology, Nanchang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, 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bidi="ar"/>
        </w:rPr>
        <w:t xml:space="preserve">China. </w:t>
      </w:r>
    </w:p>
    <w:p>
      <w:pPr>
        <w:widowControl/>
        <w:adjustRightInd w:val="0"/>
        <w:snapToGrid w:val="0"/>
        <w:spacing w:line="360" w:lineRule="auto"/>
        <w:ind w:firstLine="400" w:firstLineChars="200"/>
        <w:jc w:val="both"/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00" w:firstLineChars="200"/>
        <w:jc w:val="both"/>
        <w:textAlignment w:val="auto"/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highlight w:val="none"/>
        </w:rPr>
        <w:t>†These authors have contributed equally to this work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00" w:firstLineChars="200"/>
        <w:jc w:val="both"/>
        <w:textAlignment w:val="auto"/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</w:pPr>
    </w:p>
    <w:p>
      <w:pPr>
        <w:widowControl/>
        <w:numPr>
          <w:ilvl w:val="0"/>
          <w:numId w:val="1"/>
        </w:numPr>
        <w:adjustRightInd w:val="0"/>
        <w:snapToGrid w:val="0"/>
        <w:spacing w:line="360" w:lineRule="auto"/>
        <w:ind w:firstLine="400" w:firstLineChars="200"/>
        <w:jc w:val="both"/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bidi="ar"/>
        </w:rPr>
        <w:t xml:space="preserve">mail address of the corresponding author: </w:t>
      </w:r>
      <w:bookmarkStart w:id="3" w:name="OLE_LINK74"/>
      <w:r>
        <w:rPr>
          <w:rFonts w:hint="eastAsia" w:ascii="Times New Roman" w:hAnsi="Times New Roma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1223054333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bidi="ar"/>
        </w:rPr>
        <w:t>@</w:t>
      </w:r>
      <w:r>
        <w:rPr>
          <w:rFonts w:hint="eastAsia" w:ascii="Times New Roman" w:hAnsi="Times New Roman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>qq</w:t>
      </w:r>
      <w:r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bidi="ar"/>
        </w:rPr>
        <w:t>.com</w:t>
      </w:r>
      <w:bookmarkEnd w:id="3"/>
    </w:p>
    <w:p>
      <w:pPr>
        <w:widowControl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default" w:ascii="Times New Roman" w:hAnsi="Times New Roman" w:cs="Times New Roman"/>
          <w:color w:val="000000"/>
          <w:kern w:val="0"/>
          <w:sz w:val="20"/>
          <w:szCs w:val="20"/>
          <w:highlight w:val="none"/>
          <w:lang w:bidi="ar"/>
        </w:rPr>
      </w:pPr>
    </w:p>
    <w:bookmarkEnd w:id="0"/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0"/>
          <w:szCs w:val="20"/>
          <w:highlight w:val="none"/>
          <w:lang w:val="en-US" w:eastAsia="zh-CN"/>
        </w:rPr>
        <w:t>Table S1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 The s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highlight w:val="none"/>
        </w:rPr>
        <w:t>equential chemical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highlight w:val="none"/>
        </w:rPr>
        <w:t>extraction procedure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highlight w:val="none"/>
          <w:lang w:val="en-US" w:eastAsia="zh-CN"/>
        </w:rPr>
        <w:t xml:space="preserve"> for uranium</w:t>
      </w:r>
    </w:p>
    <w:tbl>
      <w:tblPr>
        <w:tblStyle w:val="8"/>
        <w:tblW w:w="9078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6301"/>
        <w:gridCol w:w="2079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698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Step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s</w:t>
            </w:r>
          </w:p>
        </w:tc>
        <w:tc>
          <w:tcPr>
            <w:tcW w:w="6301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Procedure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s</w:t>
            </w:r>
          </w:p>
        </w:tc>
        <w:tc>
          <w:tcPr>
            <w:tcW w:w="2079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  <w:t>States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bookmarkStart w:id="4" w:name="OLE_LINK37" w:colFirst="2" w:colLast="2"/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6301" w:type="dxa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Weighing 1 g of the sample (&lt;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100 mesh) in a centrifuge cup,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then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20.00 mL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boiled and cooled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deionized water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pH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 =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7.0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) was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add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ed to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centrifuge cup. After shaking at room temperature for 16 hours, the mixture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 was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centrifuge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d (4500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t>g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0 min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). The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supernat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ant was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filter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ed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 through a 0.45 μm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membrane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 and then the uranium concentration was determined.</w:t>
            </w:r>
          </w:p>
        </w:tc>
        <w:tc>
          <w:tcPr>
            <w:tcW w:w="2079" w:type="dxa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F0F0F"/>
                <w:sz w:val="20"/>
                <w:szCs w:val="20"/>
                <w:highlight w:val="none"/>
              </w:rPr>
              <w:t>L</w:t>
            </w:r>
            <w:r>
              <w:rPr>
                <w:rFonts w:hint="default" w:ascii="Times New Roman" w:hAnsi="Times New Roman" w:cs="Times New Roman"/>
                <w:color w:val="0F0F0F"/>
                <w:sz w:val="20"/>
                <w:szCs w:val="20"/>
                <w:highlight w:val="none"/>
                <w:vertAlign w:val="subscript"/>
              </w:rPr>
              <w:t>0</w:t>
            </w:r>
            <w:r>
              <w:rPr>
                <w:rFonts w:hint="default" w:ascii="Times New Roman" w:hAnsi="Times New Roman" w:cs="Times New Roman"/>
                <w:color w:val="0F0F0F"/>
                <w:sz w:val="20"/>
                <w:szCs w:val="20"/>
                <w:highlight w:val="none"/>
              </w:rPr>
              <w:t xml:space="preserve">, </w:t>
            </w:r>
            <w:r>
              <w:rPr>
                <w:rFonts w:hint="default" w:ascii="Times New Roman" w:hAnsi="Times New Roman" w:eastAsia="Segoe UI" w:cs="Times New Roman"/>
                <w:color w:val="0F0F0F"/>
                <w:sz w:val="20"/>
                <w:szCs w:val="20"/>
                <w:highlight w:val="none"/>
              </w:rPr>
              <w:t xml:space="preserve">water-soluble </w:t>
            </w:r>
            <w:bookmarkStart w:id="5" w:name="OLE_LINK62"/>
            <w:r>
              <w:rPr>
                <w:rFonts w:hint="default" w:ascii="Times New Roman" w:hAnsi="Times New Roman" w:cs="Times New Roman"/>
                <w:color w:val="0F0F0F"/>
                <w:sz w:val="20"/>
                <w:szCs w:val="20"/>
                <w:highlight w:val="none"/>
                <w:lang w:val="en-US" w:eastAsia="zh-CN"/>
              </w:rPr>
              <w:t>state</w:t>
            </w:r>
            <w:bookmarkEnd w:id="5"/>
            <w:r>
              <w:rPr>
                <w:rFonts w:hint="default" w:ascii="Times New Roman" w:hAnsi="Times New Roman" w:cs="Times New Roman"/>
                <w:color w:val="0F0F0F"/>
                <w:sz w:val="20"/>
                <w:szCs w:val="20"/>
                <w:highlight w:val="none"/>
                <w:lang w:val="en-US" w:eastAsia="zh-CN"/>
              </w:rPr>
              <w:t>.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6301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Additionally 1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g of the sample was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dd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ed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 a centrifuge cup, followed by the addition of 40.00 mL of acetic acid solution (0.11 M). After oscillating at room temperature for 16 hours, the mixture was centrifuged (3000 </w:t>
            </w: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highlight w:val="none"/>
              </w:rPr>
              <w:t>g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, 20 min), and the supernat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ant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 was collected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for analysis of uranium concentration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. The remaining residue (R2) was reserved for the next extraction step.</w:t>
            </w:r>
          </w:p>
        </w:tc>
        <w:tc>
          <w:tcPr>
            <w:tcW w:w="2079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L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vertAlign w:val="subscript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F0F0F"/>
                <w:sz w:val="20"/>
                <w:szCs w:val="20"/>
                <w:highlight w:val="none"/>
              </w:rPr>
              <w:t>w</w:t>
            </w:r>
            <w:r>
              <w:rPr>
                <w:rFonts w:hint="default" w:ascii="Times New Roman" w:hAnsi="Times New Roman" w:eastAsia="Segoe UI" w:cs="Times New Roman"/>
                <w:color w:val="0F0F0F"/>
                <w:sz w:val="20"/>
                <w:szCs w:val="20"/>
                <w:highlight w:val="none"/>
              </w:rPr>
              <w:t xml:space="preserve">eak acid-extractable </w:t>
            </w:r>
            <w:r>
              <w:rPr>
                <w:rFonts w:hint="default" w:ascii="Times New Roman" w:hAnsi="Times New Roman" w:cs="Times New Roman"/>
                <w:color w:val="0F0F0F"/>
                <w:sz w:val="20"/>
                <w:szCs w:val="20"/>
                <w:highlight w:val="none"/>
                <w:lang w:val="en-US" w:eastAsia="zh-CN"/>
              </w:rPr>
              <w:t>state</w:t>
            </w:r>
            <w:r>
              <w:rPr>
                <w:rFonts w:hint="default" w:ascii="Times New Roman" w:hAnsi="Times New Roman" w:eastAsia="Segoe UI" w:cs="Times New Roman"/>
                <w:color w:val="0F0F0F"/>
                <w:sz w:val="20"/>
                <w:szCs w:val="20"/>
                <w:highlight w:val="none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F0F0F"/>
                <w:sz w:val="20"/>
                <w:szCs w:val="20"/>
                <w:highlight w:val="none"/>
              </w:rPr>
              <w:t>including</w:t>
            </w:r>
            <w:r>
              <w:rPr>
                <w:rFonts w:hint="default" w:ascii="Times New Roman" w:hAnsi="Times New Roman" w:eastAsia="Segoe UI" w:cs="Times New Roman"/>
                <w:color w:val="0F0F0F"/>
                <w:sz w:val="20"/>
                <w:szCs w:val="20"/>
                <w:highlight w:val="none"/>
              </w:rPr>
              <w:t xml:space="preserve"> ion exchangeable and carbonate-bound </w:t>
            </w:r>
            <w:r>
              <w:rPr>
                <w:rFonts w:hint="default" w:ascii="Times New Roman" w:hAnsi="Times New Roman" w:cs="Times New Roman"/>
                <w:color w:val="0F0F0F"/>
                <w:sz w:val="20"/>
                <w:szCs w:val="20"/>
                <w:highlight w:val="none"/>
                <w:lang w:val="en-US" w:eastAsia="zh-CN"/>
              </w:rPr>
              <w:t>fractions</w:t>
            </w:r>
            <w:r>
              <w:rPr>
                <w:rFonts w:hint="default" w:ascii="Times New Roman" w:hAnsi="Times New Roman" w:eastAsia="Segoe UI" w:cs="Times New Roman"/>
                <w:color w:val="0F0F0F"/>
                <w:sz w:val="20"/>
                <w:szCs w:val="20"/>
                <w:highlight w:val="none"/>
              </w:rPr>
              <w:t>.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6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ydroxylamine hydrochloride solution (0.5 M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40.00 mL)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 was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add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ed t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o the solid residue R2 obtained from the second step. The subsequent steps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eastAsia="zh-CN"/>
              </w:rPr>
              <w:t>w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ere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 identical to Step 2.</w:t>
            </w:r>
          </w:p>
        </w:tc>
        <w:tc>
          <w:tcPr>
            <w:tcW w:w="2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L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, reducible </w:t>
            </w:r>
            <w:r>
              <w:rPr>
                <w:rFonts w:hint="default" w:ascii="Times New Roman" w:hAnsi="Times New Roman" w:cs="Times New Roman"/>
                <w:color w:val="0F0F0F"/>
                <w:sz w:val="20"/>
                <w:szCs w:val="20"/>
                <w:highlight w:val="none"/>
                <w:lang w:val="en-US" w:eastAsia="zh-CN"/>
              </w:rPr>
              <w:t>state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, including iron, manganese, and aluminum oxides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-bound fractions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.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6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A total of 10.00 mL of hydrogen peroxide with a pH of 3 was gradually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dd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ed into the solid residue R3 in four separate additions. The mixture was then allowed to undergo digestion at room temperature for a duration of 1 hour, followed by further heating and digestion in an electric thermostatic water bath set at 85 °C for an additional hour. After cooling, these aforementioned steps were repeated until the resulting solution reached a volume of approximately 1 mL. Subsequently, 50.00 mL ammonium acetate solution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1 M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)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was added, and the mixture was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hak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eastAsia="zh-CN"/>
              </w:rPr>
              <w:t>e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 at room temperature for a duration of 16 hours, followed by centrifugation. The subsequent steps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eastAsia="zh-CN"/>
              </w:rPr>
              <w:t>w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ere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 identical to Step 2.</w:t>
            </w:r>
          </w:p>
        </w:tc>
        <w:tc>
          <w:tcPr>
            <w:tcW w:w="2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L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vertAlign w:val="subscript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, Oxidizable </w:t>
            </w:r>
            <w:r>
              <w:rPr>
                <w:rFonts w:hint="default" w:ascii="Times New Roman" w:hAnsi="Times New Roman" w:cs="Times New Roman"/>
                <w:color w:val="0F0F0F"/>
                <w:sz w:val="20"/>
                <w:szCs w:val="20"/>
                <w:highlight w:val="none"/>
                <w:lang w:val="en-US" w:eastAsia="zh-CN"/>
              </w:rPr>
              <w:t>state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, including organic matter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and sulfide-bound fraction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.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6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he solid residue R4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was taken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 into an electrically heated constant- temperature water bath at approximately 60</w:t>
            </w:r>
            <w:bookmarkStart w:id="6" w:name="OLE_LINK63"/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°C</w:t>
            </w:r>
            <w:bookmarkEnd w:id="6"/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 until it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was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evaporate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.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he evaporated solid residue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0.1 g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)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was taken for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dissolution in a mixed acid solution of hydrochloric acid, nitric acid, hydrofluoric acid, and perchloric acid, and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 xml:space="preserve">then 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the uranium con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en-US" w:eastAsia="zh-CN"/>
              </w:rPr>
              <w:t>centration was determined.</w:t>
            </w:r>
          </w:p>
        </w:tc>
        <w:tc>
          <w:tcPr>
            <w:tcW w:w="2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L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  <w:vertAlign w:val="subscript"/>
              </w:rPr>
              <w:t>4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 xml:space="preserve">, Residual </w:t>
            </w:r>
            <w:r>
              <w:rPr>
                <w:rFonts w:hint="default" w:ascii="Times New Roman" w:hAnsi="Times New Roman" w:cs="Times New Roman"/>
                <w:color w:val="0F0F0F"/>
                <w:sz w:val="20"/>
                <w:szCs w:val="20"/>
                <w:highlight w:val="none"/>
                <w:lang w:val="en-US" w:eastAsia="zh-CN"/>
              </w:rPr>
              <w:t>state</w:t>
            </w: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.</w:t>
            </w:r>
          </w:p>
        </w:tc>
      </w:tr>
      <w:bookmarkEnd w:id="4"/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0"/>
        <w:jc w:val="left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The uranium concentration (</w:t>
      </w:r>
      <w:r>
        <w:rPr>
          <w:rFonts w:hint="default" w:ascii="Times New Roman" w:hAnsi="Times New Roman" w:cs="Times New Roman"/>
          <w:i/>
          <w:iCs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L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, mg</w:t>
      </w:r>
      <w:r>
        <w:rPr>
          <w:rFonts w:hint="eastAsia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L</w:t>
      </w:r>
      <w:r>
        <w:rPr>
          <w:rFonts w:hint="eastAsia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vertAlign w:val="superscript"/>
          <w:lang w:val="en-US" w:eastAsia="zh-CN"/>
        </w:rPr>
        <w:t>-1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) in the extraction solution from each step was quantified using ICP-MS. The uranium content in each specific state (</w:t>
      </w:r>
      <w:r>
        <w:rPr>
          <w:rFonts w:hint="default" w:ascii="Times New Roman" w:hAnsi="Times New Roman" w:cs="Times New Roman"/>
          <w:i/>
          <w:iCs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Q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, mg</w:t>
      </w:r>
      <w:r>
        <w:rPr>
          <w:rFonts w:hint="eastAsia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kg</w:t>
      </w:r>
      <w:r>
        <w:rPr>
          <w:rFonts w:hint="eastAsia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vertAlign w:val="superscript"/>
          <w:lang w:val="en-US" w:eastAsia="zh-CN"/>
        </w:rPr>
        <w:t>-1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 xml:space="preserve">) was subsequently calculated using the following formula: </w:t>
      </w:r>
      <w:r>
        <w:rPr>
          <w:rFonts w:hint="default" w:ascii="Times New Roman" w:hAnsi="Times New Roman" w:cs="Times New Roman"/>
          <w:i/>
          <w:iCs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Q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 xml:space="preserve"> = </w:t>
      </w:r>
      <w:r>
        <w:rPr>
          <w:rFonts w:hint="default" w:ascii="Times New Roman" w:hAnsi="Times New Roman" w:cs="Times New Roman"/>
          <w:i/>
          <w:iCs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L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 xml:space="preserve"> × </w:t>
      </w:r>
      <w:r>
        <w:rPr>
          <w:rFonts w:hint="default" w:ascii="Times New Roman" w:hAnsi="Times New Roman" w:cs="Times New Roman"/>
          <w:i/>
          <w:iCs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V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/</w:t>
      </w:r>
      <w:r>
        <w:rPr>
          <w:rFonts w:hint="default" w:ascii="Times New Roman" w:hAnsi="Times New Roman" w:cs="Times New Roman"/>
          <w:i/>
          <w:iCs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m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 xml:space="preserve">, where </w:t>
      </w:r>
      <w:r>
        <w:rPr>
          <w:rFonts w:hint="default" w:ascii="Times New Roman" w:hAnsi="Times New Roman" w:cs="Times New Roman"/>
          <w:i/>
          <w:iCs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V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 xml:space="preserve"> represents the volume of the extraction solution (L) and </w:t>
      </w:r>
      <w:r>
        <w:rPr>
          <w:rFonts w:hint="default" w:ascii="Times New Roman" w:hAnsi="Times New Roman" w:cs="Times New Roman"/>
          <w:i/>
          <w:iCs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m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 xml:space="preserve"> denotes the mass of the waste rock </w:t>
      </w:r>
      <w:r>
        <w:rPr>
          <w:rFonts w:hint="eastAsia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 xml:space="preserve">and residue 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sample</w:t>
      </w:r>
      <w:r>
        <w:rPr>
          <w:rFonts w:hint="eastAsia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>s</w:t>
      </w:r>
      <w:r>
        <w:rPr>
          <w:rFonts w:hint="default" w:ascii="Times New Roman" w:hAnsi="Times New Roman" w:cs="Times New Roman"/>
          <w:i w:val="0"/>
          <w:iCs w:val="0"/>
          <w:caps w:val="0"/>
          <w:color w:val="2A2B2E"/>
          <w:spacing w:val="0"/>
          <w:sz w:val="20"/>
          <w:szCs w:val="20"/>
          <w:shd w:val="clear" w:color="auto" w:fill="FFFFFF"/>
          <w:lang w:val="en-US" w:eastAsia="zh-CN"/>
        </w:rPr>
        <w:t xml:space="preserve"> (kg).</w:t>
      </w:r>
    </w:p>
    <w:p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drawing>
          <wp:inline distT="0" distB="0" distL="114300" distR="114300">
            <wp:extent cx="5258435" cy="3933825"/>
            <wp:effectExtent l="0" t="0" r="14605" b="13335"/>
            <wp:docPr id="2" name="图片 1" descr="逐级化学提取结果-相对含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逐级化学提取结果-相对含量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288" w:lineRule="auto"/>
        <w:jc w:val="center"/>
        <w:textAlignment w:val="auto"/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>Fig. S1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 Relative contents (%) of five states of uranium in waste rock samples before and after leaching</w:t>
      </w:r>
    </w:p>
    <w:p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drawing>
          <wp:inline distT="0" distB="0" distL="114300" distR="114300">
            <wp:extent cx="5270500" cy="3921760"/>
            <wp:effectExtent l="0" t="0" r="2540" b="10160"/>
            <wp:docPr id="4" name="图片 2" descr="石煤废石光学显微镜及SEM-EDS下特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石煤废石光学显微镜及SEM-EDS下特征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2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Fig. S2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Mineral composition and organic matter of stone coal waste rock observed under optical microscope and scanning electron microscope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drawing>
          <wp:inline distT="0" distB="0" distL="114300" distR="114300">
            <wp:extent cx="5273040" cy="3954780"/>
            <wp:effectExtent l="0" t="0" r="0" b="7620"/>
            <wp:docPr id="3" name="图片 3" descr="浸出残渣表面微观形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浸出残渣表面微观形貌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Fig. S3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The surface microtopography of leached waste rock residues observed by scanning electron microscopy</w:t>
      </w:r>
    </w:p>
    <w:p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>
      <w:pPr>
        <w:widowControl/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sz w:val="20"/>
          <w:szCs w:val="20"/>
          <w:highlight w:val="none"/>
        </w:rPr>
      </w:pPr>
    </w:p>
    <w:p>
      <w:pPr>
        <w:rPr>
          <w:rFonts w:ascii="Times New Roman" w:hAnsi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  <mc:AlternateContent>
        <mc:Choice Requires="wpsCustomData">
          <wpsCustomData:blankLineNoLineNum/>
        </mc:Choice>
      </mc:AlternateContent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15A5A8"/>
    <w:multiLevelType w:val="singleLevel"/>
    <w:tmpl w:val="9715A5A8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YTk2NWU3OTRhNTU0YjZlNWE0ODExMjY4YzM0MTgifQ=="/>
  </w:docVars>
  <w:rsids>
    <w:rsidRoot w:val="00000000"/>
    <w:rsid w:val="011277F1"/>
    <w:rsid w:val="01A7647D"/>
    <w:rsid w:val="02535CBD"/>
    <w:rsid w:val="053D5466"/>
    <w:rsid w:val="06E14CBE"/>
    <w:rsid w:val="08326375"/>
    <w:rsid w:val="090D306A"/>
    <w:rsid w:val="095277EB"/>
    <w:rsid w:val="0A7E3AF3"/>
    <w:rsid w:val="0C236700"/>
    <w:rsid w:val="0C886EAB"/>
    <w:rsid w:val="0CAA2532"/>
    <w:rsid w:val="0D42677B"/>
    <w:rsid w:val="0D6C60A8"/>
    <w:rsid w:val="0EC64173"/>
    <w:rsid w:val="0F470958"/>
    <w:rsid w:val="0FF46D31"/>
    <w:rsid w:val="10B77D5F"/>
    <w:rsid w:val="12062D4C"/>
    <w:rsid w:val="127001C5"/>
    <w:rsid w:val="128C351C"/>
    <w:rsid w:val="136917E4"/>
    <w:rsid w:val="14634486"/>
    <w:rsid w:val="15791A87"/>
    <w:rsid w:val="18365A0D"/>
    <w:rsid w:val="187E2A36"/>
    <w:rsid w:val="1C6A2129"/>
    <w:rsid w:val="1DC6338F"/>
    <w:rsid w:val="1E786D7F"/>
    <w:rsid w:val="1E9B481C"/>
    <w:rsid w:val="1EC93137"/>
    <w:rsid w:val="1EE832AA"/>
    <w:rsid w:val="1F7A5F42"/>
    <w:rsid w:val="24BA00D8"/>
    <w:rsid w:val="25D7082F"/>
    <w:rsid w:val="26795443"/>
    <w:rsid w:val="26B2113E"/>
    <w:rsid w:val="275B5C32"/>
    <w:rsid w:val="288B71F1"/>
    <w:rsid w:val="2A116D87"/>
    <w:rsid w:val="2B1D48EC"/>
    <w:rsid w:val="2B822FEC"/>
    <w:rsid w:val="2C382635"/>
    <w:rsid w:val="2FBD01D7"/>
    <w:rsid w:val="313E5C07"/>
    <w:rsid w:val="314F1BC2"/>
    <w:rsid w:val="342A06C4"/>
    <w:rsid w:val="35BE7316"/>
    <w:rsid w:val="371C6690"/>
    <w:rsid w:val="398E1ACE"/>
    <w:rsid w:val="3ABB3E24"/>
    <w:rsid w:val="3BC27434"/>
    <w:rsid w:val="3BF14242"/>
    <w:rsid w:val="3EAF42CB"/>
    <w:rsid w:val="406960D0"/>
    <w:rsid w:val="415A5167"/>
    <w:rsid w:val="41634699"/>
    <w:rsid w:val="446058AE"/>
    <w:rsid w:val="467D4684"/>
    <w:rsid w:val="46880A03"/>
    <w:rsid w:val="4794705B"/>
    <w:rsid w:val="47B42327"/>
    <w:rsid w:val="4AB663B6"/>
    <w:rsid w:val="4B9A5CD8"/>
    <w:rsid w:val="4CB371B6"/>
    <w:rsid w:val="501E1364"/>
    <w:rsid w:val="50C555A5"/>
    <w:rsid w:val="51EC090F"/>
    <w:rsid w:val="521B72A0"/>
    <w:rsid w:val="52A1794C"/>
    <w:rsid w:val="5426635A"/>
    <w:rsid w:val="54507527"/>
    <w:rsid w:val="552C5BF2"/>
    <w:rsid w:val="55524BDB"/>
    <w:rsid w:val="5717642E"/>
    <w:rsid w:val="57417368"/>
    <w:rsid w:val="57574A7D"/>
    <w:rsid w:val="578F3E06"/>
    <w:rsid w:val="59050C34"/>
    <w:rsid w:val="5A7476F4"/>
    <w:rsid w:val="5CCD5F2B"/>
    <w:rsid w:val="5CCE758F"/>
    <w:rsid w:val="5E653523"/>
    <w:rsid w:val="5F5C624D"/>
    <w:rsid w:val="5F697A43"/>
    <w:rsid w:val="606171B6"/>
    <w:rsid w:val="639332E1"/>
    <w:rsid w:val="65055B18"/>
    <w:rsid w:val="6617428D"/>
    <w:rsid w:val="666F593F"/>
    <w:rsid w:val="695928D6"/>
    <w:rsid w:val="697548CB"/>
    <w:rsid w:val="6C702411"/>
    <w:rsid w:val="6D7039FC"/>
    <w:rsid w:val="6E112B79"/>
    <w:rsid w:val="6F8A43CB"/>
    <w:rsid w:val="6FDD600F"/>
    <w:rsid w:val="70C96594"/>
    <w:rsid w:val="720553A9"/>
    <w:rsid w:val="77E86D16"/>
    <w:rsid w:val="786848E4"/>
    <w:rsid w:val="789E3E62"/>
    <w:rsid w:val="7924080B"/>
    <w:rsid w:val="7C3E6473"/>
    <w:rsid w:val="7C8B43C5"/>
    <w:rsid w:val="7CCD3D02"/>
    <w:rsid w:val="7DCC75AC"/>
    <w:rsid w:val="7E5D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napToGrid w:val="0"/>
      <w:spacing w:beforeLines="0" w:beforeAutospacing="0" w:afterLines="0" w:afterAutospacing="0" w:line="360" w:lineRule="auto"/>
      <w:jc w:val="center"/>
      <w:outlineLvl w:val="0"/>
    </w:pPr>
    <w:rPr>
      <w:rFonts w:ascii="Calibri" w:hAnsi="Calibri" w:eastAsia="黑体" w:cs="Times New Roman"/>
      <w:b/>
      <w:kern w:val="44"/>
      <w:sz w:val="32"/>
      <w:szCs w:val="2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360" w:lineRule="auto"/>
      <w:ind w:firstLine="0" w:firstLineChars="0"/>
      <w:jc w:val="left"/>
      <w:outlineLvl w:val="1"/>
    </w:pPr>
    <w:rPr>
      <w:rFonts w:ascii="Arial" w:hAnsi="Arial" w:eastAsia="宋体" w:cs="Times New Roman"/>
      <w:b/>
      <w:sz w:val="30"/>
      <w:szCs w:val="2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beforeAutospacing="0" w:afterAutospacing="0" w:line="360" w:lineRule="auto"/>
      <w:ind w:firstLine="0" w:firstLineChars="0"/>
      <w:jc w:val="left"/>
      <w:outlineLvl w:val="2"/>
    </w:pPr>
    <w:rPr>
      <w:rFonts w:ascii="Times New Roman" w:hAnsi="Times New Roman" w:eastAsia="宋体" w:cs="Times New Roman"/>
      <w:sz w:val="28"/>
      <w:szCs w:val="2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0">
    <w:name w:val="图表名"/>
    <w:basedOn w:val="1"/>
    <w:qFormat/>
    <w:uiPriority w:val="0"/>
    <w:pPr>
      <w:adjustRightInd w:val="0"/>
      <w:snapToGrid w:val="0"/>
      <w:spacing w:line="300" w:lineRule="auto"/>
      <w:jc w:val="center"/>
    </w:pPr>
    <w:rPr>
      <w:rFonts w:hint="eastAsia" w:ascii="Times New Roman" w:hAnsi="Times New Roman"/>
      <w:b/>
      <w:szCs w:val="21"/>
    </w:rPr>
  </w:style>
  <w:style w:type="character" w:customStyle="1" w:styleId="11">
    <w:name w:val="font21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2">
    <w:name w:val="font31"/>
    <w:qFormat/>
    <w:uiPriority w:val="0"/>
    <w:rPr>
      <w:rFonts w:hint="default" w:ascii="Arial" w:hAnsi="Arial" w:cs="Arial"/>
      <w:color w:val="000000"/>
      <w:sz w:val="20"/>
      <w:szCs w:val="20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2021-11-11T11:10:00Z</dcterms:created>
  <dc:creator>wxx</dc:creator>
  <cp:lastModifiedBy>魏信祥</cp:lastModifiedBy>
  <dcterms:modified xsi:type="dcterms:W3CDTF">2025-06-23T13:25:26Z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D09E45812C2646518073F3B6FA1334CF</vt:lpwstr>
  </property>
</Properties>
</file>