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33956" w14:textId="16535BD1" w:rsidR="00512435" w:rsidRPr="003D1624" w:rsidRDefault="00E429A6" w:rsidP="003D1624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Additional File</w:t>
      </w:r>
      <w:r w:rsidR="00337F0C">
        <w:rPr>
          <w:rFonts w:ascii="Times New Roman" w:hAnsi="Times New Roman" w:cs="Times New Roman"/>
          <w:i/>
          <w:iCs/>
          <w:sz w:val="32"/>
          <w:szCs w:val="32"/>
        </w:rPr>
        <w:t xml:space="preserve"> 1</w:t>
      </w:r>
    </w:p>
    <w:p w14:paraId="2D927D08" w14:textId="11E412D3" w:rsidR="003D1624" w:rsidRPr="003D1624" w:rsidRDefault="003D1624" w:rsidP="003D162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0FB7D4" w14:textId="7E47416A" w:rsidR="003D1624" w:rsidRDefault="003F1335" w:rsidP="003D1624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8440251" wp14:editId="671DD37D">
            <wp:extent cx="5727700" cy="2487295"/>
            <wp:effectExtent l="0" t="0" r="6350" b="8255"/>
            <wp:docPr id="1927614974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48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5B46A" w14:textId="7FBA68C8" w:rsidR="00456119" w:rsidRPr="00456119" w:rsidRDefault="000E735D" w:rsidP="000F222D">
      <w:pPr>
        <w:jc w:val="left"/>
        <w:rPr>
          <w:rFonts w:ascii="Times New Roman" w:hAnsi="Times New Roman" w:cs="Times New Roman"/>
          <w:sz w:val="24"/>
          <w:szCs w:val="24"/>
        </w:rPr>
      </w:pPr>
      <w:r w:rsidRPr="000F222D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E429A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56119" w:rsidRPr="000F222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456119">
        <w:rPr>
          <w:rFonts w:ascii="Times New Roman" w:hAnsi="Times New Roman" w:cs="Times New Roman"/>
          <w:sz w:val="24"/>
          <w:szCs w:val="24"/>
        </w:rPr>
        <w:t xml:space="preserve"> </w:t>
      </w:r>
      <w:r w:rsidR="00540829" w:rsidRPr="00540829">
        <w:rPr>
          <w:rFonts w:ascii="Times New Roman" w:hAnsi="Times New Roman" w:cs="Times New Roman"/>
          <w:sz w:val="24"/>
          <w:szCs w:val="24"/>
        </w:rPr>
        <w:t xml:space="preserve">Gating strategy for flow cytometric analysis of canine peripheral blood mononuclear cells (PBMCs). A representative gating workflow is shown to identify viable CD14⁻ lymphocytes (highlighted by red arrows), which were used for downstream immunophenotyping. This gating strategy was consistently applied across all flow cytometry datasets to identify </w:t>
      </w:r>
      <w:r w:rsidR="00540829">
        <w:rPr>
          <w:rFonts w:ascii="Times New Roman" w:hAnsi="Times New Roman" w:cs="Times New Roman"/>
          <w:sz w:val="24"/>
          <w:szCs w:val="24"/>
        </w:rPr>
        <w:t>CD3</w:t>
      </w:r>
      <w:r w:rsidR="00540829" w:rsidRPr="003F133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540829" w:rsidRPr="003F1335">
        <w:rPr>
          <w:rFonts w:ascii="Times New Roman" w:hAnsi="Times New Roman" w:cs="Times New Roman"/>
          <w:sz w:val="24"/>
          <w:szCs w:val="24"/>
        </w:rPr>
        <w:t>CD5</w:t>
      </w:r>
      <w:r w:rsidR="00540829" w:rsidRPr="003F1335">
        <w:rPr>
          <w:rFonts w:ascii="Times New Roman" w:hAnsi="Times New Roman" w:cs="Times New Roman"/>
          <w:sz w:val="24"/>
          <w:szCs w:val="24"/>
          <w:vertAlign w:val="superscript"/>
        </w:rPr>
        <w:t>+low</w:t>
      </w:r>
      <w:r w:rsidR="00540829">
        <w:rPr>
          <w:rFonts w:ascii="Times New Roman" w:hAnsi="Times New Roman" w:cs="Times New Roman"/>
          <w:sz w:val="24"/>
          <w:szCs w:val="24"/>
        </w:rPr>
        <w:t xml:space="preserve">, </w:t>
      </w:r>
      <w:r w:rsidR="00540829" w:rsidRPr="00CD36DF">
        <w:rPr>
          <w:rFonts w:ascii="Times New Roman" w:hAnsi="Times New Roman" w:cs="Times New Roman"/>
          <w:sz w:val="24"/>
          <w:szCs w:val="24"/>
        </w:rPr>
        <w:t>N</w:t>
      </w:r>
      <w:r w:rsidR="00540829">
        <w:rPr>
          <w:rFonts w:ascii="Times New Roman" w:hAnsi="Times New Roman" w:cs="Times New Roman"/>
          <w:sz w:val="24"/>
          <w:szCs w:val="24"/>
        </w:rPr>
        <w:t>K</w:t>
      </w:r>
      <w:r w:rsidR="00540829" w:rsidRPr="00CD36DF">
        <w:rPr>
          <w:rFonts w:ascii="Times New Roman" w:hAnsi="Times New Roman" w:cs="Times New Roman"/>
          <w:sz w:val="24"/>
          <w:szCs w:val="24"/>
        </w:rPr>
        <w:t>p46⁺CD5⁺</w:t>
      </w:r>
      <w:r w:rsidR="00540829" w:rsidRPr="00CD36DF">
        <w:rPr>
          <w:rFonts w:ascii="Times New Roman" w:hAnsi="Times New Roman" w:cs="Times New Roman"/>
          <w:sz w:val="24"/>
          <w:szCs w:val="24"/>
          <w:vertAlign w:val="superscript"/>
        </w:rPr>
        <w:t>low</w:t>
      </w:r>
      <w:r w:rsidR="00540829">
        <w:rPr>
          <w:rFonts w:ascii="Times New Roman" w:hAnsi="Times New Roman" w:cs="Times New Roman"/>
          <w:sz w:val="24"/>
          <w:szCs w:val="24"/>
        </w:rPr>
        <w:t xml:space="preserve">, Non-B Non-T, </w:t>
      </w:r>
      <w:r w:rsidR="00540829" w:rsidRPr="00CD36DF">
        <w:rPr>
          <w:rFonts w:ascii="Times New Roman" w:hAnsi="Times New Roman" w:cs="Times New Roman"/>
          <w:sz w:val="24"/>
          <w:szCs w:val="24"/>
        </w:rPr>
        <w:t>CD4⁺CD5⁺</w:t>
      </w:r>
      <w:r w:rsidR="00540829">
        <w:rPr>
          <w:rFonts w:ascii="Times New Roman" w:hAnsi="Times New Roman" w:cs="Times New Roman"/>
          <w:sz w:val="24"/>
          <w:szCs w:val="24"/>
        </w:rPr>
        <w:t xml:space="preserve">, and </w:t>
      </w:r>
      <w:r w:rsidR="00540829" w:rsidRPr="00CD36DF">
        <w:rPr>
          <w:rFonts w:ascii="Times New Roman" w:hAnsi="Times New Roman" w:cs="Times New Roman"/>
          <w:sz w:val="24"/>
          <w:szCs w:val="24"/>
        </w:rPr>
        <w:t>CD8⁺CD5⁺</w:t>
      </w:r>
      <w:r w:rsidR="00540829" w:rsidRPr="00CD36DF">
        <w:rPr>
          <w:rFonts w:ascii="Times New Roman" w:hAnsi="Times New Roman" w:cs="Times New Roman"/>
          <w:sz w:val="24"/>
          <w:szCs w:val="24"/>
          <w:vertAlign w:val="superscript"/>
        </w:rPr>
        <w:t>low</w:t>
      </w:r>
      <w:r w:rsidR="00540829" w:rsidRPr="00540829">
        <w:rPr>
          <w:rFonts w:ascii="Times New Roman" w:hAnsi="Times New Roman" w:cs="Times New Roman"/>
          <w:sz w:val="24"/>
          <w:szCs w:val="24"/>
        </w:rPr>
        <w:t xml:space="preserve"> lymphocyte subsets. Plots marked with green arrows represent sample data from each respective analysis, demonstrating consistent application of the gating procedure.</w:t>
      </w:r>
    </w:p>
    <w:sectPr w:rsidR="00456119" w:rsidRPr="0045611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05062" w14:textId="77777777" w:rsidR="006F4B12" w:rsidRDefault="006F4B12" w:rsidP="003D1624">
      <w:pPr>
        <w:spacing w:after="0" w:line="240" w:lineRule="auto"/>
      </w:pPr>
      <w:r>
        <w:separator/>
      </w:r>
    </w:p>
  </w:endnote>
  <w:endnote w:type="continuationSeparator" w:id="0">
    <w:p w14:paraId="628822DC" w14:textId="77777777" w:rsidR="006F4B12" w:rsidRDefault="006F4B12" w:rsidP="003D1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EA17D" w14:textId="77777777" w:rsidR="006F4B12" w:rsidRDefault="006F4B12" w:rsidP="003D1624">
      <w:pPr>
        <w:spacing w:after="0" w:line="240" w:lineRule="auto"/>
      </w:pPr>
      <w:r>
        <w:separator/>
      </w:r>
    </w:p>
  </w:footnote>
  <w:footnote w:type="continuationSeparator" w:id="0">
    <w:p w14:paraId="765E0CD7" w14:textId="77777777" w:rsidR="006F4B12" w:rsidRDefault="006F4B12" w:rsidP="003D16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624"/>
    <w:rsid w:val="000E735D"/>
    <w:rsid w:val="000F222D"/>
    <w:rsid w:val="00140373"/>
    <w:rsid w:val="00222E52"/>
    <w:rsid w:val="00337F0C"/>
    <w:rsid w:val="003D1624"/>
    <w:rsid w:val="003F1335"/>
    <w:rsid w:val="003F3D61"/>
    <w:rsid w:val="00400809"/>
    <w:rsid w:val="00454260"/>
    <w:rsid w:val="00456119"/>
    <w:rsid w:val="00474630"/>
    <w:rsid w:val="004A0141"/>
    <w:rsid w:val="00512435"/>
    <w:rsid w:val="00540829"/>
    <w:rsid w:val="00547875"/>
    <w:rsid w:val="00594F5F"/>
    <w:rsid w:val="006F4B12"/>
    <w:rsid w:val="007127CB"/>
    <w:rsid w:val="00971A9E"/>
    <w:rsid w:val="00C11394"/>
    <w:rsid w:val="00C7185B"/>
    <w:rsid w:val="00CE5FB3"/>
    <w:rsid w:val="00DB2BBA"/>
    <w:rsid w:val="00E3340C"/>
    <w:rsid w:val="00E4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D835AD"/>
  <w15:chartTrackingRefBased/>
  <w15:docId w15:val="{7FBB8141-0DA3-4622-A40B-FAD76B611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162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D1624"/>
  </w:style>
  <w:style w:type="paragraph" w:styleId="a4">
    <w:name w:val="footer"/>
    <w:basedOn w:val="a"/>
    <w:link w:val="Char0"/>
    <w:uiPriority w:val="99"/>
    <w:unhideWhenUsed/>
    <w:rsid w:val="003D162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D1624"/>
  </w:style>
  <w:style w:type="character" w:styleId="a5">
    <w:name w:val="Hyperlink"/>
    <w:basedOn w:val="a0"/>
    <w:uiPriority w:val="99"/>
    <w:unhideWhenUsed/>
    <w:rsid w:val="003D16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Yooran SUH</cp:lastModifiedBy>
  <cp:revision>2</cp:revision>
  <dcterms:created xsi:type="dcterms:W3CDTF">2025-06-23T08:28:00Z</dcterms:created>
  <dcterms:modified xsi:type="dcterms:W3CDTF">2025-06-23T08:28:00Z</dcterms:modified>
</cp:coreProperties>
</file>