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C5134" w14:textId="77777777" w:rsidR="00C0040E" w:rsidRPr="000E48B4" w:rsidRDefault="00C0040E" w:rsidP="00C922E0">
      <w:p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hint="eastAsia"/>
          <w:b/>
          <w:bCs/>
          <w:color w:val="000000" w:themeColor="text1"/>
          <w:sz w:val="24"/>
        </w:rPr>
        <w:t>Supplementary Methods</w:t>
      </w:r>
    </w:p>
    <w:p w14:paraId="771417F2" w14:textId="466499F7" w:rsidR="00447BBF" w:rsidRPr="000E48B4" w:rsidRDefault="0044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Radiosynthesis</w:t>
      </w:r>
    </w:p>
    <w:p w14:paraId="58E799DF" w14:textId="049BE72F" w:rsidR="00447BBF" w:rsidRPr="000E48B4" w:rsidRDefault="00447BBF" w:rsidP="00C922E0">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 xml:space="preserve">The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Ga radiolabeling of NYM080 was performed manually in a hot cell.</w:t>
      </w:r>
      <w:r w:rsidRPr="000E48B4">
        <w:rPr>
          <w:rFonts w:ascii="Times New Roman" w:hAnsi="Times New Roman" w:cs="Times New Roman"/>
          <w:color w:val="000000" w:themeColor="text1"/>
          <w:kern w:val="0"/>
          <w:sz w:val="24"/>
        </w:rPr>
        <w:t xml:space="preserve">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 xml:space="preserve">Ga was first eluted from a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Ge/</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 xml:space="preserve">Ga generator (Eckert &amp; Ziegler, Germany) using 5 mL of 0.1 mol/L hydrochloric acid. Then the eluate was transferred to a reaction vial containing 60 </w:t>
      </w:r>
      <w:proofErr w:type="spellStart"/>
      <w:r w:rsidRPr="000E48B4">
        <w:rPr>
          <w:rFonts w:ascii="Times New Roman" w:hAnsi="Times New Roman" w:cs="Times New Roman"/>
          <w:color w:val="000000" w:themeColor="text1"/>
          <w:sz w:val="24"/>
        </w:rPr>
        <w:t>μg</w:t>
      </w:r>
      <w:proofErr w:type="spellEnd"/>
      <w:r w:rsidR="005F2A7B" w:rsidRPr="000E48B4">
        <w:rPr>
          <w:rFonts w:ascii="Times New Roman" w:hAnsi="Times New Roman" w:cs="Times New Roman" w:hint="eastAsia"/>
          <w:color w:val="000000" w:themeColor="text1"/>
          <w:sz w:val="24"/>
        </w:rPr>
        <w:t xml:space="preserve"> </w:t>
      </w:r>
      <w:r w:rsidR="008551C4" w:rsidRPr="000E48B4">
        <w:rPr>
          <w:rFonts w:ascii="Times New Roman" w:hAnsi="Times New Roman" w:cs="Times New Roman" w:hint="eastAsia"/>
          <w:color w:val="000000" w:themeColor="text1"/>
          <w:sz w:val="24"/>
        </w:rPr>
        <w:t>(47</w:t>
      </w:r>
      <w:r w:rsidR="008551C4" w:rsidRPr="000E48B4">
        <w:rPr>
          <w:rFonts w:ascii="Times New Roman" w:hAnsi="Times New Roman" w:cs="Times New Roman"/>
          <w:color w:val="000000" w:themeColor="text1"/>
          <w:sz w:val="24"/>
        </w:rPr>
        <w:t>.</w:t>
      </w:r>
      <w:r w:rsidR="008551C4" w:rsidRPr="000E48B4">
        <w:rPr>
          <w:rFonts w:ascii="Times New Roman" w:hAnsi="Times New Roman" w:cs="Times New Roman" w:hint="eastAsia"/>
          <w:color w:val="000000" w:themeColor="text1"/>
          <w:sz w:val="24"/>
        </w:rPr>
        <w:t>8</w:t>
      </w:r>
      <w:r w:rsidR="008551C4" w:rsidRPr="000E48B4">
        <w:rPr>
          <w:rFonts w:ascii="Times New Roman" w:hAnsi="Times New Roman" w:cs="Times New Roman"/>
          <w:color w:val="000000" w:themeColor="text1"/>
          <w:sz w:val="24"/>
        </w:rPr>
        <w:t xml:space="preserve"> nmol</w:t>
      </w:r>
      <w:r w:rsidR="008551C4" w:rsidRPr="000E48B4">
        <w:rPr>
          <w:rFonts w:ascii="Times New Roman" w:hAnsi="Times New Roman" w:cs="Times New Roman" w:hint="eastAsia"/>
          <w:color w:val="000000" w:themeColor="text1"/>
          <w:sz w:val="24"/>
        </w:rPr>
        <w:t>)</w:t>
      </w:r>
      <w:r w:rsidRPr="000E48B4">
        <w:rPr>
          <w:rFonts w:ascii="Times New Roman" w:hAnsi="Times New Roman" w:cs="Times New Roman"/>
          <w:color w:val="000000" w:themeColor="text1"/>
          <w:sz w:val="24"/>
        </w:rPr>
        <w:t xml:space="preserve"> of the precursor NYM080, dissolved in sodium acetate buffer, to achieve a final reaction mixture with a pH of 3. Following this, the reaction mixture was diluted with 5 mL of water and loaded onto a preconditioned C18 light Sep-Pak cartridge (treated with 5 mL ethanol and 5 mL water). Then the cartridge was rinsed with normal saline to remove any unincorporated radionuclides.</w:t>
      </w:r>
      <w:r w:rsidRPr="000E48B4">
        <w:rPr>
          <w:rFonts w:ascii="Times New Roman" w:hAnsi="Times New Roman" w:cs="Times New Roman"/>
          <w:color w:val="000000" w:themeColor="text1"/>
          <w:kern w:val="0"/>
          <w:sz w:val="24"/>
        </w:rPr>
        <w:t xml:space="preserve"> </w:t>
      </w:r>
      <w:r w:rsidRPr="000E48B4">
        <w:rPr>
          <w:rFonts w:ascii="Times New Roman" w:hAnsi="Times New Roman" w:cs="Times New Roman"/>
          <w:color w:val="000000" w:themeColor="text1"/>
          <w:sz w:val="24"/>
        </w:rPr>
        <w:t xml:space="preserve">Finally, the product was eluted off the cartridge with 0.5ml 75% ethanol solution followed by 5 ml normal saline through a Millipore filter (0.22 </w:t>
      </w:r>
      <w:proofErr w:type="spellStart"/>
      <w:r w:rsidRPr="000E48B4">
        <w:rPr>
          <w:rFonts w:ascii="Times New Roman" w:hAnsi="Times New Roman" w:cs="Times New Roman"/>
          <w:color w:val="000000" w:themeColor="text1"/>
          <w:sz w:val="24"/>
        </w:rPr>
        <w:t>μm</w:t>
      </w:r>
      <w:proofErr w:type="spellEnd"/>
      <w:r w:rsidRPr="000E48B4">
        <w:rPr>
          <w:rFonts w:ascii="Times New Roman" w:hAnsi="Times New Roman" w:cs="Times New Roman"/>
          <w:color w:val="000000" w:themeColor="text1"/>
          <w:sz w:val="24"/>
        </w:rPr>
        <w:t xml:space="preserve">, 25 mm) into a sterile product vial. </w:t>
      </w:r>
    </w:p>
    <w:p w14:paraId="7C100C2E" w14:textId="3D9C0390" w:rsidR="000A0B2C" w:rsidRPr="000E48B4" w:rsidRDefault="00447BBF" w:rsidP="00555076">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 xml:space="preserve">To prepare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Lu-NYM080, </w:t>
      </w:r>
      <w:r w:rsidR="00116029" w:rsidRPr="000E48B4">
        <w:rPr>
          <w:rFonts w:ascii="Times New Roman" w:hAnsi="Times New Roman" w:cs="Times New Roman" w:hint="eastAsia"/>
          <w:color w:val="000000" w:themeColor="text1"/>
          <w:sz w:val="24"/>
        </w:rPr>
        <w:t>60</w:t>
      </w:r>
      <w:r w:rsidR="00555076" w:rsidRPr="000E48B4">
        <w:rPr>
          <w:rFonts w:ascii="Times New Roman" w:hAnsi="Times New Roman" w:cs="Times New Roman" w:hint="eastAsia"/>
          <w:color w:val="000000" w:themeColor="text1"/>
          <w:sz w:val="24"/>
        </w:rPr>
        <w:t xml:space="preserve">ug </w:t>
      </w:r>
      <w:r w:rsidR="00CE1D64" w:rsidRPr="000E48B4">
        <w:rPr>
          <w:rFonts w:ascii="Times New Roman" w:hAnsi="Times New Roman" w:cs="Times New Roman" w:hint="eastAsia"/>
          <w:color w:val="000000" w:themeColor="text1"/>
          <w:sz w:val="24"/>
        </w:rPr>
        <w:t>(</w:t>
      </w:r>
      <w:r w:rsidR="008551C4" w:rsidRPr="000E48B4">
        <w:rPr>
          <w:rFonts w:ascii="Times New Roman" w:hAnsi="Times New Roman" w:cs="Times New Roman" w:hint="eastAsia"/>
          <w:color w:val="000000" w:themeColor="text1"/>
          <w:sz w:val="24"/>
        </w:rPr>
        <w:t>47</w:t>
      </w:r>
      <w:r w:rsidR="00CE1D64" w:rsidRPr="000E48B4">
        <w:rPr>
          <w:rFonts w:ascii="Times New Roman" w:hAnsi="Times New Roman" w:cs="Times New Roman"/>
          <w:color w:val="000000" w:themeColor="text1"/>
          <w:sz w:val="24"/>
        </w:rPr>
        <w:t>.</w:t>
      </w:r>
      <w:r w:rsidR="008551C4" w:rsidRPr="000E48B4">
        <w:rPr>
          <w:rFonts w:ascii="Times New Roman" w:hAnsi="Times New Roman" w:cs="Times New Roman" w:hint="eastAsia"/>
          <w:color w:val="000000" w:themeColor="text1"/>
          <w:sz w:val="24"/>
        </w:rPr>
        <w:t>8</w:t>
      </w:r>
      <w:r w:rsidR="00CE1D64" w:rsidRPr="000E48B4">
        <w:rPr>
          <w:rFonts w:ascii="Times New Roman" w:hAnsi="Times New Roman" w:cs="Times New Roman"/>
          <w:color w:val="000000" w:themeColor="text1"/>
          <w:sz w:val="24"/>
        </w:rPr>
        <w:t xml:space="preserve"> nmol</w:t>
      </w:r>
      <w:r w:rsidR="00CE1D64" w:rsidRPr="000E48B4">
        <w:rPr>
          <w:rFonts w:ascii="Times New Roman" w:hAnsi="Times New Roman" w:cs="Times New Roman" w:hint="eastAsia"/>
          <w:color w:val="000000" w:themeColor="text1"/>
          <w:sz w:val="24"/>
        </w:rPr>
        <w:t>)</w:t>
      </w:r>
      <w:r w:rsidR="00555076" w:rsidRPr="000E48B4">
        <w:rPr>
          <w:rFonts w:ascii="Times New Roman" w:hAnsi="Times New Roman" w:cs="Times New Roman" w:hint="eastAsia"/>
          <w:color w:val="000000" w:themeColor="text1"/>
          <w:sz w:val="24"/>
        </w:rPr>
        <w:t xml:space="preserve"> of </w:t>
      </w:r>
      <w:r w:rsidRPr="000E48B4">
        <w:rPr>
          <w:rFonts w:ascii="Times New Roman" w:hAnsi="Times New Roman" w:cs="Times New Roman" w:hint="eastAsia"/>
          <w:color w:val="000000" w:themeColor="text1"/>
          <w:sz w:val="24"/>
        </w:rPr>
        <w:t>p</w:t>
      </w:r>
      <w:r w:rsidRPr="000E48B4">
        <w:rPr>
          <w:rFonts w:ascii="Times New Roman" w:hAnsi="Times New Roman" w:cs="Times New Roman"/>
          <w:color w:val="000000" w:themeColor="text1"/>
          <w:sz w:val="24"/>
        </w:rPr>
        <w:t xml:space="preserve">recursor NYM080 was first combined with an acetate/acetic acid buffer solution in a reaction vial. Next, an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Lu-chloride solution was added to adjust the pH to 4–5. The mixture was then heated to facilitate chelation, with the reaction monitored by Radio-</w:t>
      </w:r>
      <w:proofErr w:type="spellStart"/>
      <w:r w:rsidRPr="000E48B4">
        <w:rPr>
          <w:rFonts w:ascii="Times New Roman" w:hAnsi="Times New Roman" w:cs="Times New Roman"/>
          <w:color w:val="000000" w:themeColor="text1"/>
          <w:sz w:val="24"/>
        </w:rPr>
        <w:t>iTLC</w:t>
      </w:r>
      <w:proofErr w:type="spellEnd"/>
      <w:r w:rsidRPr="000E48B4">
        <w:rPr>
          <w:rFonts w:ascii="Times New Roman" w:hAnsi="Times New Roman" w:cs="Times New Roman"/>
          <w:color w:val="000000" w:themeColor="text1"/>
          <w:sz w:val="24"/>
        </w:rPr>
        <w:t xml:space="preserve"> to track completion. Afterward, radiochemical purity was assessed, and the final product,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Lu-NYM080, was obtained by sterile filtration to ensure safe administration. </w:t>
      </w:r>
    </w:p>
    <w:p w14:paraId="12182F02" w14:textId="77777777" w:rsidR="00232736" w:rsidRPr="000E48B4" w:rsidRDefault="00232736" w:rsidP="00555076">
      <w:pPr>
        <w:spacing w:beforeLines="100" w:before="312" w:line="480" w:lineRule="auto"/>
        <w:rPr>
          <w:rFonts w:ascii="Times New Roman" w:hAnsi="Times New Roman" w:cs="Times New Roman"/>
          <w:color w:val="000000" w:themeColor="text1"/>
          <w:sz w:val="24"/>
        </w:rPr>
      </w:pPr>
    </w:p>
    <w:p w14:paraId="2BD378FD" w14:textId="241F978F" w:rsidR="00232736" w:rsidRPr="000E48B4" w:rsidRDefault="00603FEE" w:rsidP="00313F2C">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lastRenderedPageBreak/>
        <w:t>Quality Control</w:t>
      </w:r>
    </w:p>
    <w:p w14:paraId="140AB4F7" w14:textId="375B6D5B" w:rsidR="00261F5F" w:rsidRPr="000E48B4" w:rsidRDefault="00261F5F" w:rsidP="00313F2C">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 xml:space="preserve">Radiochemical </w:t>
      </w:r>
      <w:r w:rsidRPr="000E48B4">
        <w:rPr>
          <w:rFonts w:ascii="Times New Roman" w:hAnsi="Times New Roman" w:cs="Times New Roman" w:hint="eastAsia"/>
          <w:color w:val="000000" w:themeColor="text1"/>
          <w:sz w:val="24"/>
        </w:rPr>
        <w:t>p</w:t>
      </w:r>
      <w:r w:rsidRPr="000E48B4">
        <w:rPr>
          <w:rFonts w:ascii="Times New Roman" w:hAnsi="Times New Roman" w:cs="Times New Roman"/>
          <w:color w:val="000000" w:themeColor="text1"/>
          <w:sz w:val="24"/>
        </w:rPr>
        <w:t xml:space="preserve">urity </w:t>
      </w:r>
      <w:r w:rsidRPr="000E48B4">
        <w:rPr>
          <w:rFonts w:ascii="Times New Roman" w:hAnsi="Times New Roman" w:cs="Times New Roman" w:hint="eastAsia"/>
          <w:color w:val="000000" w:themeColor="text1"/>
          <w:sz w:val="24"/>
        </w:rPr>
        <w:t>a</w:t>
      </w:r>
      <w:r w:rsidRPr="000E48B4">
        <w:rPr>
          <w:rFonts w:ascii="Times New Roman" w:hAnsi="Times New Roman" w:cs="Times New Roman"/>
          <w:color w:val="000000" w:themeColor="text1"/>
          <w:sz w:val="24"/>
        </w:rPr>
        <w:t>nalysis</w:t>
      </w:r>
      <w:r w:rsidRPr="000E48B4">
        <w:rPr>
          <w:rFonts w:ascii="Times New Roman" w:hAnsi="Times New Roman" w:cs="Times New Roman" w:hint="eastAsia"/>
          <w:color w:val="000000" w:themeColor="text1"/>
          <w:sz w:val="24"/>
        </w:rPr>
        <w:t xml:space="preserve"> </w:t>
      </w:r>
      <w:proofErr w:type="gramStart"/>
      <w:r w:rsidRPr="000E48B4">
        <w:rPr>
          <w:rFonts w:ascii="Times New Roman" w:hAnsi="Times New Roman" w:cs="Times New Roman" w:hint="eastAsia"/>
          <w:color w:val="000000" w:themeColor="text1"/>
          <w:sz w:val="24"/>
        </w:rPr>
        <w:t>of</w:t>
      </w:r>
      <w:r w:rsidRPr="000E48B4">
        <w:rPr>
          <w:rFonts w:ascii="Times New Roman" w:hAnsi="Times New Roman" w:cs="Times New Roman" w:hint="eastAsia"/>
          <w:color w:val="000000" w:themeColor="text1"/>
          <w:sz w:val="24"/>
          <w:vertAlign w:val="superscript"/>
        </w:rPr>
        <w:t xml:space="preserve">  68</w:t>
      </w:r>
      <w:proofErr w:type="gramEnd"/>
      <w:r w:rsidRPr="000E48B4">
        <w:rPr>
          <w:rFonts w:ascii="Times New Roman" w:hAnsi="Times New Roman" w:cs="Times New Roman"/>
          <w:color w:val="000000" w:themeColor="text1"/>
          <w:sz w:val="24"/>
        </w:rPr>
        <w:t xml:space="preserve">Ga‑NYM080 was performed using glass fiber sheets as the stationary phase and 1.25 M ammonium acetate/methanol (1:1, v/v) as the mobile phase. A small aliquot of the sample was spotted 1.5 cm from the bottom of the sheet and developed in a prefilled tube until the solvent front was 2.5 cm from the top. After drying, the sheet was analyzed with a radio‑TLC scanner. In this system, </w:t>
      </w:r>
      <w:r w:rsidRPr="000E48B4">
        <w:rPr>
          <w:rFonts w:ascii="Times New Roman" w:hAnsi="Times New Roman" w:cs="Times New Roman" w:hint="eastAsia"/>
          <w:color w:val="000000" w:themeColor="text1"/>
          <w:sz w:val="24"/>
          <w:vertAlign w:val="superscript"/>
        </w:rPr>
        <w:t>68</w:t>
      </w:r>
      <w:r w:rsidRPr="000E48B4">
        <w:rPr>
          <w:rFonts w:ascii="Times New Roman" w:hAnsi="Times New Roman" w:cs="Times New Roman"/>
          <w:color w:val="000000" w:themeColor="text1"/>
          <w:sz w:val="24"/>
        </w:rPr>
        <w:t>Ga‑NYM080 exhibited an R</w:t>
      </w:r>
      <w:r w:rsidRPr="000E48B4">
        <w:rPr>
          <w:rFonts w:ascii="Times New Roman" w:hAnsi="Times New Roman" w:cs="Times New Roman"/>
          <w:color w:val="000000" w:themeColor="text1"/>
          <w:sz w:val="24"/>
          <w:vertAlign w:val="subscript"/>
        </w:rPr>
        <w:t>f</w:t>
      </w:r>
      <w:r w:rsidRPr="000E48B4">
        <w:rPr>
          <w:rFonts w:ascii="Times New Roman" w:hAnsi="Times New Roman" w:cs="Times New Roman"/>
          <w:color w:val="000000" w:themeColor="text1"/>
          <w:sz w:val="24"/>
        </w:rPr>
        <w:t xml:space="preserve"> of 0.9</w:t>
      </w:r>
      <w:r w:rsidR="00661E95" w:rsidRPr="000E48B4">
        <w:rPr>
          <w:rFonts w:ascii="Times New Roman" w:hAnsi="Times New Roman" w:cs="Times New Roman" w:hint="eastAsia"/>
          <w:color w:val="000000" w:themeColor="text1"/>
          <w:sz w:val="24"/>
        </w:rPr>
        <w:t>-</w:t>
      </w:r>
      <w:r w:rsidRPr="000E48B4">
        <w:rPr>
          <w:rFonts w:ascii="Times New Roman" w:hAnsi="Times New Roman" w:cs="Times New Roman"/>
          <w:color w:val="000000" w:themeColor="text1"/>
          <w:sz w:val="24"/>
        </w:rPr>
        <w:t xml:space="preserve">1.0, while free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 xml:space="preserve">Ga remained at the origin. Free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Ga</w:t>
      </w:r>
      <w:r w:rsidRPr="000E48B4">
        <w:rPr>
          <w:rFonts w:ascii="Times New Roman" w:hAnsi="Times New Roman" w:cs="Times New Roman" w:hint="eastAsia"/>
          <w:color w:val="000000" w:themeColor="text1"/>
          <w:sz w:val="24"/>
        </w:rPr>
        <w:t xml:space="preserve"> </w:t>
      </w:r>
      <w:r w:rsidRPr="000E48B4">
        <w:rPr>
          <w:rFonts w:ascii="Times New Roman" w:hAnsi="Times New Roman" w:cs="Times New Roman"/>
          <w:color w:val="000000" w:themeColor="text1"/>
          <w:sz w:val="24"/>
        </w:rPr>
        <w:t>was analyzed under identical conditions as a control.</w:t>
      </w:r>
    </w:p>
    <w:p w14:paraId="79CD1A61" w14:textId="04E6FE92" w:rsidR="00261F5F" w:rsidRPr="000E48B4" w:rsidRDefault="00261F5F" w:rsidP="00313F2C">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hint="eastAsia"/>
          <w:color w:val="000000" w:themeColor="text1"/>
          <w:sz w:val="24"/>
        </w:rPr>
        <w:t>Similarly, r</w:t>
      </w:r>
      <w:r w:rsidRPr="000E48B4">
        <w:rPr>
          <w:rFonts w:ascii="Times New Roman" w:hAnsi="Times New Roman" w:cs="Times New Roman"/>
          <w:color w:val="000000" w:themeColor="text1"/>
          <w:sz w:val="24"/>
        </w:rPr>
        <w:t xml:space="preserve">adiochemical </w:t>
      </w:r>
      <w:r w:rsidRPr="000E48B4">
        <w:rPr>
          <w:rFonts w:ascii="Times New Roman" w:hAnsi="Times New Roman" w:cs="Times New Roman" w:hint="eastAsia"/>
          <w:color w:val="000000" w:themeColor="text1"/>
          <w:sz w:val="24"/>
        </w:rPr>
        <w:t>p</w:t>
      </w:r>
      <w:r w:rsidRPr="000E48B4">
        <w:rPr>
          <w:rFonts w:ascii="Times New Roman" w:hAnsi="Times New Roman" w:cs="Times New Roman"/>
          <w:color w:val="000000" w:themeColor="text1"/>
          <w:sz w:val="24"/>
        </w:rPr>
        <w:t xml:space="preserve">urity </w:t>
      </w:r>
      <w:r w:rsidRPr="000E48B4">
        <w:rPr>
          <w:rFonts w:ascii="Times New Roman" w:hAnsi="Times New Roman" w:cs="Times New Roman" w:hint="eastAsia"/>
          <w:color w:val="000000" w:themeColor="text1"/>
          <w:sz w:val="24"/>
        </w:rPr>
        <w:t>a</w:t>
      </w:r>
      <w:r w:rsidRPr="000E48B4">
        <w:rPr>
          <w:rFonts w:ascii="Times New Roman" w:hAnsi="Times New Roman" w:cs="Times New Roman"/>
          <w:color w:val="000000" w:themeColor="text1"/>
          <w:sz w:val="24"/>
        </w:rPr>
        <w:t>nalysis</w:t>
      </w:r>
      <w:r w:rsidRPr="000E48B4">
        <w:rPr>
          <w:rFonts w:ascii="Times New Roman" w:hAnsi="Times New Roman" w:cs="Times New Roman" w:hint="eastAsia"/>
          <w:color w:val="000000" w:themeColor="text1"/>
          <w:sz w:val="24"/>
        </w:rPr>
        <w:t xml:space="preserve"> of</w:t>
      </w:r>
      <w:r w:rsidRPr="000E48B4">
        <w:rPr>
          <w:rFonts w:ascii="Times New Roman" w:hAnsi="Times New Roman" w:cs="Times New Roman" w:hint="eastAsia"/>
          <w:color w:val="000000" w:themeColor="text1"/>
          <w:sz w:val="24"/>
          <w:vertAlign w:val="superscript"/>
        </w:rPr>
        <w:t xml:space="preserve">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Lu‑NYM080 was performed using glass fiber sheets and 0.5 M sodium citrate/citric acid as the mobile phase. Samples were applied 1.5 cm from the bottom and developed until the solvent front was 2.5 cm from the top. After drying, the sheet was analyzed by radio‑TLC. In this system,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 ‑NYM080 remained at the origin, whereas free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 exhibited an R</w:t>
      </w:r>
      <w:r w:rsidRPr="000E48B4">
        <w:rPr>
          <w:rFonts w:ascii="Times New Roman" w:hAnsi="Times New Roman" w:cs="Times New Roman"/>
          <w:color w:val="000000" w:themeColor="text1"/>
          <w:sz w:val="24"/>
          <w:vertAlign w:val="subscript"/>
        </w:rPr>
        <w:t>f</w:t>
      </w:r>
      <w:r w:rsidRPr="000E48B4">
        <w:rPr>
          <w:rFonts w:ascii="Times New Roman" w:hAnsi="Times New Roman" w:cs="Times New Roman"/>
          <w:color w:val="000000" w:themeColor="text1"/>
          <w:sz w:val="24"/>
        </w:rPr>
        <w:t xml:space="preserve"> of 0.9</w:t>
      </w:r>
      <w:r w:rsidR="006A2946" w:rsidRPr="000E48B4">
        <w:rPr>
          <w:rFonts w:ascii="Times New Roman" w:hAnsi="Times New Roman" w:cs="Times New Roman" w:hint="eastAsia"/>
          <w:color w:val="000000" w:themeColor="text1"/>
          <w:sz w:val="24"/>
        </w:rPr>
        <w:t>-</w:t>
      </w:r>
      <w:r w:rsidRPr="000E48B4">
        <w:rPr>
          <w:rFonts w:ascii="Times New Roman" w:hAnsi="Times New Roman" w:cs="Times New Roman"/>
          <w:color w:val="000000" w:themeColor="text1"/>
          <w:sz w:val="24"/>
        </w:rPr>
        <w:t xml:space="preserve">1.0. Free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 was analyzed under identical conditions as a control.</w:t>
      </w:r>
    </w:p>
    <w:p w14:paraId="4C79F359" w14:textId="2E0758E2" w:rsidR="00261F5F" w:rsidRPr="000E48B4" w:rsidRDefault="00261F5F" w:rsidP="00313F2C">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hint="eastAsia"/>
          <w:color w:val="000000" w:themeColor="text1"/>
          <w:sz w:val="24"/>
        </w:rPr>
        <w:t>R</w:t>
      </w:r>
      <w:r w:rsidRPr="000E48B4">
        <w:rPr>
          <w:rFonts w:ascii="Times New Roman" w:hAnsi="Times New Roman" w:cs="Times New Roman"/>
          <w:color w:val="000000" w:themeColor="text1"/>
          <w:sz w:val="24"/>
        </w:rPr>
        <w:t>adioactive high-performance liquid chromatography (Radio‑HPLC</w:t>
      </w:r>
      <w:r w:rsidRPr="000E48B4">
        <w:rPr>
          <w:rFonts w:ascii="Times New Roman" w:hAnsi="Times New Roman" w:cs="Times New Roman" w:hint="eastAsia"/>
          <w:color w:val="000000" w:themeColor="text1"/>
          <w:sz w:val="24"/>
        </w:rPr>
        <w:t>) a</w:t>
      </w:r>
      <w:r w:rsidRPr="000E48B4">
        <w:rPr>
          <w:rFonts w:ascii="Times New Roman" w:hAnsi="Times New Roman" w:cs="Times New Roman"/>
          <w:color w:val="000000" w:themeColor="text1"/>
          <w:sz w:val="24"/>
        </w:rPr>
        <w:t xml:space="preserve">nalysis </w:t>
      </w:r>
      <w:r w:rsidRPr="000E48B4">
        <w:rPr>
          <w:rFonts w:ascii="Times New Roman" w:hAnsi="Times New Roman" w:cs="Times New Roman" w:hint="eastAsia"/>
          <w:color w:val="000000" w:themeColor="text1"/>
          <w:sz w:val="24"/>
        </w:rPr>
        <w:t xml:space="preserve">was </w:t>
      </w:r>
      <w:r w:rsidRPr="000E48B4">
        <w:rPr>
          <w:rFonts w:ascii="Times New Roman" w:hAnsi="Times New Roman" w:cs="Times New Roman"/>
          <w:color w:val="000000" w:themeColor="text1"/>
          <w:sz w:val="24"/>
        </w:rPr>
        <w:t>performed on an ACE Excel 3 C18</w:t>
      </w:r>
      <w:r w:rsidRPr="000E48B4">
        <w:rPr>
          <w:rFonts w:ascii="Times New Roman" w:hAnsi="Times New Roman" w:cs="Times New Roman"/>
          <w:color w:val="000000" w:themeColor="text1"/>
          <w:sz w:val="24"/>
        </w:rPr>
        <w:noBreakHyphen/>
        <w:t xml:space="preserve">PFP column (150 × 4.6 mm) with solvent A (0.1% TFA in water) and solvent B (0.1% TFA in acetonitrile). NYM080, </w:t>
      </w:r>
      <w:r w:rsidRPr="000E48B4">
        <w:rPr>
          <w:rFonts w:ascii="Times New Roman" w:hAnsi="Times New Roman" w:cs="Times New Roman" w:hint="eastAsia"/>
          <w:color w:val="000000" w:themeColor="text1"/>
          <w:sz w:val="24"/>
          <w:vertAlign w:val="superscript"/>
        </w:rPr>
        <w:t>68</w:t>
      </w:r>
      <w:r w:rsidRPr="000E48B4">
        <w:rPr>
          <w:rFonts w:ascii="Times New Roman" w:hAnsi="Times New Roman" w:cs="Times New Roman"/>
          <w:color w:val="000000" w:themeColor="text1"/>
          <w:sz w:val="24"/>
        </w:rPr>
        <w:t>Ga</w:t>
      </w:r>
      <w:r w:rsidR="009D7C4C" w:rsidRPr="000E48B4">
        <w:rPr>
          <w:rFonts w:ascii="Times New Roman" w:hAnsi="Times New Roman" w:cs="Times New Roman" w:hint="eastAsia"/>
          <w:color w:val="000000" w:themeColor="text1"/>
          <w:sz w:val="24"/>
        </w:rPr>
        <w:t>-</w:t>
      </w:r>
      <w:r w:rsidRPr="000E48B4">
        <w:rPr>
          <w:rFonts w:ascii="Times New Roman" w:hAnsi="Times New Roman" w:cs="Times New Roman"/>
          <w:color w:val="000000" w:themeColor="text1"/>
          <w:sz w:val="24"/>
        </w:rPr>
        <w:t xml:space="preserve">NYM080, and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w:t>
      </w:r>
      <w:r w:rsidR="009C46DE" w:rsidRPr="000E48B4">
        <w:rPr>
          <w:rFonts w:ascii="Times New Roman" w:hAnsi="Times New Roman" w:cs="Times New Roman" w:hint="eastAsia"/>
          <w:color w:val="000000" w:themeColor="text1"/>
          <w:sz w:val="24"/>
        </w:rPr>
        <w:t>-</w:t>
      </w:r>
      <w:r w:rsidRPr="000E48B4">
        <w:rPr>
          <w:rFonts w:ascii="Times New Roman" w:hAnsi="Times New Roman" w:cs="Times New Roman"/>
          <w:color w:val="000000" w:themeColor="text1"/>
          <w:sz w:val="24"/>
        </w:rPr>
        <w:t xml:space="preserve">NYM080 were injected separately. The UV retention time of NYM080 was compared with that of each radiolabeled compound, and the UV retention time of NYM080 was compared with the corresponding radioactivity peaks of </w:t>
      </w:r>
      <w:r w:rsidRPr="000E48B4">
        <w:rPr>
          <w:rFonts w:ascii="Times New Roman" w:hAnsi="Times New Roman" w:cs="Times New Roman" w:hint="eastAsia"/>
          <w:color w:val="000000" w:themeColor="text1"/>
          <w:sz w:val="24"/>
          <w:vertAlign w:val="superscript"/>
        </w:rPr>
        <w:t>68</w:t>
      </w:r>
      <w:r w:rsidRPr="000E48B4">
        <w:rPr>
          <w:rFonts w:ascii="Times New Roman" w:hAnsi="Times New Roman" w:cs="Times New Roman"/>
          <w:color w:val="000000" w:themeColor="text1"/>
          <w:sz w:val="24"/>
        </w:rPr>
        <w:t>Ga</w:t>
      </w:r>
      <w:r w:rsidR="00AF3450" w:rsidRPr="000E48B4">
        <w:rPr>
          <w:rFonts w:ascii="Times New Roman" w:hAnsi="Times New Roman" w:cs="Times New Roman" w:hint="eastAsia"/>
          <w:color w:val="000000" w:themeColor="text1"/>
          <w:sz w:val="24"/>
        </w:rPr>
        <w:t>-</w:t>
      </w:r>
      <w:r w:rsidRPr="000E48B4">
        <w:rPr>
          <w:rFonts w:ascii="Times New Roman" w:hAnsi="Times New Roman" w:cs="Times New Roman"/>
          <w:color w:val="000000" w:themeColor="text1"/>
          <w:sz w:val="24"/>
        </w:rPr>
        <w:t xml:space="preserve">NYM080 and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w:t>
      </w:r>
      <w:r w:rsidR="00AF3450" w:rsidRPr="000E48B4">
        <w:rPr>
          <w:rFonts w:ascii="Times New Roman" w:hAnsi="Times New Roman" w:cs="Times New Roman" w:hint="eastAsia"/>
          <w:color w:val="000000" w:themeColor="text1"/>
          <w:sz w:val="24"/>
        </w:rPr>
        <w:t>-</w:t>
      </w:r>
      <w:r w:rsidRPr="000E48B4">
        <w:rPr>
          <w:rFonts w:ascii="Times New Roman" w:hAnsi="Times New Roman" w:cs="Times New Roman"/>
          <w:color w:val="000000" w:themeColor="text1"/>
          <w:sz w:val="24"/>
        </w:rPr>
        <w:t>NYM080.</w:t>
      </w:r>
    </w:p>
    <w:p w14:paraId="4806DCB3" w14:textId="1897D1EE" w:rsidR="00447BBF" w:rsidRPr="000E48B4" w:rsidRDefault="00447BBF" w:rsidP="00555076">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lastRenderedPageBreak/>
        <w:t xml:space="preserve">The in vitro stability of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 xml:space="preserve">Ga-NYM080 and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Lu-NYM080 in phosphate-buffered saline (PBS) and human serum was evaluated separately using </w:t>
      </w:r>
      <w:r w:rsidR="00705145" w:rsidRPr="000E48B4">
        <w:rPr>
          <w:rFonts w:ascii="Times New Roman" w:hAnsi="Times New Roman" w:cs="Times New Roman" w:hint="eastAsia"/>
          <w:color w:val="000000" w:themeColor="text1"/>
          <w:sz w:val="24"/>
        </w:rPr>
        <w:t>r</w:t>
      </w:r>
      <w:r w:rsidR="00261F5F" w:rsidRPr="000E48B4">
        <w:rPr>
          <w:rFonts w:ascii="Times New Roman" w:hAnsi="Times New Roman" w:cs="Times New Roman"/>
          <w:color w:val="000000" w:themeColor="text1"/>
          <w:sz w:val="24"/>
        </w:rPr>
        <w:t>adio‑HPLC</w:t>
      </w:r>
      <w:r w:rsidRPr="000E48B4">
        <w:rPr>
          <w:rFonts w:ascii="Times New Roman" w:hAnsi="Times New Roman" w:cs="Times New Roman"/>
          <w:color w:val="000000" w:themeColor="text1"/>
          <w:sz w:val="24"/>
        </w:rPr>
        <w:t xml:space="preserve"> at 4°C for 4 h.</w:t>
      </w:r>
    </w:p>
    <w:p w14:paraId="09A357E8" w14:textId="0A69B328" w:rsidR="00443E8E" w:rsidRPr="000E48B4" w:rsidRDefault="00443E8E" w:rsidP="00D355B0">
      <w:pPr>
        <w:spacing w:beforeLines="100" w:before="312" w:line="480" w:lineRule="auto"/>
        <w:rPr>
          <w:rFonts w:ascii="Times New Roman" w:hAnsi="Times New Roman" w:cs="Times New Roman"/>
          <w:color w:val="000000" w:themeColor="text1"/>
          <w:sz w:val="24"/>
        </w:rPr>
      </w:pPr>
    </w:p>
    <w:p w14:paraId="4A4D8CF4" w14:textId="77777777" w:rsidR="00447BBF" w:rsidRPr="000E48B4" w:rsidRDefault="0044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Cells, Murine, and Tumor Model</w:t>
      </w:r>
    </w:p>
    <w:p w14:paraId="1C2542E3" w14:textId="77777777" w:rsidR="00447BBF" w:rsidRPr="000E48B4" w:rsidRDefault="00447BBF" w:rsidP="00C922E0">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 xml:space="preserve">Human OS-RC-2 renal carcinoma cells (CAⅨ-positive, RRID: CVCL_1626) and PC-3 prostate carcinoma cells (CAⅨ-negative, RRID: CVCL_0035) were sourced from the American Type Culture Collection. Both cell lines were maintained at 37°C in a 5% CO₂ incubator, using culture medium supplemented with 10% heat-inactivated fetal bovine serum, 100 U/mL penicillin, and 100 </w:t>
      </w:r>
      <w:proofErr w:type="spellStart"/>
      <w:r w:rsidRPr="000E48B4">
        <w:rPr>
          <w:rFonts w:ascii="Times New Roman" w:hAnsi="Times New Roman" w:cs="Times New Roman"/>
          <w:color w:val="000000" w:themeColor="text1"/>
          <w:sz w:val="24"/>
        </w:rPr>
        <w:t>μg</w:t>
      </w:r>
      <w:proofErr w:type="spellEnd"/>
      <w:r w:rsidRPr="000E48B4">
        <w:rPr>
          <w:rFonts w:ascii="Times New Roman" w:hAnsi="Times New Roman" w:cs="Times New Roman"/>
          <w:color w:val="000000" w:themeColor="text1"/>
          <w:sz w:val="24"/>
        </w:rPr>
        <w:t xml:space="preserve">/mL streptomycin. Tumor cells were </w:t>
      </w:r>
      <w:proofErr w:type="spellStart"/>
      <w:r w:rsidRPr="000E48B4">
        <w:rPr>
          <w:rFonts w:ascii="Times New Roman" w:hAnsi="Times New Roman" w:cs="Times New Roman"/>
          <w:color w:val="000000" w:themeColor="text1"/>
          <w:sz w:val="24"/>
        </w:rPr>
        <w:t>subcultured</w:t>
      </w:r>
      <w:proofErr w:type="spellEnd"/>
      <w:r w:rsidRPr="000E48B4">
        <w:rPr>
          <w:rFonts w:ascii="Times New Roman" w:hAnsi="Times New Roman" w:cs="Times New Roman"/>
          <w:color w:val="000000" w:themeColor="text1"/>
          <w:sz w:val="24"/>
        </w:rPr>
        <w:t xml:space="preserve"> routinely two to three times per week.</w:t>
      </w:r>
    </w:p>
    <w:p w14:paraId="43B2D7B2" w14:textId="7FA55563" w:rsidR="00447BBF" w:rsidRPr="000E48B4" w:rsidRDefault="00447BBF" w:rsidP="00C922E0">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NCG (NOD/</w:t>
      </w:r>
      <w:proofErr w:type="spellStart"/>
      <w:r w:rsidRPr="000E48B4">
        <w:rPr>
          <w:rFonts w:ascii="Times New Roman" w:hAnsi="Times New Roman" w:cs="Times New Roman"/>
          <w:color w:val="000000" w:themeColor="text1"/>
          <w:sz w:val="24"/>
        </w:rPr>
        <w:t>ShiltJ-Prkdc</w:t>
      </w:r>
      <w:proofErr w:type="spellEnd"/>
      <w:r w:rsidRPr="000E48B4">
        <w:rPr>
          <w:rFonts w:ascii="Times New Roman" w:hAnsi="Times New Roman" w:cs="Times New Roman"/>
          <w:color w:val="000000" w:themeColor="text1"/>
          <w:sz w:val="24"/>
        </w:rPr>
        <w:t xml:space="preserve"> em26Cd52 Il2rg em26Cd22) mice for PET/CT imaging, ex vivo biodistribution and therapeutic evaluation, as well as ICR mice for blood pharmacokinetics, were obtained from Beijing Vital River Laboratory Animal Technology Co., Ltd (Beijing, China). All mice were kept in a biologically clean environment under 12h light/dark cycles with controlled temperature (23±2°C) and relative humidity (50–70%) and provided with a standard rodent chow diet and water ad libitum. When used for experiments, the mean weight of the mice was 22 ± 3 g and the age was about 12 months. Each NCG mouse was injected with 1×10</w:t>
      </w:r>
      <w:r w:rsidRPr="000E48B4">
        <w:rPr>
          <w:rFonts w:ascii="Times New Roman" w:hAnsi="Times New Roman" w:cs="Times New Roman"/>
          <w:color w:val="000000" w:themeColor="text1"/>
          <w:sz w:val="24"/>
          <w:vertAlign w:val="superscript"/>
        </w:rPr>
        <w:t>7</w:t>
      </w:r>
      <w:r w:rsidRPr="000E48B4">
        <w:rPr>
          <w:rFonts w:ascii="Times New Roman" w:hAnsi="Times New Roman" w:cs="Times New Roman"/>
          <w:color w:val="000000" w:themeColor="text1"/>
          <w:sz w:val="24"/>
        </w:rPr>
        <w:t xml:space="preserve"> tumor cells in PBS mixed with 50% (v/v) matrix glue (Corning, #354234</w:t>
      </w:r>
      <w:r w:rsidR="00A47899" w:rsidRPr="000E48B4">
        <w:rPr>
          <w:rFonts w:ascii="Times New Roman" w:hAnsi="Times New Roman" w:cs="Times New Roman"/>
          <w:color w:val="000000" w:themeColor="text1"/>
          <w:sz w:val="24"/>
        </w:rPr>
        <w:t>, USA</w:t>
      </w:r>
      <w:r w:rsidRPr="000E48B4">
        <w:rPr>
          <w:rFonts w:ascii="Times New Roman" w:hAnsi="Times New Roman" w:cs="Times New Roman"/>
          <w:color w:val="000000" w:themeColor="text1"/>
          <w:sz w:val="24"/>
        </w:rPr>
        <w:t xml:space="preserve">) in a total volume </w:t>
      </w:r>
      <w:r w:rsidRPr="000E48B4">
        <w:rPr>
          <w:rFonts w:ascii="Times New Roman" w:hAnsi="Times New Roman" w:cs="Times New Roman"/>
          <w:color w:val="000000" w:themeColor="text1"/>
          <w:sz w:val="24"/>
        </w:rPr>
        <w:lastRenderedPageBreak/>
        <w:t xml:space="preserve">of 150 </w:t>
      </w:r>
      <w:proofErr w:type="spellStart"/>
      <w:r w:rsidRPr="000E48B4">
        <w:rPr>
          <w:rFonts w:ascii="Times New Roman" w:hAnsi="Times New Roman" w:cs="Times New Roman"/>
          <w:color w:val="000000" w:themeColor="text1"/>
          <w:sz w:val="24"/>
        </w:rPr>
        <w:t>μL</w:t>
      </w:r>
      <w:proofErr w:type="spellEnd"/>
      <w:r w:rsidRPr="000E48B4">
        <w:rPr>
          <w:rFonts w:ascii="Times New Roman" w:hAnsi="Times New Roman" w:cs="Times New Roman"/>
          <w:color w:val="000000" w:themeColor="text1"/>
          <w:sz w:val="24"/>
        </w:rPr>
        <w:t>. Tumors were grown for 8–10 days to reach an average volume of 100 mm</w:t>
      </w:r>
      <w:r w:rsidRPr="000E48B4">
        <w:rPr>
          <w:rFonts w:ascii="Times New Roman" w:hAnsi="Times New Roman" w:cs="Times New Roman"/>
          <w:color w:val="000000" w:themeColor="text1"/>
          <w:sz w:val="24"/>
          <w:vertAlign w:val="superscript"/>
        </w:rPr>
        <w:t>3</w:t>
      </w:r>
      <w:r w:rsidRPr="000E48B4">
        <w:rPr>
          <w:rFonts w:ascii="Times New Roman" w:hAnsi="Times New Roman" w:cs="Times New Roman"/>
          <w:color w:val="000000" w:themeColor="text1"/>
          <w:sz w:val="24"/>
        </w:rPr>
        <w:t xml:space="preserve"> (95 ± 48 mm</w:t>
      </w:r>
      <w:r w:rsidRPr="000E48B4">
        <w:rPr>
          <w:rFonts w:ascii="Times New Roman" w:hAnsi="Times New Roman" w:cs="Times New Roman"/>
          <w:color w:val="000000" w:themeColor="text1"/>
          <w:sz w:val="24"/>
          <w:vertAlign w:val="superscript"/>
        </w:rPr>
        <w:t>3</w:t>
      </w:r>
      <w:r w:rsidRPr="000E48B4">
        <w:rPr>
          <w:rFonts w:ascii="Times New Roman" w:hAnsi="Times New Roman" w:cs="Times New Roman"/>
          <w:color w:val="000000" w:themeColor="text1"/>
          <w:sz w:val="24"/>
        </w:rPr>
        <w:t>).</w:t>
      </w:r>
    </w:p>
    <w:p w14:paraId="3F09AA45" w14:textId="77777777" w:rsidR="00447BBF" w:rsidRPr="000E48B4" w:rsidRDefault="0044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Molecular Binding Affinity</w:t>
      </w:r>
    </w:p>
    <w:p w14:paraId="70D5F467" w14:textId="40652EEA" w:rsidR="00447BBF" w:rsidRPr="000E48B4" w:rsidRDefault="00447BBF" w:rsidP="00C922E0">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The binding affinity (</w:t>
      </w:r>
      <w:proofErr w:type="spellStart"/>
      <w:r w:rsidRPr="000E48B4">
        <w:rPr>
          <w:rFonts w:ascii="Times New Roman" w:hAnsi="Times New Roman" w:cs="Times New Roman"/>
          <w:color w:val="000000" w:themeColor="text1"/>
          <w:sz w:val="24"/>
        </w:rPr>
        <w:t>Kd</w:t>
      </w:r>
      <w:proofErr w:type="spellEnd"/>
      <w:r w:rsidRPr="000E48B4">
        <w:rPr>
          <w:rFonts w:ascii="Times New Roman" w:hAnsi="Times New Roman" w:cs="Times New Roman"/>
          <w:color w:val="000000" w:themeColor="text1"/>
          <w:sz w:val="24"/>
        </w:rPr>
        <w:t xml:space="preserve">) of NYM080 to CAⅨ is measured using surface plasmon resonance in a </w:t>
      </w:r>
      <w:proofErr w:type="spellStart"/>
      <w:r w:rsidRPr="000E48B4">
        <w:rPr>
          <w:rFonts w:ascii="Times New Roman" w:hAnsi="Times New Roman" w:cs="Times New Roman"/>
          <w:color w:val="000000" w:themeColor="text1"/>
          <w:sz w:val="24"/>
        </w:rPr>
        <w:t>Biacore</w:t>
      </w:r>
      <w:proofErr w:type="spellEnd"/>
      <w:r w:rsidRPr="000E48B4">
        <w:rPr>
          <w:rFonts w:ascii="Times New Roman" w:hAnsi="Times New Roman" w:cs="Times New Roman"/>
          <w:color w:val="000000" w:themeColor="text1"/>
          <w:sz w:val="24"/>
        </w:rPr>
        <w:t xml:space="preserve"> 8K system at 25°C. Biotinylated Avi-tagged CAⅨ (CAⅨ protein target</w:t>
      </w:r>
      <w:r w:rsidR="00A47899" w:rsidRPr="000E48B4">
        <w:rPr>
          <w:rFonts w:ascii="Times New Roman" w:hAnsi="Times New Roman" w:cs="Times New Roman" w:hint="eastAsia"/>
          <w:color w:val="000000" w:themeColor="text1"/>
          <w:sz w:val="24"/>
        </w:rPr>
        <w:t xml:space="preserve">, </w:t>
      </w:r>
      <w:proofErr w:type="spellStart"/>
      <w:r w:rsidRPr="000E48B4">
        <w:rPr>
          <w:rFonts w:ascii="Times New Roman" w:hAnsi="Times New Roman" w:cs="Times New Roman"/>
          <w:color w:val="000000" w:themeColor="text1"/>
          <w:sz w:val="24"/>
        </w:rPr>
        <w:t>ACROBiosystems</w:t>
      </w:r>
      <w:proofErr w:type="spellEnd"/>
      <w:r w:rsidRPr="000E48B4">
        <w:rPr>
          <w:rFonts w:ascii="Times New Roman" w:hAnsi="Times New Roman" w:cs="Times New Roman"/>
          <w:color w:val="000000" w:themeColor="text1"/>
          <w:sz w:val="24"/>
        </w:rPr>
        <w:t xml:space="preserve"> Co. Ltd.</w:t>
      </w:r>
      <w:r w:rsidR="00A47899" w:rsidRPr="000E48B4">
        <w:rPr>
          <w:rFonts w:ascii="Times New Roman" w:hAnsi="Times New Roman" w:cs="Times New Roman" w:hint="eastAsia"/>
          <w:color w:val="000000" w:themeColor="text1"/>
          <w:sz w:val="24"/>
        </w:rPr>
        <w:t>, China</w:t>
      </w:r>
      <w:r w:rsidRPr="000E48B4">
        <w:rPr>
          <w:rFonts w:ascii="Times New Roman" w:hAnsi="Times New Roman" w:cs="Times New Roman"/>
          <w:color w:val="000000" w:themeColor="text1"/>
          <w:sz w:val="24"/>
        </w:rPr>
        <w:t xml:space="preserve">) was immobilized onto a Neutravidin-coated Series S Sensor Chip CM5. A series of concentrations of benzothiazine and NYM080 were injected for affinity measurements. For all measurements, the running buffer consisted of 1X HBS-EP+ (10 mM HEPES, 150 mM NaCl, 3 mM EDTA and 0.05% (v/v) Surfactant P20 (Tween 20)), and 5% DMSO, pH 7.4. Affinity was determined by loading at least five concentrations (with a 2-fold dilution ratio) of the compounds, excluding abnormal curves. Data were analyzed using </w:t>
      </w:r>
      <w:proofErr w:type="spellStart"/>
      <w:r w:rsidRPr="000E48B4">
        <w:rPr>
          <w:rFonts w:ascii="Times New Roman" w:hAnsi="Times New Roman" w:cs="Times New Roman"/>
          <w:color w:val="000000" w:themeColor="text1"/>
          <w:sz w:val="24"/>
        </w:rPr>
        <w:t>Biacore</w:t>
      </w:r>
      <w:proofErr w:type="spellEnd"/>
      <w:r w:rsidRPr="000E48B4">
        <w:rPr>
          <w:rFonts w:ascii="Times New Roman" w:hAnsi="Times New Roman" w:cs="Times New Roman"/>
          <w:color w:val="000000" w:themeColor="text1"/>
          <w:sz w:val="24"/>
        </w:rPr>
        <w:t xml:space="preserve"> Insight Evaluation Software v4.0</w:t>
      </w:r>
      <w:r w:rsidR="00954DB7" w:rsidRPr="000E48B4">
        <w:rPr>
          <w:rFonts w:ascii="Times New Roman" w:hAnsi="Times New Roman" w:cs="Times New Roman" w:hint="eastAsia"/>
          <w:color w:val="000000" w:themeColor="text1"/>
          <w:sz w:val="24"/>
        </w:rPr>
        <w:t xml:space="preserve"> (</w:t>
      </w:r>
      <w:proofErr w:type="spellStart"/>
      <w:r w:rsidRPr="000E48B4">
        <w:rPr>
          <w:rFonts w:ascii="Times New Roman" w:hAnsi="Times New Roman" w:cs="Times New Roman"/>
          <w:color w:val="000000" w:themeColor="text1"/>
          <w:sz w:val="24"/>
        </w:rPr>
        <w:t>Cytiva</w:t>
      </w:r>
      <w:proofErr w:type="spellEnd"/>
      <w:r w:rsidR="00954DB7" w:rsidRPr="000E48B4">
        <w:rPr>
          <w:rFonts w:ascii="Times New Roman" w:hAnsi="Times New Roman" w:cs="Times New Roman" w:hint="eastAsia"/>
          <w:color w:val="000000" w:themeColor="text1"/>
          <w:sz w:val="24"/>
        </w:rPr>
        <w:t>, USA)</w:t>
      </w:r>
      <w:r w:rsidRPr="000E48B4">
        <w:rPr>
          <w:rFonts w:ascii="Times New Roman" w:hAnsi="Times New Roman" w:cs="Times New Roman"/>
          <w:color w:val="000000" w:themeColor="text1"/>
          <w:sz w:val="24"/>
        </w:rPr>
        <w:t xml:space="preserve"> to calculate apparent KD values.</w:t>
      </w:r>
    </w:p>
    <w:p w14:paraId="5B0DFD5E" w14:textId="77777777" w:rsidR="00D251E2" w:rsidRPr="000E48B4" w:rsidRDefault="0044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Cell-Binding Assays</w:t>
      </w:r>
    </w:p>
    <w:p w14:paraId="42BDD2D8" w14:textId="77777777" w:rsidR="00447BBF" w:rsidRPr="000E48B4" w:rsidRDefault="00447BBF" w:rsidP="00C922E0">
      <w:p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color w:val="000000" w:themeColor="text1"/>
          <w:sz w:val="24"/>
        </w:rPr>
        <w:t>OS-RC-2 and PC3 cells were seeded into 6-well plates at a density of 1×10</w:t>
      </w:r>
      <w:r w:rsidRPr="000E48B4">
        <w:rPr>
          <w:rFonts w:ascii="Times New Roman" w:hAnsi="Times New Roman" w:cs="Times New Roman"/>
          <w:color w:val="000000" w:themeColor="text1"/>
          <w:sz w:val="24"/>
          <w:vertAlign w:val="superscript"/>
        </w:rPr>
        <w:t>5</w:t>
      </w:r>
      <w:r w:rsidRPr="000E48B4">
        <w:rPr>
          <w:rFonts w:ascii="Times New Roman" w:hAnsi="Times New Roman" w:cs="Times New Roman"/>
          <w:color w:val="000000" w:themeColor="text1"/>
          <w:sz w:val="24"/>
        </w:rPr>
        <w:t xml:space="preserve"> cells per well were treated with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Lu-NYM080</w:t>
      </w:r>
      <w:r w:rsidRPr="000E48B4">
        <w:rPr>
          <w:rFonts w:ascii="Times New Roman" w:hAnsi="Times New Roman" w:cs="Times New Roman"/>
          <w:color w:val="000000" w:themeColor="text1"/>
          <w:sz w:val="24"/>
        </w:rPr>
        <w:t>（</w:t>
      </w:r>
      <w:r w:rsidRPr="000E48B4">
        <w:rPr>
          <w:rFonts w:ascii="Times New Roman" w:hAnsi="Times New Roman" w:cs="Times New Roman"/>
          <w:color w:val="000000" w:themeColor="text1"/>
          <w:sz w:val="24"/>
        </w:rPr>
        <w:t>0.25μCi per well</w:t>
      </w:r>
      <w:r w:rsidRPr="000E48B4">
        <w:rPr>
          <w:rFonts w:ascii="Times New Roman" w:hAnsi="Times New Roman" w:cs="Times New Roman"/>
          <w:color w:val="000000" w:themeColor="text1"/>
          <w:sz w:val="24"/>
        </w:rPr>
        <w:t>）</w:t>
      </w:r>
      <w:r w:rsidRPr="000E48B4">
        <w:rPr>
          <w:rFonts w:ascii="Times New Roman" w:hAnsi="Times New Roman" w:cs="Times New Roman"/>
          <w:color w:val="000000" w:themeColor="text1"/>
          <w:sz w:val="24"/>
        </w:rPr>
        <w:t>, and incubation was performed at 37°C for various time points (4 h, 24 h, 48 h, and 72 h), with three replicate wells per time point. Additionally, a well with the total amount of added drug was included as a control.</w:t>
      </w:r>
      <w:r w:rsidRPr="000E48B4">
        <w:rPr>
          <w:rFonts w:ascii="Times New Roman" w:hAnsi="Times New Roman" w:cs="Times New Roman"/>
          <w:color w:val="000000" w:themeColor="text1"/>
          <w:kern w:val="0"/>
          <w:sz w:val="24"/>
        </w:rPr>
        <w:t xml:space="preserve"> </w:t>
      </w:r>
      <w:r w:rsidRPr="000E48B4">
        <w:rPr>
          <w:rFonts w:ascii="Times New Roman" w:hAnsi="Times New Roman" w:cs="Times New Roman"/>
          <w:color w:val="000000" w:themeColor="text1"/>
          <w:sz w:val="24"/>
        </w:rPr>
        <w:t xml:space="preserve">The data were decay-corrected based on the time of drug </w:t>
      </w:r>
      <w:proofErr w:type="spellStart"/>
      <w:r w:rsidRPr="000E48B4">
        <w:rPr>
          <w:rFonts w:ascii="Times New Roman" w:hAnsi="Times New Roman" w:cs="Times New Roman"/>
          <w:color w:val="000000" w:themeColor="text1"/>
          <w:sz w:val="24"/>
        </w:rPr>
        <w:t>addition</w:t>
      </w:r>
      <w:proofErr w:type="spellEnd"/>
      <w:r w:rsidRPr="000E48B4">
        <w:rPr>
          <w:rFonts w:ascii="Times New Roman" w:hAnsi="Times New Roman" w:cs="Times New Roman"/>
          <w:color w:val="000000" w:themeColor="text1"/>
          <w:sz w:val="24"/>
        </w:rPr>
        <w:t xml:space="preserve">, and cellular uptake was expressed as the percentage of the total radioactivity added per </w:t>
      </w:r>
      <w:r w:rsidRPr="000E48B4">
        <w:rPr>
          <w:rFonts w:ascii="Times New Roman" w:hAnsi="Times New Roman" w:cs="Times New Roman"/>
          <w:color w:val="000000" w:themeColor="text1"/>
          <w:sz w:val="24"/>
        </w:rPr>
        <w:lastRenderedPageBreak/>
        <w:t>well.</w:t>
      </w:r>
    </w:p>
    <w:p w14:paraId="074E7E31" w14:textId="77777777" w:rsidR="00D251E2" w:rsidRPr="000E48B4" w:rsidRDefault="0044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Blood Pharmacokinetics</w:t>
      </w:r>
    </w:p>
    <w:p w14:paraId="694BC97B" w14:textId="2EDA9DEF" w:rsidR="00447BBF" w:rsidRPr="000E48B4" w:rsidRDefault="00447BBF" w:rsidP="00C922E0">
      <w:p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color w:val="000000" w:themeColor="text1"/>
          <w:sz w:val="24"/>
        </w:rPr>
        <w:t xml:space="preserve">Pharmacokinetic data in ICR mice were collected by drawing blood from the lateral tail vein at the following time points: 5, 15, 30, 60, 90, 120, 180 and 240 min after administering 3.7MBq of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Ga-NYM080. To measure sample weights, collection tubes were weighed before and after blood collection using a precision scale. Activity in each sample was assessed with a gamma counter (PerkinElmer 2470, Massachusetts</w:t>
      </w:r>
      <w:r w:rsidR="00D52383" w:rsidRPr="000E48B4">
        <w:rPr>
          <w:rFonts w:ascii="Times New Roman" w:hAnsi="Times New Roman" w:cs="Times New Roman" w:hint="eastAsia"/>
          <w:color w:val="000000" w:themeColor="text1"/>
          <w:sz w:val="24"/>
        </w:rPr>
        <w:t>, USA</w:t>
      </w:r>
      <w:r w:rsidRPr="000E48B4">
        <w:rPr>
          <w:rFonts w:ascii="Times New Roman" w:hAnsi="Times New Roman" w:cs="Times New Roman"/>
          <w:color w:val="000000" w:themeColor="text1"/>
          <w:sz w:val="24"/>
        </w:rPr>
        <w:t>), and the data were decay-corrected using the formula: A = A0 * exp(-</w:t>
      </w:r>
      <w:proofErr w:type="spellStart"/>
      <w:r w:rsidRPr="000E48B4">
        <w:rPr>
          <w:rFonts w:ascii="Times New Roman" w:hAnsi="Times New Roman" w:cs="Times New Roman"/>
          <w:color w:val="000000" w:themeColor="text1"/>
          <w:sz w:val="24"/>
        </w:rPr>
        <w:t>λt</w:t>
      </w:r>
      <w:proofErr w:type="spellEnd"/>
      <w:r w:rsidRPr="000E48B4">
        <w:rPr>
          <w:rFonts w:ascii="Times New Roman" w:hAnsi="Times New Roman" w:cs="Times New Roman"/>
          <w:color w:val="000000" w:themeColor="text1"/>
          <w:sz w:val="24"/>
        </w:rPr>
        <w:t>), where A is the activity of the sample at time t, A0 is the initial activity of the sample at the time of tracer injection, λ is the decay constant of the radioactive material, and t is the time elapsed since tracer injection to blood sampling. The corrected activity concentration was expressed as a percentage of the injected dose per gram of tissue (%ID/g) to estimate the tracer concentration in the blood. The data were analyzed using DAS software v2.1.1</w:t>
      </w:r>
      <w:r w:rsidR="002131B0" w:rsidRPr="000E48B4">
        <w:rPr>
          <w:rFonts w:ascii="Times New Roman" w:hAnsi="Times New Roman" w:cs="Times New Roman" w:hint="eastAsia"/>
          <w:color w:val="000000" w:themeColor="text1"/>
          <w:sz w:val="24"/>
        </w:rPr>
        <w:t xml:space="preserve"> </w:t>
      </w:r>
      <w:r w:rsidR="00D52383" w:rsidRPr="000E48B4">
        <w:rPr>
          <w:rFonts w:ascii="Times New Roman" w:hAnsi="Times New Roman" w:cs="Times New Roman" w:hint="eastAsia"/>
          <w:color w:val="000000" w:themeColor="text1"/>
          <w:sz w:val="24"/>
        </w:rPr>
        <w:t>(Beijing, China)</w:t>
      </w:r>
      <w:r w:rsidRPr="000E48B4">
        <w:rPr>
          <w:rFonts w:ascii="Times New Roman" w:hAnsi="Times New Roman" w:cs="Times New Roman"/>
          <w:color w:val="000000" w:themeColor="text1"/>
          <w:sz w:val="24"/>
        </w:rPr>
        <w:t>.</w:t>
      </w:r>
    </w:p>
    <w:p w14:paraId="1B7D6FEB" w14:textId="77777777" w:rsidR="00447BBF" w:rsidRPr="000E48B4" w:rsidRDefault="0044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Micro-PET/CT Imaging and Blocking Study</w:t>
      </w:r>
    </w:p>
    <w:p w14:paraId="363B43FE" w14:textId="77777777" w:rsidR="00447BBF" w:rsidRPr="000E48B4" w:rsidRDefault="00447BBF" w:rsidP="00C922E0">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 xml:space="preserve">For the in vivo biodistribution studies, OS-RC-2 tumor-bearing mice were administered 2.96 MBq of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 xml:space="preserve">Ga-NYM080 in 150 </w:t>
      </w:r>
      <w:proofErr w:type="spellStart"/>
      <w:r w:rsidRPr="000E48B4">
        <w:rPr>
          <w:rFonts w:ascii="Times New Roman" w:hAnsi="Times New Roman" w:cs="Times New Roman"/>
          <w:color w:val="000000" w:themeColor="text1"/>
          <w:sz w:val="24"/>
        </w:rPr>
        <w:t>μL</w:t>
      </w:r>
      <w:proofErr w:type="spellEnd"/>
      <w:r w:rsidRPr="000E48B4">
        <w:rPr>
          <w:rFonts w:ascii="Times New Roman" w:hAnsi="Times New Roman" w:cs="Times New Roman"/>
          <w:color w:val="000000" w:themeColor="text1"/>
          <w:sz w:val="24"/>
        </w:rPr>
        <w:t xml:space="preserve"> via intravenous injection into the lateral tail vein. Following anesthesia with 1.5%–2% isoflurane administered with a 0.5 L/min air flow, dynamic PET imaging was conducted for 30 min, followed by serial static scans at 60 min and 120 min using the Super Nova® PET/CT system (</w:t>
      </w:r>
      <w:proofErr w:type="spellStart"/>
      <w:r w:rsidRPr="000E48B4">
        <w:rPr>
          <w:rFonts w:ascii="Times New Roman" w:hAnsi="Times New Roman" w:cs="Times New Roman"/>
          <w:color w:val="000000" w:themeColor="text1"/>
          <w:sz w:val="24"/>
        </w:rPr>
        <w:t>Pingseng</w:t>
      </w:r>
      <w:proofErr w:type="spellEnd"/>
      <w:r w:rsidRPr="000E48B4">
        <w:rPr>
          <w:rFonts w:ascii="Times New Roman" w:hAnsi="Times New Roman" w:cs="Times New Roman"/>
          <w:color w:val="000000" w:themeColor="text1"/>
          <w:sz w:val="24"/>
        </w:rPr>
        <w:t xml:space="preserve"> Healthcare, </w:t>
      </w:r>
      <w:r w:rsidRPr="000E48B4">
        <w:rPr>
          <w:rFonts w:ascii="Times New Roman" w:hAnsi="Times New Roman" w:cs="Times New Roman"/>
          <w:color w:val="000000" w:themeColor="text1"/>
          <w:sz w:val="24"/>
        </w:rPr>
        <w:lastRenderedPageBreak/>
        <w:t xml:space="preserve">Kunshan, China). To assess blocking effects, 400 </w:t>
      </w:r>
      <w:proofErr w:type="spellStart"/>
      <w:r w:rsidRPr="000E48B4">
        <w:rPr>
          <w:rFonts w:ascii="Times New Roman" w:hAnsi="Times New Roman" w:cs="Times New Roman"/>
          <w:color w:val="000000" w:themeColor="text1"/>
          <w:sz w:val="24"/>
        </w:rPr>
        <w:t>μg</w:t>
      </w:r>
      <w:proofErr w:type="spellEnd"/>
      <w:r w:rsidRPr="000E48B4">
        <w:rPr>
          <w:rFonts w:ascii="Times New Roman" w:hAnsi="Times New Roman" w:cs="Times New Roman"/>
          <w:color w:val="000000" w:themeColor="text1"/>
          <w:sz w:val="24"/>
        </w:rPr>
        <w:t xml:space="preserve"> of unlabeled NYM0</w:t>
      </w:r>
      <w:r w:rsidR="00652179" w:rsidRPr="000E48B4">
        <w:rPr>
          <w:rFonts w:ascii="Times New Roman" w:hAnsi="Times New Roman" w:cs="Times New Roman"/>
          <w:color w:val="000000" w:themeColor="text1"/>
          <w:sz w:val="24"/>
        </w:rPr>
        <w:t>05</w:t>
      </w:r>
      <w:r w:rsidRPr="000E48B4">
        <w:rPr>
          <w:rFonts w:ascii="Times New Roman" w:hAnsi="Times New Roman" w:cs="Times New Roman"/>
          <w:color w:val="000000" w:themeColor="text1"/>
          <w:sz w:val="24"/>
        </w:rPr>
        <w:t xml:space="preserve"> (0.45 </w:t>
      </w:r>
      <w:proofErr w:type="spellStart"/>
      <w:r w:rsidRPr="000E48B4">
        <w:rPr>
          <w:rFonts w:ascii="Times New Roman" w:hAnsi="Times New Roman" w:cs="Times New Roman"/>
          <w:color w:val="000000" w:themeColor="text1"/>
          <w:sz w:val="24"/>
        </w:rPr>
        <w:t>μM</w:t>
      </w:r>
      <w:proofErr w:type="spellEnd"/>
      <w:r w:rsidRPr="000E48B4">
        <w:rPr>
          <w:rFonts w:ascii="Times New Roman" w:hAnsi="Times New Roman" w:cs="Times New Roman"/>
          <w:color w:val="000000" w:themeColor="text1"/>
          <w:sz w:val="24"/>
        </w:rPr>
        <w:t xml:space="preserve">) was pre-injected 1 h prior to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 xml:space="preserve">Ga-NYM080 or administration, and imaging was performed 1 h post-injection. For PC-3 xenograft tumor models, 2.96 ± 0.37 MBq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Ga-NYM080 was injected and same PET imaging protocol was carried out 1 h later.</w:t>
      </w:r>
    </w:p>
    <w:p w14:paraId="1AAC34E7" w14:textId="77777777" w:rsidR="00447BBF" w:rsidRPr="000E48B4" w:rsidRDefault="0044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Ex vivo biodistribution study</w:t>
      </w:r>
    </w:p>
    <w:p w14:paraId="5B763C49" w14:textId="59B67AD2" w:rsidR="00ED306A" w:rsidRPr="000E48B4" w:rsidRDefault="00447BBF" w:rsidP="00C922E0">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 xml:space="preserve">OS-RC-2 tumor-bearing mice were euthanized by cervical dislocation 1 h and 4 h after intravenous injection of 2.96 ± 0.37 MBq of </w:t>
      </w:r>
      <w:r w:rsidRPr="000E48B4">
        <w:rPr>
          <w:rFonts w:ascii="Times New Roman" w:hAnsi="Times New Roman" w:cs="Times New Roman"/>
          <w:color w:val="000000" w:themeColor="text1"/>
          <w:sz w:val="24"/>
          <w:vertAlign w:val="superscript"/>
        </w:rPr>
        <w:t>68</w:t>
      </w:r>
      <w:r w:rsidRPr="000E48B4">
        <w:rPr>
          <w:rFonts w:ascii="Times New Roman" w:hAnsi="Times New Roman" w:cs="Times New Roman"/>
          <w:color w:val="000000" w:themeColor="text1"/>
          <w:sz w:val="24"/>
        </w:rPr>
        <w:t xml:space="preserve">Ga-NYM080 or 4, 48, 168 h after injection of 11.1 MBq of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Lu-NYM080 (3 mice for each time point). Following euthanasia, tissues from various organs and xenograft tumors were excised, weighed, and analyzed for radioactivity using a PerkinElmer 2470 gamma counter (PerkinElmer, Massachusetts</w:t>
      </w:r>
      <w:r w:rsidR="004771D5" w:rsidRPr="000E48B4">
        <w:rPr>
          <w:rFonts w:ascii="Times New Roman" w:hAnsi="Times New Roman" w:cs="Times New Roman" w:hint="eastAsia"/>
          <w:color w:val="000000" w:themeColor="text1"/>
          <w:sz w:val="24"/>
        </w:rPr>
        <w:t>, USA</w:t>
      </w:r>
      <w:r w:rsidRPr="000E48B4">
        <w:rPr>
          <w:rFonts w:ascii="Times New Roman" w:hAnsi="Times New Roman" w:cs="Times New Roman"/>
          <w:color w:val="000000" w:themeColor="text1"/>
          <w:sz w:val="24"/>
        </w:rPr>
        <w:t>). The radioactivity measurements were corrected for background radiation and radioactive decay. Uptake was expressed as the percentage of the injected dose per gram of tissue (%ID/g).</w:t>
      </w:r>
    </w:p>
    <w:p w14:paraId="61F3A977" w14:textId="77777777" w:rsidR="005A7BBF" w:rsidRPr="000E48B4" w:rsidRDefault="005A7BBF" w:rsidP="00C922E0">
      <w:pPr>
        <w:pStyle w:val="a9"/>
        <w:numPr>
          <w:ilvl w:val="0"/>
          <w:numId w:val="1"/>
        </w:numPr>
        <w:spacing w:beforeLines="100" w:before="312" w:line="480" w:lineRule="auto"/>
        <w:rPr>
          <w:rFonts w:ascii="Times New Roman" w:hAnsi="Times New Roman" w:cs="Times New Roman"/>
          <w:b/>
          <w:bCs/>
          <w:color w:val="000000" w:themeColor="text1"/>
          <w:sz w:val="24"/>
        </w:rPr>
      </w:pPr>
      <w:r w:rsidRPr="000E48B4">
        <w:rPr>
          <w:rFonts w:ascii="Times New Roman" w:hAnsi="Times New Roman" w:cs="Times New Roman"/>
          <w:b/>
          <w:bCs/>
          <w:color w:val="000000" w:themeColor="text1"/>
          <w:sz w:val="24"/>
        </w:rPr>
        <w:t>Therapeutic Efficacy Study</w:t>
      </w:r>
    </w:p>
    <w:p w14:paraId="5BB9181D" w14:textId="13E9A37B" w:rsidR="005A7BBF" w:rsidRPr="000E48B4" w:rsidRDefault="005A7BBF" w:rsidP="00C922E0">
      <w:pPr>
        <w:spacing w:beforeLines="100" w:before="312" w:line="480" w:lineRule="auto"/>
        <w:rPr>
          <w:rFonts w:ascii="Times New Roman" w:hAnsi="Times New Roman" w:cs="Times New Roman"/>
          <w:color w:val="000000" w:themeColor="text1"/>
          <w:sz w:val="24"/>
        </w:rPr>
      </w:pPr>
      <w:r w:rsidRPr="000E48B4">
        <w:rPr>
          <w:rFonts w:ascii="Times New Roman" w:hAnsi="Times New Roman" w:cs="Times New Roman"/>
          <w:color w:val="000000" w:themeColor="text1"/>
          <w:sz w:val="24"/>
        </w:rPr>
        <w:t>For in vivo biodistribution, 11.1 M</w:t>
      </w:r>
      <w:r w:rsidR="009B3512" w:rsidRPr="000E48B4">
        <w:rPr>
          <w:rFonts w:ascii="Times New Roman" w:hAnsi="Times New Roman" w:cs="Times New Roman" w:hint="eastAsia"/>
          <w:color w:val="000000" w:themeColor="text1"/>
          <w:sz w:val="24"/>
        </w:rPr>
        <w:t>B</w:t>
      </w:r>
      <w:r w:rsidRPr="000E48B4">
        <w:rPr>
          <w:rFonts w:ascii="Times New Roman" w:hAnsi="Times New Roman" w:cs="Times New Roman"/>
          <w:color w:val="000000" w:themeColor="text1"/>
          <w:sz w:val="24"/>
        </w:rPr>
        <w:t xml:space="preserve">q of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Lu-NYM080 were given to OS-RC-2 xenograft mouse intravenously, and SPECT/CT scan was performed at 4, 24, 48, 96, 120h and168h post-injection. To assess the therapeutic efficacy of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Lu-NYM080, tumor-bearing mice were allocated into three groups, with six mice per group. Group 1 received single injection of saline as control, Group 2 received a single intravenous injection of 74 MBq of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 xml:space="preserve">Lu-NYM080 and Group 3 received 148 MBq of </w:t>
      </w:r>
      <w:r w:rsidRPr="000E48B4">
        <w:rPr>
          <w:rFonts w:ascii="Times New Roman" w:hAnsi="Times New Roman" w:cs="Times New Roman"/>
          <w:color w:val="000000" w:themeColor="text1"/>
          <w:sz w:val="24"/>
          <w:vertAlign w:val="superscript"/>
        </w:rPr>
        <w:t>177</w:t>
      </w:r>
      <w:r w:rsidRPr="000E48B4">
        <w:rPr>
          <w:rFonts w:ascii="Times New Roman" w:hAnsi="Times New Roman" w:cs="Times New Roman"/>
          <w:color w:val="000000" w:themeColor="text1"/>
          <w:sz w:val="24"/>
        </w:rPr>
        <w:t>Lu-</w:t>
      </w:r>
      <w:r w:rsidRPr="000E48B4">
        <w:rPr>
          <w:rFonts w:ascii="Times New Roman" w:hAnsi="Times New Roman" w:cs="Times New Roman"/>
          <w:color w:val="000000" w:themeColor="text1"/>
          <w:sz w:val="24"/>
        </w:rPr>
        <w:lastRenderedPageBreak/>
        <w:t>NYM080 in two doses of 74 MBq each, administered 4 days apart. Mice were weighed and tumor volumes measured on the day of the first injection, with subsequent measurements taken twice every week thereafter.</w:t>
      </w:r>
    </w:p>
    <w:p w14:paraId="143EEF1B" w14:textId="77777777" w:rsidR="00C76FF3" w:rsidRPr="000E48B4" w:rsidRDefault="00C76FF3" w:rsidP="00C922E0">
      <w:pPr>
        <w:spacing w:beforeLines="100" w:before="312" w:line="480" w:lineRule="auto"/>
        <w:rPr>
          <w:color w:val="000000" w:themeColor="text1"/>
          <w:sz w:val="24"/>
        </w:rPr>
      </w:pPr>
    </w:p>
    <w:sectPr w:rsidR="00C76FF3" w:rsidRPr="000E48B4" w:rsidSect="003C4CD6">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43ACD"/>
    <w:multiLevelType w:val="hybridMultilevel"/>
    <w:tmpl w:val="27AAF44A"/>
    <w:lvl w:ilvl="0" w:tplc="8A0449D0">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7EB700C"/>
    <w:multiLevelType w:val="hybridMultilevel"/>
    <w:tmpl w:val="B4C0ACC2"/>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711371696">
    <w:abstractNumId w:val="0"/>
  </w:num>
  <w:num w:numId="2" w16cid:durableId="458379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BF"/>
    <w:rsid w:val="00000972"/>
    <w:rsid w:val="000033DE"/>
    <w:rsid w:val="00006F22"/>
    <w:rsid w:val="0002025B"/>
    <w:rsid w:val="00020AB9"/>
    <w:rsid w:val="000318E1"/>
    <w:rsid w:val="000320B4"/>
    <w:rsid w:val="00032DDE"/>
    <w:rsid w:val="00036C7D"/>
    <w:rsid w:val="00043B86"/>
    <w:rsid w:val="00052683"/>
    <w:rsid w:val="00056D9D"/>
    <w:rsid w:val="000577A6"/>
    <w:rsid w:val="00061706"/>
    <w:rsid w:val="00077F50"/>
    <w:rsid w:val="00081E01"/>
    <w:rsid w:val="0009338E"/>
    <w:rsid w:val="000A0B2C"/>
    <w:rsid w:val="000A1A72"/>
    <w:rsid w:val="000B0AAC"/>
    <w:rsid w:val="000C0A13"/>
    <w:rsid w:val="000C346C"/>
    <w:rsid w:val="000C4C06"/>
    <w:rsid w:val="000D1190"/>
    <w:rsid w:val="000D127F"/>
    <w:rsid w:val="000E3CBD"/>
    <w:rsid w:val="000E48B4"/>
    <w:rsid w:val="000F0224"/>
    <w:rsid w:val="000F4758"/>
    <w:rsid w:val="001001A2"/>
    <w:rsid w:val="00105339"/>
    <w:rsid w:val="00113FB0"/>
    <w:rsid w:val="00116029"/>
    <w:rsid w:val="00116810"/>
    <w:rsid w:val="00116D48"/>
    <w:rsid w:val="00117C2E"/>
    <w:rsid w:val="001234C0"/>
    <w:rsid w:val="00131E5F"/>
    <w:rsid w:val="00137B47"/>
    <w:rsid w:val="001408A0"/>
    <w:rsid w:val="00145EDE"/>
    <w:rsid w:val="0014688F"/>
    <w:rsid w:val="00151D39"/>
    <w:rsid w:val="00156BAB"/>
    <w:rsid w:val="00161DD7"/>
    <w:rsid w:val="00162CCE"/>
    <w:rsid w:val="001646EC"/>
    <w:rsid w:val="001670F5"/>
    <w:rsid w:val="00173206"/>
    <w:rsid w:val="0018111B"/>
    <w:rsid w:val="00181881"/>
    <w:rsid w:val="001908A7"/>
    <w:rsid w:val="00190D3D"/>
    <w:rsid w:val="00197A15"/>
    <w:rsid w:val="00197FB6"/>
    <w:rsid w:val="001A1D01"/>
    <w:rsid w:val="001A61F2"/>
    <w:rsid w:val="001C499D"/>
    <w:rsid w:val="001D1165"/>
    <w:rsid w:val="001D1757"/>
    <w:rsid w:val="001D17BC"/>
    <w:rsid w:val="001D35DE"/>
    <w:rsid w:val="001D36B5"/>
    <w:rsid w:val="001D4A4E"/>
    <w:rsid w:val="001D73AF"/>
    <w:rsid w:val="001E2C7A"/>
    <w:rsid w:val="001F5982"/>
    <w:rsid w:val="00206E82"/>
    <w:rsid w:val="002131B0"/>
    <w:rsid w:val="0021358E"/>
    <w:rsid w:val="00216C47"/>
    <w:rsid w:val="00232736"/>
    <w:rsid w:val="00236BAA"/>
    <w:rsid w:val="002418E8"/>
    <w:rsid w:val="0025086E"/>
    <w:rsid w:val="0025195E"/>
    <w:rsid w:val="00261F5F"/>
    <w:rsid w:val="00287BBA"/>
    <w:rsid w:val="002943B5"/>
    <w:rsid w:val="002B33B7"/>
    <w:rsid w:val="002C2B94"/>
    <w:rsid w:val="002C4C69"/>
    <w:rsid w:val="002D00FF"/>
    <w:rsid w:val="002D0336"/>
    <w:rsid w:val="002D274A"/>
    <w:rsid w:val="002D3BBC"/>
    <w:rsid w:val="002E6F0F"/>
    <w:rsid w:val="002F0413"/>
    <w:rsid w:val="002F3E5C"/>
    <w:rsid w:val="00306771"/>
    <w:rsid w:val="00307023"/>
    <w:rsid w:val="00313F2C"/>
    <w:rsid w:val="0031525D"/>
    <w:rsid w:val="00317010"/>
    <w:rsid w:val="00326CA0"/>
    <w:rsid w:val="00327034"/>
    <w:rsid w:val="003276AA"/>
    <w:rsid w:val="00330964"/>
    <w:rsid w:val="0033497D"/>
    <w:rsid w:val="00344435"/>
    <w:rsid w:val="00347951"/>
    <w:rsid w:val="003479EA"/>
    <w:rsid w:val="0035146E"/>
    <w:rsid w:val="00357969"/>
    <w:rsid w:val="00361DDF"/>
    <w:rsid w:val="00363C24"/>
    <w:rsid w:val="00364AF6"/>
    <w:rsid w:val="00387008"/>
    <w:rsid w:val="003961BB"/>
    <w:rsid w:val="003970DA"/>
    <w:rsid w:val="003A0937"/>
    <w:rsid w:val="003B1356"/>
    <w:rsid w:val="003B2E69"/>
    <w:rsid w:val="003B3BDD"/>
    <w:rsid w:val="003B7593"/>
    <w:rsid w:val="003C2681"/>
    <w:rsid w:val="003C4CD6"/>
    <w:rsid w:val="003C5075"/>
    <w:rsid w:val="003C615D"/>
    <w:rsid w:val="003D63AC"/>
    <w:rsid w:val="003E0586"/>
    <w:rsid w:val="003E5DA9"/>
    <w:rsid w:val="003F14D2"/>
    <w:rsid w:val="003F4567"/>
    <w:rsid w:val="004077EE"/>
    <w:rsid w:val="00420C26"/>
    <w:rsid w:val="004226A7"/>
    <w:rsid w:val="004302F5"/>
    <w:rsid w:val="004405AC"/>
    <w:rsid w:val="00443E8E"/>
    <w:rsid w:val="00444C26"/>
    <w:rsid w:val="00447BBF"/>
    <w:rsid w:val="0045234D"/>
    <w:rsid w:val="00471B82"/>
    <w:rsid w:val="004743FF"/>
    <w:rsid w:val="004771D5"/>
    <w:rsid w:val="00490D32"/>
    <w:rsid w:val="00492546"/>
    <w:rsid w:val="00492C4F"/>
    <w:rsid w:val="00494562"/>
    <w:rsid w:val="004A72B8"/>
    <w:rsid w:val="004B2DF2"/>
    <w:rsid w:val="004C3783"/>
    <w:rsid w:val="004C6A22"/>
    <w:rsid w:val="004D01A9"/>
    <w:rsid w:val="004D1030"/>
    <w:rsid w:val="004D7A01"/>
    <w:rsid w:val="004D7E0E"/>
    <w:rsid w:val="004E23D5"/>
    <w:rsid w:val="004E6DD5"/>
    <w:rsid w:val="004E7E65"/>
    <w:rsid w:val="0050473A"/>
    <w:rsid w:val="00506E44"/>
    <w:rsid w:val="00510CCB"/>
    <w:rsid w:val="0051333C"/>
    <w:rsid w:val="005244B3"/>
    <w:rsid w:val="00525FD5"/>
    <w:rsid w:val="005312FC"/>
    <w:rsid w:val="00534767"/>
    <w:rsid w:val="00543A2C"/>
    <w:rsid w:val="00546CBD"/>
    <w:rsid w:val="00555076"/>
    <w:rsid w:val="00562F85"/>
    <w:rsid w:val="0056672C"/>
    <w:rsid w:val="00574876"/>
    <w:rsid w:val="005A3B7B"/>
    <w:rsid w:val="005A7BBF"/>
    <w:rsid w:val="005A7F24"/>
    <w:rsid w:val="005B0CD5"/>
    <w:rsid w:val="005C44B6"/>
    <w:rsid w:val="005C493B"/>
    <w:rsid w:val="005D4ABF"/>
    <w:rsid w:val="005D646E"/>
    <w:rsid w:val="005E08E8"/>
    <w:rsid w:val="005F2A7B"/>
    <w:rsid w:val="006036CB"/>
    <w:rsid w:val="00603FEE"/>
    <w:rsid w:val="006137A3"/>
    <w:rsid w:val="00624DA5"/>
    <w:rsid w:val="0062775A"/>
    <w:rsid w:val="00652179"/>
    <w:rsid w:val="00654648"/>
    <w:rsid w:val="00661E95"/>
    <w:rsid w:val="006740CA"/>
    <w:rsid w:val="006808D6"/>
    <w:rsid w:val="006911A2"/>
    <w:rsid w:val="00691AF2"/>
    <w:rsid w:val="006939EE"/>
    <w:rsid w:val="00697F08"/>
    <w:rsid w:val="006A2946"/>
    <w:rsid w:val="006A504E"/>
    <w:rsid w:val="006A510D"/>
    <w:rsid w:val="006A5B4B"/>
    <w:rsid w:val="006C024D"/>
    <w:rsid w:val="006C2D9C"/>
    <w:rsid w:val="006C6083"/>
    <w:rsid w:val="006D0BA4"/>
    <w:rsid w:val="006D2F1F"/>
    <w:rsid w:val="006D5655"/>
    <w:rsid w:val="006E7997"/>
    <w:rsid w:val="00701A5C"/>
    <w:rsid w:val="00702D58"/>
    <w:rsid w:val="00705145"/>
    <w:rsid w:val="00710A27"/>
    <w:rsid w:val="0071258D"/>
    <w:rsid w:val="00723941"/>
    <w:rsid w:val="00726661"/>
    <w:rsid w:val="007411AA"/>
    <w:rsid w:val="00743ED1"/>
    <w:rsid w:val="00745B0E"/>
    <w:rsid w:val="0074658B"/>
    <w:rsid w:val="007516C0"/>
    <w:rsid w:val="007620D1"/>
    <w:rsid w:val="007661FF"/>
    <w:rsid w:val="00771EB6"/>
    <w:rsid w:val="007729E5"/>
    <w:rsid w:val="00786340"/>
    <w:rsid w:val="00790393"/>
    <w:rsid w:val="00792BF7"/>
    <w:rsid w:val="007A0649"/>
    <w:rsid w:val="007A321A"/>
    <w:rsid w:val="007B13C7"/>
    <w:rsid w:val="007B1FE3"/>
    <w:rsid w:val="007C52AF"/>
    <w:rsid w:val="007D1E05"/>
    <w:rsid w:val="007D6E4D"/>
    <w:rsid w:val="007F00EA"/>
    <w:rsid w:val="007F1C53"/>
    <w:rsid w:val="007F2F78"/>
    <w:rsid w:val="007F6F96"/>
    <w:rsid w:val="0080346C"/>
    <w:rsid w:val="00804C38"/>
    <w:rsid w:val="008108EA"/>
    <w:rsid w:val="00815CC3"/>
    <w:rsid w:val="008175E4"/>
    <w:rsid w:val="008202BF"/>
    <w:rsid w:val="008231A9"/>
    <w:rsid w:val="008318D2"/>
    <w:rsid w:val="00831E7A"/>
    <w:rsid w:val="008530EE"/>
    <w:rsid w:val="008551C4"/>
    <w:rsid w:val="008565C1"/>
    <w:rsid w:val="008608F1"/>
    <w:rsid w:val="00864879"/>
    <w:rsid w:val="0086666B"/>
    <w:rsid w:val="008668F7"/>
    <w:rsid w:val="008827C8"/>
    <w:rsid w:val="0089115D"/>
    <w:rsid w:val="00892070"/>
    <w:rsid w:val="00895DC5"/>
    <w:rsid w:val="00897101"/>
    <w:rsid w:val="008A7261"/>
    <w:rsid w:val="008C08ED"/>
    <w:rsid w:val="008C6956"/>
    <w:rsid w:val="008C6E32"/>
    <w:rsid w:val="008E03EC"/>
    <w:rsid w:val="008F4557"/>
    <w:rsid w:val="00920C05"/>
    <w:rsid w:val="0092227F"/>
    <w:rsid w:val="00922488"/>
    <w:rsid w:val="00925A62"/>
    <w:rsid w:val="00925E30"/>
    <w:rsid w:val="0093361F"/>
    <w:rsid w:val="00943524"/>
    <w:rsid w:val="00943E84"/>
    <w:rsid w:val="00950512"/>
    <w:rsid w:val="00954DB7"/>
    <w:rsid w:val="00977D60"/>
    <w:rsid w:val="009839DF"/>
    <w:rsid w:val="00985508"/>
    <w:rsid w:val="009A01CA"/>
    <w:rsid w:val="009A7D1A"/>
    <w:rsid w:val="009B3512"/>
    <w:rsid w:val="009B382F"/>
    <w:rsid w:val="009C419F"/>
    <w:rsid w:val="009C46DE"/>
    <w:rsid w:val="009C4B5D"/>
    <w:rsid w:val="009C66F9"/>
    <w:rsid w:val="009D1AE6"/>
    <w:rsid w:val="009D42EA"/>
    <w:rsid w:val="009D5119"/>
    <w:rsid w:val="009D7C4C"/>
    <w:rsid w:val="009E5257"/>
    <w:rsid w:val="009F2C0F"/>
    <w:rsid w:val="00A11134"/>
    <w:rsid w:val="00A1690B"/>
    <w:rsid w:val="00A21B46"/>
    <w:rsid w:val="00A25A2F"/>
    <w:rsid w:val="00A32538"/>
    <w:rsid w:val="00A351DA"/>
    <w:rsid w:val="00A35DBB"/>
    <w:rsid w:val="00A40A41"/>
    <w:rsid w:val="00A468EB"/>
    <w:rsid w:val="00A46B60"/>
    <w:rsid w:val="00A47899"/>
    <w:rsid w:val="00A507F2"/>
    <w:rsid w:val="00A655F1"/>
    <w:rsid w:val="00A8154D"/>
    <w:rsid w:val="00A817C7"/>
    <w:rsid w:val="00A82ACB"/>
    <w:rsid w:val="00A963B5"/>
    <w:rsid w:val="00AA19CD"/>
    <w:rsid w:val="00AA23D9"/>
    <w:rsid w:val="00AB0E25"/>
    <w:rsid w:val="00AB594C"/>
    <w:rsid w:val="00AB63EE"/>
    <w:rsid w:val="00AE3A63"/>
    <w:rsid w:val="00AE7901"/>
    <w:rsid w:val="00AF2019"/>
    <w:rsid w:val="00AF208A"/>
    <w:rsid w:val="00AF3450"/>
    <w:rsid w:val="00AF69DC"/>
    <w:rsid w:val="00B00069"/>
    <w:rsid w:val="00B026CB"/>
    <w:rsid w:val="00B10242"/>
    <w:rsid w:val="00B1540D"/>
    <w:rsid w:val="00B20E73"/>
    <w:rsid w:val="00B35FEE"/>
    <w:rsid w:val="00B43561"/>
    <w:rsid w:val="00B4785D"/>
    <w:rsid w:val="00B54A76"/>
    <w:rsid w:val="00B54FE1"/>
    <w:rsid w:val="00B6033C"/>
    <w:rsid w:val="00B63479"/>
    <w:rsid w:val="00B6414A"/>
    <w:rsid w:val="00B92DCB"/>
    <w:rsid w:val="00B92F62"/>
    <w:rsid w:val="00B969A4"/>
    <w:rsid w:val="00BB47C0"/>
    <w:rsid w:val="00BC1008"/>
    <w:rsid w:val="00BD355E"/>
    <w:rsid w:val="00BE0769"/>
    <w:rsid w:val="00BF0402"/>
    <w:rsid w:val="00C0040E"/>
    <w:rsid w:val="00C05DB2"/>
    <w:rsid w:val="00C16027"/>
    <w:rsid w:val="00C16CA9"/>
    <w:rsid w:val="00C24075"/>
    <w:rsid w:val="00C246E7"/>
    <w:rsid w:val="00C34939"/>
    <w:rsid w:val="00C36188"/>
    <w:rsid w:val="00C50F40"/>
    <w:rsid w:val="00C54239"/>
    <w:rsid w:val="00C6049A"/>
    <w:rsid w:val="00C624A4"/>
    <w:rsid w:val="00C65DE3"/>
    <w:rsid w:val="00C67529"/>
    <w:rsid w:val="00C73072"/>
    <w:rsid w:val="00C76FF3"/>
    <w:rsid w:val="00C82A08"/>
    <w:rsid w:val="00C922E0"/>
    <w:rsid w:val="00C92311"/>
    <w:rsid w:val="00CA0886"/>
    <w:rsid w:val="00CA39F9"/>
    <w:rsid w:val="00CA3EEA"/>
    <w:rsid w:val="00CB000F"/>
    <w:rsid w:val="00CB52EB"/>
    <w:rsid w:val="00CC4CC4"/>
    <w:rsid w:val="00CD4608"/>
    <w:rsid w:val="00CE1D64"/>
    <w:rsid w:val="00D04499"/>
    <w:rsid w:val="00D0649E"/>
    <w:rsid w:val="00D251E2"/>
    <w:rsid w:val="00D276B5"/>
    <w:rsid w:val="00D31139"/>
    <w:rsid w:val="00D32063"/>
    <w:rsid w:val="00D355B0"/>
    <w:rsid w:val="00D40B17"/>
    <w:rsid w:val="00D40E00"/>
    <w:rsid w:val="00D410CA"/>
    <w:rsid w:val="00D4611D"/>
    <w:rsid w:val="00D52383"/>
    <w:rsid w:val="00D5409D"/>
    <w:rsid w:val="00D637FF"/>
    <w:rsid w:val="00D65632"/>
    <w:rsid w:val="00D93D9D"/>
    <w:rsid w:val="00DA0D62"/>
    <w:rsid w:val="00DA496F"/>
    <w:rsid w:val="00DA5FDE"/>
    <w:rsid w:val="00DB02C4"/>
    <w:rsid w:val="00DC2103"/>
    <w:rsid w:val="00DD048C"/>
    <w:rsid w:val="00DD3977"/>
    <w:rsid w:val="00DE4F31"/>
    <w:rsid w:val="00DF1574"/>
    <w:rsid w:val="00DF64D3"/>
    <w:rsid w:val="00DF6559"/>
    <w:rsid w:val="00E02B6E"/>
    <w:rsid w:val="00E12809"/>
    <w:rsid w:val="00E1707C"/>
    <w:rsid w:val="00E22F7E"/>
    <w:rsid w:val="00E312E6"/>
    <w:rsid w:val="00E36327"/>
    <w:rsid w:val="00E4001C"/>
    <w:rsid w:val="00E40ED0"/>
    <w:rsid w:val="00E44C29"/>
    <w:rsid w:val="00E46F40"/>
    <w:rsid w:val="00E60394"/>
    <w:rsid w:val="00E631DF"/>
    <w:rsid w:val="00E64B97"/>
    <w:rsid w:val="00E66E41"/>
    <w:rsid w:val="00E7292B"/>
    <w:rsid w:val="00E752DC"/>
    <w:rsid w:val="00E85C15"/>
    <w:rsid w:val="00E936AF"/>
    <w:rsid w:val="00E94297"/>
    <w:rsid w:val="00EB464D"/>
    <w:rsid w:val="00ED0B22"/>
    <w:rsid w:val="00ED306A"/>
    <w:rsid w:val="00EF08F6"/>
    <w:rsid w:val="00F22A37"/>
    <w:rsid w:val="00F2501C"/>
    <w:rsid w:val="00F25A65"/>
    <w:rsid w:val="00F3178C"/>
    <w:rsid w:val="00F37F7C"/>
    <w:rsid w:val="00F5239D"/>
    <w:rsid w:val="00F54D02"/>
    <w:rsid w:val="00F566F2"/>
    <w:rsid w:val="00F57400"/>
    <w:rsid w:val="00F63B20"/>
    <w:rsid w:val="00F84783"/>
    <w:rsid w:val="00F90E7E"/>
    <w:rsid w:val="00FA21CB"/>
    <w:rsid w:val="00FB1ADC"/>
    <w:rsid w:val="00FB4F89"/>
    <w:rsid w:val="00FD3BA2"/>
    <w:rsid w:val="00FD4FED"/>
    <w:rsid w:val="00FD5B4E"/>
    <w:rsid w:val="00FD7865"/>
    <w:rsid w:val="00FE3ABB"/>
    <w:rsid w:val="00FE6171"/>
    <w:rsid w:val="00FF2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1A6ABA4"/>
  <w15:chartTrackingRefBased/>
  <w15:docId w15:val="{6067E1F6-C5DA-584B-BF9D-334F9E8A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BBF"/>
    <w:pPr>
      <w:widowControl w:val="0"/>
      <w:jc w:val="both"/>
    </w:pPr>
  </w:style>
  <w:style w:type="paragraph" w:styleId="1">
    <w:name w:val="heading 1"/>
    <w:basedOn w:val="a"/>
    <w:next w:val="a"/>
    <w:link w:val="10"/>
    <w:uiPriority w:val="9"/>
    <w:qFormat/>
    <w:rsid w:val="00447BB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447BB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447BB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47BB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447BBF"/>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447BB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47BB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47BB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47BB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47BB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447BB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447BB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447BBF"/>
    <w:rPr>
      <w:rFonts w:cstheme="majorBidi"/>
      <w:color w:val="2F5496" w:themeColor="accent1" w:themeShade="BF"/>
      <w:sz w:val="28"/>
      <w:szCs w:val="28"/>
    </w:rPr>
  </w:style>
  <w:style w:type="character" w:customStyle="1" w:styleId="50">
    <w:name w:val="标题 5 字符"/>
    <w:basedOn w:val="a0"/>
    <w:link w:val="5"/>
    <w:uiPriority w:val="9"/>
    <w:semiHidden/>
    <w:rsid w:val="00447BBF"/>
    <w:rPr>
      <w:rFonts w:cstheme="majorBidi"/>
      <w:color w:val="2F5496" w:themeColor="accent1" w:themeShade="BF"/>
      <w:sz w:val="24"/>
    </w:rPr>
  </w:style>
  <w:style w:type="character" w:customStyle="1" w:styleId="60">
    <w:name w:val="标题 6 字符"/>
    <w:basedOn w:val="a0"/>
    <w:link w:val="6"/>
    <w:uiPriority w:val="9"/>
    <w:semiHidden/>
    <w:rsid w:val="00447BBF"/>
    <w:rPr>
      <w:rFonts w:cstheme="majorBidi"/>
      <w:b/>
      <w:bCs/>
      <w:color w:val="2F5496" w:themeColor="accent1" w:themeShade="BF"/>
    </w:rPr>
  </w:style>
  <w:style w:type="character" w:customStyle="1" w:styleId="70">
    <w:name w:val="标题 7 字符"/>
    <w:basedOn w:val="a0"/>
    <w:link w:val="7"/>
    <w:uiPriority w:val="9"/>
    <w:semiHidden/>
    <w:rsid w:val="00447BBF"/>
    <w:rPr>
      <w:rFonts w:cstheme="majorBidi"/>
      <w:b/>
      <w:bCs/>
      <w:color w:val="595959" w:themeColor="text1" w:themeTint="A6"/>
    </w:rPr>
  </w:style>
  <w:style w:type="character" w:customStyle="1" w:styleId="80">
    <w:name w:val="标题 8 字符"/>
    <w:basedOn w:val="a0"/>
    <w:link w:val="8"/>
    <w:uiPriority w:val="9"/>
    <w:semiHidden/>
    <w:rsid w:val="00447BBF"/>
    <w:rPr>
      <w:rFonts w:cstheme="majorBidi"/>
      <w:color w:val="595959" w:themeColor="text1" w:themeTint="A6"/>
    </w:rPr>
  </w:style>
  <w:style w:type="character" w:customStyle="1" w:styleId="90">
    <w:name w:val="标题 9 字符"/>
    <w:basedOn w:val="a0"/>
    <w:link w:val="9"/>
    <w:uiPriority w:val="9"/>
    <w:semiHidden/>
    <w:rsid w:val="00447BBF"/>
    <w:rPr>
      <w:rFonts w:eastAsiaTheme="majorEastAsia" w:cstheme="majorBidi"/>
      <w:color w:val="595959" w:themeColor="text1" w:themeTint="A6"/>
    </w:rPr>
  </w:style>
  <w:style w:type="paragraph" w:styleId="a3">
    <w:name w:val="Title"/>
    <w:basedOn w:val="a"/>
    <w:next w:val="a"/>
    <w:link w:val="a4"/>
    <w:uiPriority w:val="10"/>
    <w:qFormat/>
    <w:rsid w:val="00447BB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47B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7BB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47B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47BBF"/>
    <w:pPr>
      <w:spacing w:before="160" w:after="160"/>
      <w:jc w:val="center"/>
    </w:pPr>
    <w:rPr>
      <w:i/>
      <w:iCs/>
      <w:color w:val="404040" w:themeColor="text1" w:themeTint="BF"/>
    </w:rPr>
  </w:style>
  <w:style w:type="character" w:customStyle="1" w:styleId="a8">
    <w:name w:val="引用 字符"/>
    <w:basedOn w:val="a0"/>
    <w:link w:val="a7"/>
    <w:uiPriority w:val="29"/>
    <w:rsid w:val="00447BBF"/>
    <w:rPr>
      <w:i/>
      <w:iCs/>
      <w:color w:val="404040" w:themeColor="text1" w:themeTint="BF"/>
    </w:rPr>
  </w:style>
  <w:style w:type="paragraph" w:styleId="a9">
    <w:name w:val="List Paragraph"/>
    <w:basedOn w:val="a"/>
    <w:uiPriority w:val="34"/>
    <w:qFormat/>
    <w:rsid w:val="00447BBF"/>
    <w:pPr>
      <w:ind w:left="720"/>
      <w:contextualSpacing/>
    </w:pPr>
  </w:style>
  <w:style w:type="character" w:styleId="aa">
    <w:name w:val="Intense Emphasis"/>
    <w:basedOn w:val="a0"/>
    <w:uiPriority w:val="21"/>
    <w:qFormat/>
    <w:rsid w:val="00447BBF"/>
    <w:rPr>
      <w:i/>
      <w:iCs/>
      <w:color w:val="2F5496" w:themeColor="accent1" w:themeShade="BF"/>
    </w:rPr>
  </w:style>
  <w:style w:type="paragraph" w:styleId="ab">
    <w:name w:val="Intense Quote"/>
    <w:basedOn w:val="a"/>
    <w:next w:val="a"/>
    <w:link w:val="ac"/>
    <w:uiPriority w:val="30"/>
    <w:qFormat/>
    <w:rsid w:val="00447B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47BBF"/>
    <w:rPr>
      <w:i/>
      <w:iCs/>
      <w:color w:val="2F5496" w:themeColor="accent1" w:themeShade="BF"/>
    </w:rPr>
  </w:style>
  <w:style w:type="character" w:styleId="ad">
    <w:name w:val="Intense Reference"/>
    <w:basedOn w:val="a0"/>
    <w:uiPriority w:val="32"/>
    <w:qFormat/>
    <w:rsid w:val="00447BBF"/>
    <w:rPr>
      <w:b/>
      <w:bCs/>
      <w:smallCaps/>
      <w:color w:val="2F5496" w:themeColor="accent1" w:themeShade="BF"/>
      <w:spacing w:val="5"/>
    </w:rPr>
  </w:style>
  <w:style w:type="paragraph" w:styleId="ae">
    <w:name w:val="Revision"/>
    <w:hidden/>
    <w:uiPriority w:val="99"/>
    <w:semiHidden/>
    <w:rsid w:val="00555076"/>
  </w:style>
  <w:style w:type="character" w:styleId="af">
    <w:name w:val="annotation reference"/>
    <w:basedOn w:val="a0"/>
    <w:uiPriority w:val="99"/>
    <w:semiHidden/>
    <w:unhideWhenUsed/>
    <w:rsid w:val="00C34939"/>
    <w:rPr>
      <w:sz w:val="21"/>
      <w:szCs w:val="21"/>
    </w:rPr>
  </w:style>
  <w:style w:type="paragraph" w:styleId="af0">
    <w:name w:val="annotation text"/>
    <w:basedOn w:val="a"/>
    <w:link w:val="af1"/>
    <w:uiPriority w:val="99"/>
    <w:unhideWhenUsed/>
    <w:rsid w:val="00C34939"/>
    <w:pPr>
      <w:jc w:val="left"/>
    </w:pPr>
  </w:style>
  <w:style w:type="character" w:customStyle="1" w:styleId="af1">
    <w:name w:val="批注文字 字符"/>
    <w:basedOn w:val="a0"/>
    <w:link w:val="af0"/>
    <w:uiPriority w:val="99"/>
    <w:rsid w:val="00C34939"/>
  </w:style>
  <w:style w:type="paragraph" w:styleId="af2">
    <w:name w:val="annotation subject"/>
    <w:basedOn w:val="af0"/>
    <w:next w:val="af0"/>
    <w:link w:val="af3"/>
    <w:uiPriority w:val="99"/>
    <w:semiHidden/>
    <w:unhideWhenUsed/>
    <w:rsid w:val="00C34939"/>
    <w:rPr>
      <w:b/>
      <w:bCs/>
    </w:rPr>
  </w:style>
  <w:style w:type="character" w:customStyle="1" w:styleId="af3">
    <w:name w:val="批注主题 字符"/>
    <w:basedOn w:val="af1"/>
    <w:link w:val="af2"/>
    <w:uiPriority w:val="99"/>
    <w:semiHidden/>
    <w:rsid w:val="00C349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969">
      <w:bodyDiv w:val="1"/>
      <w:marLeft w:val="0"/>
      <w:marRight w:val="0"/>
      <w:marTop w:val="0"/>
      <w:marBottom w:val="0"/>
      <w:divBdr>
        <w:top w:val="none" w:sz="0" w:space="0" w:color="auto"/>
        <w:left w:val="none" w:sz="0" w:space="0" w:color="auto"/>
        <w:bottom w:val="none" w:sz="0" w:space="0" w:color="auto"/>
        <w:right w:val="none" w:sz="0" w:space="0" w:color="auto"/>
      </w:divBdr>
    </w:div>
    <w:div w:id="243295909">
      <w:bodyDiv w:val="1"/>
      <w:marLeft w:val="0"/>
      <w:marRight w:val="0"/>
      <w:marTop w:val="0"/>
      <w:marBottom w:val="0"/>
      <w:divBdr>
        <w:top w:val="none" w:sz="0" w:space="0" w:color="auto"/>
        <w:left w:val="none" w:sz="0" w:space="0" w:color="auto"/>
        <w:bottom w:val="none" w:sz="0" w:space="0" w:color="auto"/>
        <w:right w:val="none" w:sz="0" w:space="0" w:color="auto"/>
      </w:divBdr>
    </w:div>
    <w:div w:id="453452984">
      <w:bodyDiv w:val="1"/>
      <w:marLeft w:val="0"/>
      <w:marRight w:val="0"/>
      <w:marTop w:val="0"/>
      <w:marBottom w:val="0"/>
      <w:divBdr>
        <w:top w:val="none" w:sz="0" w:space="0" w:color="auto"/>
        <w:left w:val="none" w:sz="0" w:space="0" w:color="auto"/>
        <w:bottom w:val="none" w:sz="0" w:space="0" w:color="auto"/>
        <w:right w:val="none" w:sz="0" w:space="0" w:color="auto"/>
      </w:divBdr>
    </w:div>
    <w:div w:id="454983547">
      <w:bodyDiv w:val="1"/>
      <w:marLeft w:val="0"/>
      <w:marRight w:val="0"/>
      <w:marTop w:val="0"/>
      <w:marBottom w:val="0"/>
      <w:divBdr>
        <w:top w:val="none" w:sz="0" w:space="0" w:color="auto"/>
        <w:left w:val="none" w:sz="0" w:space="0" w:color="auto"/>
        <w:bottom w:val="none" w:sz="0" w:space="0" w:color="auto"/>
        <w:right w:val="none" w:sz="0" w:space="0" w:color="auto"/>
      </w:divBdr>
    </w:div>
    <w:div w:id="550579270">
      <w:bodyDiv w:val="1"/>
      <w:marLeft w:val="0"/>
      <w:marRight w:val="0"/>
      <w:marTop w:val="0"/>
      <w:marBottom w:val="0"/>
      <w:divBdr>
        <w:top w:val="none" w:sz="0" w:space="0" w:color="auto"/>
        <w:left w:val="none" w:sz="0" w:space="0" w:color="auto"/>
        <w:bottom w:val="none" w:sz="0" w:space="0" w:color="auto"/>
        <w:right w:val="none" w:sz="0" w:space="0" w:color="auto"/>
      </w:divBdr>
    </w:div>
    <w:div w:id="801535035">
      <w:bodyDiv w:val="1"/>
      <w:marLeft w:val="0"/>
      <w:marRight w:val="0"/>
      <w:marTop w:val="0"/>
      <w:marBottom w:val="0"/>
      <w:divBdr>
        <w:top w:val="none" w:sz="0" w:space="0" w:color="auto"/>
        <w:left w:val="none" w:sz="0" w:space="0" w:color="auto"/>
        <w:bottom w:val="none" w:sz="0" w:space="0" w:color="auto"/>
        <w:right w:val="none" w:sz="0" w:space="0" w:color="auto"/>
      </w:divBdr>
    </w:div>
    <w:div w:id="923028368">
      <w:bodyDiv w:val="1"/>
      <w:marLeft w:val="0"/>
      <w:marRight w:val="0"/>
      <w:marTop w:val="0"/>
      <w:marBottom w:val="0"/>
      <w:divBdr>
        <w:top w:val="none" w:sz="0" w:space="0" w:color="auto"/>
        <w:left w:val="none" w:sz="0" w:space="0" w:color="auto"/>
        <w:bottom w:val="none" w:sz="0" w:space="0" w:color="auto"/>
        <w:right w:val="none" w:sz="0" w:space="0" w:color="auto"/>
      </w:divBdr>
    </w:div>
    <w:div w:id="940725660">
      <w:bodyDiv w:val="1"/>
      <w:marLeft w:val="0"/>
      <w:marRight w:val="0"/>
      <w:marTop w:val="0"/>
      <w:marBottom w:val="0"/>
      <w:divBdr>
        <w:top w:val="none" w:sz="0" w:space="0" w:color="auto"/>
        <w:left w:val="none" w:sz="0" w:space="0" w:color="auto"/>
        <w:bottom w:val="none" w:sz="0" w:space="0" w:color="auto"/>
        <w:right w:val="none" w:sz="0" w:space="0" w:color="auto"/>
      </w:divBdr>
    </w:div>
    <w:div w:id="1012025461">
      <w:bodyDiv w:val="1"/>
      <w:marLeft w:val="0"/>
      <w:marRight w:val="0"/>
      <w:marTop w:val="0"/>
      <w:marBottom w:val="0"/>
      <w:divBdr>
        <w:top w:val="none" w:sz="0" w:space="0" w:color="auto"/>
        <w:left w:val="none" w:sz="0" w:space="0" w:color="auto"/>
        <w:bottom w:val="none" w:sz="0" w:space="0" w:color="auto"/>
        <w:right w:val="none" w:sz="0" w:space="0" w:color="auto"/>
      </w:divBdr>
    </w:div>
    <w:div w:id="1114859672">
      <w:bodyDiv w:val="1"/>
      <w:marLeft w:val="0"/>
      <w:marRight w:val="0"/>
      <w:marTop w:val="0"/>
      <w:marBottom w:val="0"/>
      <w:divBdr>
        <w:top w:val="none" w:sz="0" w:space="0" w:color="auto"/>
        <w:left w:val="none" w:sz="0" w:space="0" w:color="auto"/>
        <w:bottom w:val="none" w:sz="0" w:space="0" w:color="auto"/>
        <w:right w:val="none" w:sz="0" w:space="0" w:color="auto"/>
      </w:divBdr>
    </w:div>
    <w:div w:id="1173373901">
      <w:bodyDiv w:val="1"/>
      <w:marLeft w:val="0"/>
      <w:marRight w:val="0"/>
      <w:marTop w:val="0"/>
      <w:marBottom w:val="0"/>
      <w:divBdr>
        <w:top w:val="none" w:sz="0" w:space="0" w:color="auto"/>
        <w:left w:val="none" w:sz="0" w:space="0" w:color="auto"/>
        <w:bottom w:val="none" w:sz="0" w:space="0" w:color="auto"/>
        <w:right w:val="none" w:sz="0" w:space="0" w:color="auto"/>
      </w:divBdr>
    </w:div>
    <w:div w:id="1174568045">
      <w:bodyDiv w:val="1"/>
      <w:marLeft w:val="0"/>
      <w:marRight w:val="0"/>
      <w:marTop w:val="0"/>
      <w:marBottom w:val="0"/>
      <w:divBdr>
        <w:top w:val="none" w:sz="0" w:space="0" w:color="auto"/>
        <w:left w:val="none" w:sz="0" w:space="0" w:color="auto"/>
        <w:bottom w:val="none" w:sz="0" w:space="0" w:color="auto"/>
        <w:right w:val="none" w:sz="0" w:space="0" w:color="auto"/>
      </w:divBdr>
    </w:div>
    <w:div w:id="1254827367">
      <w:bodyDiv w:val="1"/>
      <w:marLeft w:val="0"/>
      <w:marRight w:val="0"/>
      <w:marTop w:val="0"/>
      <w:marBottom w:val="0"/>
      <w:divBdr>
        <w:top w:val="none" w:sz="0" w:space="0" w:color="auto"/>
        <w:left w:val="none" w:sz="0" w:space="0" w:color="auto"/>
        <w:bottom w:val="none" w:sz="0" w:space="0" w:color="auto"/>
        <w:right w:val="none" w:sz="0" w:space="0" w:color="auto"/>
      </w:divBdr>
    </w:div>
    <w:div w:id="1692144039">
      <w:bodyDiv w:val="1"/>
      <w:marLeft w:val="0"/>
      <w:marRight w:val="0"/>
      <w:marTop w:val="0"/>
      <w:marBottom w:val="0"/>
      <w:divBdr>
        <w:top w:val="none" w:sz="0" w:space="0" w:color="auto"/>
        <w:left w:val="none" w:sz="0" w:space="0" w:color="auto"/>
        <w:bottom w:val="none" w:sz="0" w:space="0" w:color="auto"/>
        <w:right w:val="none" w:sz="0" w:space="0" w:color="auto"/>
      </w:divBdr>
    </w:div>
    <w:div w:id="1693647808">
      <w:bodyDiv w:val="1"/>
      <w:marLeft w:val="0"/>
      <w:marRight w:val="0"/>
      <w:marTop w:val="0"/>
      <w:marBottom w:val="0"/>
      <w:divBdr>
        <w:top w:val="none" w:sz="0" w:space="0" w:color="auto"/>
        <w:left w:val="none" w:sz="0" w:space="0" w:color="auto"/>
        <w:bottom w:val="none" w:sz="0" w:space="0" w:color="auto"/>
        <w:right w:val="none" w:sz="0" w:space="0" w:color="auto"/>
      </w:divBdr>
    </w:div>
    <w:div w:id="170625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1318</Words>
  <Characters>7519</Characters>
  <Application>Microsoft Office Word</Application>
  <DocSecurity>0</DocSecurity>
  <Lines>62</Lines>
  <Paragraphs>17</Paragraphs>
  <ScaleCrop>false</ScaleCrop>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Yen</dc:creator>
  <cp:keywords/>
  <dc:description/>
  <cp:lastModifiedBy>Dale Yen</cp:lastModifiedBy>
  <cp:revision>2</cp:revision>
  <dcterms:created xsi:type="dcterms:W3CDTF">2025-08-19T11:46:00Z</dcterms:created>
  <dcterms:modified xsi:type="dcterms:W3CDTF">2025-08-19T11:46:00Z</dcterms:modified>
</cp:coreProperties>
</file>