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232C8D" w14:textId="77777777" w:rsidR="00845C37" w:rsidRDefault="00845C37" w:rsidP="00845C37">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List of supplementary tables:</w:t>
      </w:r>
    </w:p>
    <w:p w14:paraId="3F7116AF" w14:textId="77777777" w:rsidR="00845C37" w:rsidRDefault="00845C37" w:rsidP="00845C37">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Supplementary t</w:t>
      </w:r>
      <w:r w:rsidRPr="00E804DF">
        <w:rPr>
          <w:rFonts w:ascii="Times New Roman" w:eastAsia="Times New Roman" w:hAnsi="Times New Roman" w:cs="Times New Roman"/>
          <w:b/>
          <w:sz w:val="24"/>
          <w:szCs w:val="24"/>
        </w:rPr>
        <w:t xml:space="preserve">able 1. </w:t>
      </w:r>
      <w:r>
        <w:rPr>
          <w:rFonts w:ascii="Times New Roman" w:eastAsia="Times New Roman" w:hAnsi="Times New Roman" w:cs="Times New Roman"/>
          <w:sz w:val="24"/>
          <w:szCs w:val="24"/>
        </w:rPr>
        <w:t xml:space="preserve">Summary table of </w:t>
      </w:r>
      <w:r w:rsidRPr="00551552">
        <w:rPr>
          <w:rFonts w:ascii="Times New Roman" w:eastAsia="Times New Roman" w:hAnsi="Times New Roman" w:cs="Times New Roman"/>
          <w:i/>
          <w:sz w:val="24"/>
          <w:szCs w:val="24"/>
        </w:rPr>
        <w:t>Aconitum</w:t>
      </w:r>
      <w:r>
        <w:rPr>
          <w:rFonts w:ascii="Times New Roman" w:eastAsia="Times New Roman" w:hAnsi="Times New Roman" w:cs="Times New Roman"/>
          <w:sz w:val="24"/>
          <w:szCs w:val="24"/>
        </w:rPr>
        <w:t xml:space="preserve"> depicting their accession, genome size, GC%, protein, rRNA, tRNA, gene, and pseudogene counts </w:t>
      </w:r>
    </w:p>
    <w:p w14:paraId="707FFBFB" w14:textId="77777777" w:rsidR="00845C37" w:rsidRDefault="00845C37" w:rsidP="00845C37">
      <w:pPr>
        <w:jc w:val="both"/>
        <w:rPr>
          <w:rFonts w:ascii="Times New Roman" w:eastAsia="Times New Roman" w:hAnsi="Times New Roman" w:cs="Times New Roman"/>
          <w:sz w:val="24"/>
          <w:szCs w:val="24"/>
        </w:rPr>
      </w:pPr>
      <w:r w:rsidRPr="000A557C">
        <w:rPr>
          <w:rFonts w:ascii="Times New Roman" w:eastAsia="Times New Roman" w:hAnsi="Times New Roman" w:cs="Times New Roman"/>
          <w:b/>
          <w:bCs/>
          <w:sz w:val="24"/>
          <w:szCs w:val="24"/>
        </w:rPr>
        <w:t>Supplementary table 2</w:t>
      </w:r>
      <w:r w:rsidRPr="00E804DF">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GC percentage of LSC, SSC and IR regions of all 73 </w:t>
      </w:r>
      <w:r w:rsidRPr="00551552">
        <w:rPr>
          <w:rFonts w:ascii="Times New Roman" w:eastAsia="Times New Roman" w:hAnsi="Times New Roman" w:cs="Times New Roman"/>
          <w:i/>
          <w:sz w:val="24"/>
          <w:szCs w:val="24"/>
        </w:rPr>
        <w:t>Aconitum</w:t>
      </w:r>
      <w:r>
        <w:rPr>
          <w:rFonts w:ascii="Times New Roman" w:eastAsia="Times New Roman" w:hAnsi="Times New Roman" w:cs="Times New Roman"/>
          <w:sz w:val="24"/>
          <w:szCs w:val="24"/>
        </w:rPr>
        <w:t xml:space="preserve"> and outgroup </w:t>
      </w:r>
      <w:r w:rsidRPr="00DC5F09">
        <w:rPr>
          <w:rFonts w:ascii="Times New Roman" w:hAnsi="Times New Roman" w:cs="Times New Roman"/>
          <w:i/>
          <w:iCs/>
          <w:sz w:val="24"/>
          <w:szCs w:val="24"/>
          <w:lang w:val="en-US"/>
        </w:rPr>
        <w:t>G. gymnandrum</w:t>
      </w:r>
      <w:r>
        <w:rPr>
          <w:rFonts w:ascii="Times New Roman" w:hAnsi="Times New Roman" w:cs="Times New Roman"/>
          <w:i/>
          <w:iCs/>
          <w:sz w:val="24"/>
          <w:szCs w:val="24"/>
          <w:lang w:val="en-US"/>
        </w:rPr>
        <w:t xml:space="preserve">. </w:t>
      </w:r>
    </w:p>
    <w:p w14:paraId="78F2C62A" w14:textId="77777777" w:rsidR="00845C37" w:rsidRDefault="00845C37" w:rsidP="00845C37">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Supplementary table 3.</w:t>
      </w:r>
      <w:r w:rsidRPr="00E804DF">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Protein orthology analysis modified file, showing total core and accessory genes for every genome</w:t>
      </w:r>
    </w:p>
    <w:p w14:paraId="14A92E60" w14:textId="77777777" w:rsidR="00845C37" w:rsidRDefault="00845C37" w:rsidP="00845C37">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table 4. </w:t>
      </w:r>
      <w:r w:rsidRPr="00890AC0">
        <w:rPr>
          <w:rFonts w:ascii="Times New Roman" w:eastAsia="Times New Roman" w:hAnsi="Times New Roman" w:cs="Times New Roman"/>
          <w:bCs/>
          <w:sz w:val="24"/>
          <w:szCs w:val="24"/>
        </w:rPr>
        <w:t xml:space="preserve">(a) </w:t>
      </w:r>
      <w:r>
        <w:rPr>
          <w:rFonts w:ascii="Times New Roman" w:eastAsia="Times New Roman" w:hAnsi="Times New Roman" w:cs="Times New Roman"/>
          <w:sz w:val="24"/>
          <w:szCs w:val="24"/>
        </w:rPr>
        <w:t>Frequency table of SSRs for 74 genomes (b) Frequency table of SSRs repeat wise and region wise (c) Combined table of different repeat types of region-wise</w:t>
      </w:r>
    </w:p>
    <w:p w14:paraId="3964C8C1" w14:textId="77777777" w:rsidR="00845C37" w:rsidRDefault="00845C37" w:rsidP="00845C37">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Supplementary table 5. (</w:t>
      </w:r>
      <w:r>
        <w:rPr>
          <w:rFonts w:ascii="Times New Roman" w:eastAsia="Times New Roman" w:hAnsi="Times New Roman" w:cs="Times New Roman"/>
          <w:sz w:val="24"/>
          <w:szCs w:val="24"/>
        </w:rPr>
        <w:t>a) Base composition for 1st, 2nd and 3rd position of codon (b) Nc values data, (c) RSCU values data</w:t>
      </w:r>
    </w:p>
    <w:p w14:paraId="6A767093" w14:textId="77777777" w:rsidR="00845C37" w:rsidRDefault="00845C37" w:rsidP="00845C37">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Supplementary table 6</w:t>
      </w:r>
      <w:r w:rsidRPr="00E804DF">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Statistics of A-, C-, G- and T- terminal codon usage based on RSCU values</w:t>
      </w:r>
    </w:p>
    <w:p w14:paraId="5CC996C9" w14:textId="77777777" w:rsidR="00845C37" w:rsidRDefault="00845C37" w:rsidP="00845C37">
      <w:pPr>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Supplementary table 7</w:t>
      </w:r>
      <w:r w:rsidRPr="00E804DF">
        <w:rPr>
          <w:rFonts w:ascii="Times New Roman" w:eastAsia="Times New Roman" w:hAnsi="Times New Roman" w:cs="Times New Roman"/>
          <w:b/>
          <w:bCs/>
          <w:sz w:val="24"/>
          <w:szCs w:val="24"/>
        </w:rPr>
        <w:t>.</w:t>
      </w:r>
      <w:r>
        <w:rPr>
          <w:rFonts w:ascii="Times New Roman" w:eastAsia="Times New Roman" w:hAnsi="Times New Roman" w:cs="Times New Roman"/>
          <w:sz w:val="24"/>
          <w:szCs w:val="24"/>
        </w:rPr>
        <w:t xml:space="preserve"> Context dependent mutation analysis result</w:t>
      </w:r>
    </w:p>
    <w:p w14:paraId="3CAA7FA0" w14:textId="77777777" w:rsidR="00845C37" w:rsidRDefault="00845C37" w:rsidP="00845C37">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table 8. </w:t>
      </w:r>
      <w:r>
        <w:rPr>
          <w:rFonts w:ascii="Times New Roman" w:eastAsia="Times New Roman" w:hAnsi="Times New Roman" w:cs="Times New Roman"/>
          <w:sz w:val="24"/>
          <w:szCs w:val="24"/>
        </w:rPr>
        <w:t>Ka/Ks values</w:t>
      </w:r>
    </w:p>
    <w:p w14:paraId="73EEF876" w14:textId="77777777" w:rsidR="00845C37" w:rsidRDefault="00845C37" w:rsidP="00845C37">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table 9. </w:t>
      </w:r>
      <w:r>
        <w:rPr>
          <w:rFonts w:ascii="Times New Roman" w:eastAsia="Times New Roman" w:hAnsi="Times New Roman" w:cs="Times New Roman"/>
          <w:sz w:val="24"/>
          <w:szCs w:val="24"/>
        </w:rPr>
        <w:t>Blast output of accessory genes</w:t>
      </w:r>
    </w:p>
    <w:p w14:paraId="31BEB0D1" w14:textId="77777777" w:rsidR="00845C37" w:rsidRDefault="00845C37" w:rsidP="00845C37">
      <w:pPr>
        <w:jc w:val="both"/>
        <w:rPr>
          <w:rFonts w:ascii="Times New Roman" w:eastAsia="Times New Roman" w:hAnsi="Times New Roman" w:cs="Times New Roman"/>
          <w:sz w:val="24"/>
          <w:szCs w:val="24"/>
        </w:rPr>
      </w:pPr>
      <w:r w:rsidRPr="00291E6F">
        <w:rPr>
          <w:rFonts w:ascii="Times New Roman" w:eastAsia="Times New Roman" w:hAnsi="Times New Roman" w:cs="Times New Roman"/>
          <w:b/>
          <w:bCs/>
          <w:sz w:val="24"/>
          <w:szCs w:val="24"/>
        </w:rPr>
        <w:t>Supplementary table 10.</w:t>
      </w:r>
      <w:r>
        <w:rPr>
          <w:rFonts w:ascii="Times New Roman" w:eastAsia="Times New Roman" w:hAnsi="Times New Roman" w:cs="Times New Roman"/>
          <w:sz w:val="24"/>
          <w:szCs w:val="24"/>
        </w:rPr>
        <w:t xml:space="preserve"> Table representing intra-specific K2P distances.</w:t>
      </w:r>
    </w:p>
    <w:p w14:paraId="7B9215C4" w14:textId="77777777" w:rsidR="00845C37" w:rsidRDefault="00845C37" w:rsidP="00845C37">
      <w:pPr>
        <w:jc w:val="both"/>
        <w:rPr>
          <w:rFonts w:ascii="Times New Roman" w:eastAsia="Times New Roman" w:hAnsi="Times New Roman" w:cs="Times New Roman"/>
          <w:sz w:val="24"/>
          <w:szCs w:val="24"/>
        </w:rPr>
      </w:pPr>
      <w:r w:rsidRPr="00291E6F">
        <w:rPr>
          <w:rFonts w:ascii="Times New Roman" w:eastAsia="Times New Roman" w:hAnsi="Times New Roman" w:cs="Times New Roman"/>
          <w:b/>
          <w:bCs/>
          <w:sz w:val="24"/>
          <w:szCs w:val="24"/>
        </w:rPr>
        <w:t>Supplementary table 11.</w:t>
      </w:r>
      <w:r>
        <w:rPr>
          <w:rFonts w:ascii="Times New Roman" w:eastAsia="Times New Roman" w:hAnsi="Times New Roman" w:cs="Times New Roman"/>
          <w:sz w:val="24"/>
          <w:szCs w:val="24"/>
        </w:rPr>
        <w:t xml:space="preserve"> Accession details of the 74 genomes considered in this study, including specimen voucher, publication details, authors and submission details such as date of submission and affiliated institution of the authors. The accessions lacking both publication and voucher specimen are highlighted in orange.</w:t>
      </w:r>
    </w:p>
    <w:p w14:paraId="2E5A0A39" w14:textId="77777777" w:rsidR="00845C37" w:rsidRDefault="00845C37" w:rsidP="00845C37">
      <w:pPr>
        <w:jc w:val="both"/>
        <w:rPr>
          <w:rFonts w:ascii="Times New Roman" w:eastAsia="Times New Roman" w:hAnsi="Times New Roman" w:cs="Times New Roman"/>
          <w:sz w:val="24"/>
          <w:szCs w:val="24"/>
        </w:rPr>
      </w:pPr>
    </w:p>
    <w:p w14:paraId="4F46F6A9" w14:textId="77777777" w:rsidR="00845C37" w:rsidRPr="000A557C" w:rsidRDefault="00845C37" w:rsidP="00845C37">
      <w:pPr>
        <w:jc w:val="both"/>
        <w:rPr>
          <w:rFonts w:ascii="Times New Roman" w:eastAsia="Times New Roman" w:hAnsi="Times New Roman" w:cs="Times New Roman"/>
          <w:b/>
          <w:sz w:val="24"/>
          <w:szCs w:val="24"/>
        </w:rPr>
      </w:pPr>
      <w:r w:rsidRPr="000A557C">
        <w:rPr>
          <w:rFonts w:ascii="Times New Roman" w:eastAsia="Times New Roman" w:hAnsi="Times New Roman" w:cs="Times New Roman"/>
          <w:b/>
          <w:sz w:val="24"/>
          <w:szCs w:val="24"/>
        </w:rPr>
        <w:t>List of supplementary figures:</w:t>
      </w:r>
    </w:p>
    <w:p w14:paraId="707195F2" w14:textId="77777777" w:rsidR="00845C37" w:rsidRPr="000A557C" w:rsidRDefault="00845C37" w:rsidP="00845C37">
      <w:pPr>
        <w:jc w:val="both"/>
        <w:rPr>
          <w:rFonts w:ascii="Times New Roman" w:eastAsia="Times New Roman" w:hAnsi="Times New Roman" w:cs="Times New Roman"/>
          <w:sz w:val="24"/>
          <w:szCs w:val="24"/>
        </w:rPr>
      </w:pPr>
      <w:r w:rsidRPr="000A557C">
        <w:rPr>
          <w:rFonts w:ascii="Times New Roman" w:eastAsia="Times New Roman" w:hAnsi="Times New Roman" w:cs="Times New Roman"/>
          <w:b/>
          <w:sz w:val="24"/>
          <w:szCs w:val="24"/>
        </w:rPr>
        <w:t xml:space="preserve">Supplementary Figure 1. </w:t>
      </w:r>
      <w:r w:rsidRPr="000A557C">
        <w:rPr>
          <w:rFonts w:ascii="Times New Roman" w:eastAsia="Times New Roman" w:hAnsi="Times New Roman" w:cs="Times New Roman"/>
          <w:sz w:val="24"/>
          <w:szCs w:val="24"/>
        </w:rPr>
        <w:t xml:space="preserve">OG draw gene map representing the conserved architecture of the genes between the 74 species of </w:t>
      </w:r>
      <w:r w:rsidRPr="00551552">
        <w:rPr>
          <w:rFonts w:ascii="Times New Roman" w:eastAsia="Times New Roman" w:hAnsi="Times New Roman" w:cs="Times New Roman"/>
          <w:i/>
          <w:iCs/>
          <w:sz w:val="24"/>
          <w:szCs w:val="24"/>
        </w:rPr>
        <w:t>Aconitum</w:t>
      </w:r>
      <w:r w:rsidRPr="000A557C">
        <w:rPr>
          <w:rFonts w:ascii="Times New Roman" w:eastAsia="Times New Roman" w:hAnsi="Times New Roman" w:cs="Times New Roman"/>
          <w:i/>
          <w:iCs/>
          <w:sz w:val="24"/>
          <w:szCs w:val="24"/>
        </w:rPr>
        <w:t xml:space="preserve"> </w:t>
      </w:r>
      <w:r w:rsidRPr="000A557C">
        <w:rPr>
          <w:rFonts w:ascii="Times New Roman" w:eastAsia="Times New Roman" w:hAnsi="Times New Roman" w:cs="Times New Roman"/>
          <w:sz w:val="24"/>
          <w:szCs w:val="24"/>
        </w:rPr>
        <w:t>considered in this study.</w:t>
      </w:r>
    </w:p>
    <w:p w14:paraId="50925BF9" w14:textId="77777777" w:rsidR="00845C37" w:rsidRPr="000A557C" w:rsidRDefault="00845C37" w:rsidP="00845C37">
      <w:pPr>
        <w:jc w:val="both"/>
        <w:rPr>
          <w:rFonts w:ascii="Times New Roman" w:eastAsia="Times New Roman" w:hAnsi="Times New Roman" w:cs="Times New Roman"/>
          <w:sz w:val="24"/>
          <w:szCs w:val="24"/>
        </w:rPr>
      </w:pPr>
      <w:r w:rsidRPr="000A557C">
        <w:rPr>
          <w:rFonts w:ascii="Times New Roman" w:eastAsia="Times New Roman" w:hAnsi="Times New Roman" w:cs="Times New Roman"/>
          <w:b/>
          <w:sz w:val="24"/>
          <w:szCs w:val="24"/>
        </w:rPr>
        <w:t xml:space="preserve">Supplementary Figure 2. </w:t>
      </w:r>
      <w:r w:rsidRPr="000A557C">
        <w:rPr>
          <w:rFonts w:ascii="Times New Roman" w:eastAsia="Times New Roman" w:hAnsi="Times New Roman" w:cs="Times New Roman"/>
          <w:sz w:val="24"/>
          <w:szCs w:val="24"/>
        </w:rPr>
        <w:t xml:space="preserve">Phylogenetic tree of whole genome sequences of species with multiple chloroplast sequence entries as superbarcode for species-level identification. </w:t>
      </w:r>
      <w:r>
        <w:rPr>
          <w:rFonts w:ascii="Times New Roman" w:eastAsia="Times New Roman" w:hAnsi="Times New Roman" w:cs="Times New Roman"/>
          <w:sz w:val="24"/>
          <w:szCs w:val="24"/>
        </w:rPr>
        <w:t>Labels of s</w:t>
      </w:r>
      <w:r w:rsidRPr="000A557C">
        <w:rPr>
          <w:rFonts w:ascii="Times New Roman" w:eastAsia="Times New Roman" w:hAnsi="Times New Roman" w:cs="Times New Roman"/>
          <w:sz w:val="24"/>
          <w:szCs w:val="24"/>
        </w:rPr>
        <w:t xml:space="preserve">pecies that are clustering together are colour coded as </w:t>
      </w:r>
      <w:r>
        <w:rPr>
          <w:rFonts w:ascii="Times New Roman" w:eastAsia="Times New Roman" w:hAnsi="Times New Roman" w:cs="Times New Roman"/>
          <w:sz w:val="24"/>
          <w:szCs w:val="24"/>
        </w:rPr>
        <w:t>black</w:t>
      </w:r>
      <w:r w:rsidRPr="000A557C">
        <w:rPr>
          <w:rFonts w:ascii="Times New Roman" w:eastAsia="Times New Roman" w:hAnsi="Times New Roman" w:cs="Times New Roman"/>
          <w:sz w:val="24"/>
          <w:szCs w:val="24"/>
        </w:rPr>
        <w:t xml:space="preserve"> and those that are not clustering together are</w:t>
      </w:r>
      <w:r>
        <w:rPr>
          <w:rFonts w:ascii="Times New Roman" w:eastAsia="Times New Roman" w:hAnsi="Times New Roman" w:cs="Times New Roman"/>
          <w:sz w:val="24"/>
          <w:szCs w:val="24"/>
        </w:rPr>
        <w:t xml:space="preserve"> each</w:t>
      </w:r>
      <w:r w:rsidRPr="000A557C">
        <w:rPr>
          <w:rFonts w:ascii="Times New Roman" w:eastAsia="Times New Roman" w:hAnsi="Times New Roman" w:cs="Times New Roman"/>
          <w:sz w:val="24"/>
          <w:szCs w:val="24"/>
        </w:rPr>
        <w:t xml:space="preserve"> colour coded </w:t>
      </w:r>
      <w:r>
        <w:rPr>
          <w:rFonts w:ascii="Times New Roman" w:eastAsia="Times New Roman" w:hAnsi="Times New Roman" w:cs="Times New Roman"/>
          <w:sz w:val="24"/>
          <w:szCs w:val="24"/>
        </w:rPr>
        <w:t>for their own species</w:t>
      </w:r>
      <w:r w:rsidRPr="000A557C">
        <w:rPr>
          <w:rFonts w:ascii="Times New Roman" w:eastAsia="Times New Roman" w:hAnsi="Times New Roman" w:cs="Times New Roman"/>
          <w:sz w:val="24"/>
          <w:szCs w:val="24"/>
        </w:rPr>
        <w:t>.</w:t>
      </w:r>
    </w:p>
    <w:p w14:paraId="19DF516D" w14:textId="77777777" w:rsidR="00845C37" w:rsidRPr="000A557C" w:rsidRDefault="00845C37" w:rsidP="00845C37">
      <w:pPr>
        <w:jc w:val="both"/>
        <w:rPr>
          <w:rFonts w:ascii="Times New Roman" w:eastAsia="Times New Roman" w:hAnsi="Times New Roman" w:cs="Times New Roman"/>
          <w:sz w:val="24"/>
          <w:szCs w:val="24"/>
        </w:rPr>
      </w:pPr>
      <w:r w:rsidRPr="000A557C">
        <w:rPr>
          <w:rFonts w:ascii="Times New Roman" w:eastAsia="Times New Roman" w:hAnsi="Times New Roman" w:cs="Times New Roman"/>
          <w:b/>
          <w:bCs/>
          <w:sz w:val="24"/>
          <w:szCs w:val="24"/>
        </w:rPr>
        <w:t>Supplementary Figure 3.</w:t>
      </w:r>
      <w:r w:rsidRPr="000A557C">
        <w:rPr>
          <w:rFonts w:ascii="Times New Roman" w:eastAsia="Times New Roman" w:hAnsi="Times New Roman" w:cs="Times New Roman"/>
          <w:sz w:val="24"/>
          <w:szCs w:val="24"/>
        </w:rPr>
        <w:t xml:space="preserve"> </w:t>
      </w:r>
      <w:r w:rsidRPr="000A557C">
        <w:rPr>
          <w:rFonts w:ascii="Times New Roman" w:hAnsi="Times New Roman" w:cs="Times New Roman"/>
          <w:sz w:val="24"/>
          <w:szCs w:val="24"/>
          <w:lang w:val="en-US"/>
        </w:rPr>
        <w:t>Gene-wise</w:t>
      </w:r>
      <w:r w:rsidRPr="000A557C">
        <w:rPr>
          <w:rFonts w:ascii="Times New Roman" w:hAnsi="Times New Roman" w:cs="Times New Roman"/>
          <w:sz w:val="24"/>
          <w:szCs w:val="24"/>
        </w:rPr>
        <w:t xml:space="preserve"> </w:t>
      </w:r>
      <w:r w:rsidRPr="000A557C">
        <w:rPr>
          <w:rFonts w:ascii="Times New Roman" w:hAnsi="Times New Roman" w:cs="Times New Roman"/>
          <w:sz w:val="24"/>
          <w:szCs w:val="24"/>
          <w:lang w:val="en-US"/>
        </w:rPr>
        <w:t>heatmap of GC content of first, second and third position of codons depicting the preference of A/T ending codons over G/C ending codons across the 74 species and 40 genes</w:t>
      </w:r>
    </w:p>
    <w:p w14:paraId="274380A4" w14:textId="77777777" w:rsidR="00845C37" w:rsidRPr="000A557C" w:rsidRDefault="00845C37" w:rsidP="00845C37">
      <w:pPr>
        <w:jc w:val="both"/>
        <w:rPr>
          <w:rFonts w:ascii="Times New Roman" w:eastAsia="Times New Roman" w:hAnsi="Times New Roman" w:cs="Times New Roman"/>
          <w:sz w:val="24"/>
          <w:szCs w:val="24"/>
        </w:rPr>
      </w:pPr>
      <w:r w:rsidRPr="000A557C">
        <w:rPr>
          <w:rFonts w:ascii="Times New Roman" w:eastAsia="Times New Roman" w:hAnsi="Times New Roman" w:cs="Times New Roman"/>
          <w:b/>
          <w:sz w:val="24"/>
          <w:szCs w:val="24"/>
        </w:rPr>
        <w:t xml:space="preserve">Supplementary Figure 4. </w:t>
      </w:r>
      <w:r w:rsidRPr="000A557C">
        <w:rPr>
          <w:rFonts w:ascii="Times New Roman" w:eastAsia="Times New Roman" w:hAnsi="Times New Roman" w:cs="Times New Roman"/>
          <w:sz w:val="24"/>
          <w:szCs w:val="24"/>
        </w:rPr>
        <w:t>Graph representing Ka, Ks and Ka/Ks values depicting pattern of purifying selection among the 40 genes.</w:t>
      </w:r>
    </w:p>
    <w:p w14:paraId="63AAD656" w14:textId="77777777" w:rsidR="00845C37" w:rsidRDefault="00845C37" w:rsidP="00845C37">
      <w:pPr>
        <w:jc w:val="both"/>
        <w:rPr>
          <w:rFonts w:ascii="Times New Roman" w:eastAsia="Times New Roman" w:hAnsi="Times New Roman" w:cs="Times New Roman"/>
          <w:sz w:val="24"/>
          <w:szCs w:val="24"/>
        </w:rPr>
      </w:pPr>
      <w:r w:rsidRPr="000A557C">
        <w:rPr>
          <w:rFonts w:ascii="Times New Roman" w:eastAsia="Times New Roman" w:hAnsi="Times New Roman" w:cs="Times New Roman"/>
          <w:b/>
          <w:sz w:val="24"/>
          <w:szCs w:val="24"/>
        </w:rPr>
        <w:lastRenderedPageBreak/>
        <w:t xml:space="preserve">Supplementary Figure 5. </w:t>
      </w:r>
      <w:r w:rsidRPr="000A557C">
        <w:rPr>
          <w:rFonts w:ascii="Times New Roman" w:eastAsia="Times New Roman" w:hAnsi="Times New Roman" w:cs="Times New Roman"/>
          <w:sz w:val="24"/>
          <w:szCs w:val="24"/>
        </w:rPr>
        <w:t xml:space="preserve">Phylogenetic tree with SSR data depicting lack of conservation of type of SSRs in </w:t>
      </w:r>
      <w:r w:rsidRPr="00551552">
        <w:rPr>
          <w:rFonts w:ascii="Times New Roman" w:eastAsia="Times New Roman" w:hAnsi="Times New Roman" w:cs="Times New Roman"/>
          <w:i/>
          <w:iCs/>
          <w:sz w:val="24"/>
          <w:szCs w:val="24"/>
        </w:rPr>
        <w:t>Aconitum</w:t>
      </w:r>
      <w:r w:rsidRPr="000A557C">
        <w:rPr>
          <w:rFonts w:ascii="Times New Roman" w:eastAsia="Times New Roman" w:hAnsi="Times New Roman" w:cs="Times New Roman"/>
          <w:sz w:val="24"/>
          <w:szCs w:val="24"/>
        </w:rPr>
        <w:t xml:space="preserve"> spp.</w:t>
      </w:r>
    </w:p>
    <w:p w14:paraId="19D01C96" w14:textId="2BED9B60" w:rsidR="00865217" w:rsidRDefault="00845C37" w:rsidP="00845C37">
      <w:r w:rsidRPr="007B7788">
        <w:rPr>
          <w:rFonts w:ascii="Times New Roman" w:eastAsia="Times New Roman" w:hAnsi="Times New Roman" w:cs="Times New Roman"/>
          <w:b/>
          <w:bCs/>
          <w:sz w:val="24"/>
          <w:szCs w:val="24"/>
        </w:rPr>
        <w:t>Supplementary Figure 6.</w:t>
      </w:r>
      <w:r>
        <w:rPr>
          <w:rFonts w:ascii="Times New Roman" w:eastAsia="Times New Roman" w:hAnsi="Times New Roman" w:cs="Times New Roman"/>
          <w:sz w:val="24"/>
          <w:szCs w:val="24"/>
        </w:rPr>
        <w:t xml:space="preserve"> Core-genes phylogenetic tree with representation of country of origin using the country’s respective flags (China and South Korea), highlighting anomalous clade formation from accessions belonging to Korea.</w:t>
      </w:r>
    </w:p>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C37"/>
    <w:rsid w:val="002E281E"/>
    <w:rsid w:val="003201BB"/>
    <w:rsid w:val="00845C37"/>
    <w:rsid w:val="00865217"/>
    <w:rsid w:val="00F10B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D3CF1"/>
  <w15:chartTrackingRefBased/>
  <w15:docId w15:val="{2878E0AB-21AC-48F1-8192-A43D3FFC6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5C37"/>
    <w:pPr>
      <w:spacing w:line="259" w:lineRule="auto"/>
    </w:pPr>
    <w:rPr>
      <w:rFonts w:ascii="Calibri" w:eastAsia="Calibri" w:hAnsi="Calibri" w:cs="Calibri"/>
      <w:kern w:val="0"/>
      <w:sz w:val="22"/>
      <w:szCs w:val="22"/>
      <w:lang w:val="en-IN" w:eastAsia="en-IN" w:bidi="hi-IN"/>
      <w14:ligatures w14:val="none"/>
    </w:rPr>
  </w:style>
  <w:style w:type="paragraph" w:styleId="Heading1">
    <w:name w:val="heading 1"/>
    <w:basedOn w:val="Normal"/>
    <w:next w:val="Normal"/>
    <w:link w:val="Heading1Char"/>
    <w:uiPriority w:val="9"/>
    <w:qFormat/>
    <w:rsid w:val="00845C3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bidi="ar-SA"/>
      <w14:ligatures w14:val="standardContextual"/>
    </w:rPr>
  </w:style>
  <w:style w:type="paragraph" w:styleId="Heading2">
    <w:name w:val="heading 2"/>
    <w:basedOn w:val="Normal"/>
    <w:next w:val="Normal"/>
    <w:link w:val="Heading2Char"/>
    <w:uiPriority w:val="9"/>
    <w:semiHidden/>
    <w:unhideWhenUsed/>
    <w:qFormat/>
    <w:rsid w:val="00845C3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bidi="ar-SA"/>
      <w14:ligatures w14:val="standardContextual"/>
    </w:rPr>
  </w:style>
  <w:style w:type="paragraph" w:styleId="Heading3">
    <w:name w:val="heading 3"/>
    <w:basedOn w:val="Normal"/>
    <w:next w:val="Normal"/>
    <w:link w:val="Heading3Char"/>
    <w:uiPriority w:val="9"/>
    <w:semiHidden/>
    <w:unhideWhenUsed/>
    <w:qFormat/>
    <w:rsid w:val="00845C3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bidi="ar-SA"/>
      <w14:ligatures w14:val="standardContextual"/>
    </w:rPr>
  </w:style>
  <w:style w:type="paragraph" w:styleId="Heading4">
    <w:name w:val="heading 4"/>
    <w:basedOn w:val="Normal"/>
    <w:next w:val="Normal"/>
    <w:link w:val="Heading4Char"/>
    <w:uiPriority w:val="9"/>
    <w:semiHidden/>
    <w:unhideWhenUsed/>
    <w:qFormat/>
    <w:rsid w:val="00845C37"/>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bidi="ar-SA"/>
      <w14:ligatures w14:val="standardContextual"/>
    </w:rPr>
  </w:style>
  <w:style w:type="paragraph" w:styleId="Heading5">
    <w:name w:val="heading 5"/>
    <w:basedOn w:val="Normal"/>
    <w:next w:val="Normal"/>
    <w:link w:val="Heading5Char"/>
    <w:uiPriority w:val="9"/>
    <w:semiHidden/>
    <w:unhideWhenUsed/>
    <w:qFormat/>
    <w:rsid w:val="00845C3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bidi="ar-SA"/>
      <w14:ligatures w14:val="standardContextual"/>
    </w:rPr>
  </w:style>
  <w:style w:type="paragraph" w:styleId="Heading6">
    <w:name w:val="heading 6"/>
    <w:basedOn w:val="Normal"/>
    <w:next w:val="Normal"/>
    <w:link w:val="Heading6Char"/>
    <w:uiPriority w:val="9"/>
    <w:semiHidden/>
    <w:unhideWhenUsed/>
    <w:qFormat/>
    <w:rsid w:val="00845C37"/>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US" w:eastAsia="en-US" w:bidi="ar-SA"/>
      <w14:ligatures w14:val="standardContextual"/>
    </w:rPr>
  </w:style>
  <w:style w:type="paragraph" w:styleId="Heading7">
    <w:name w:val="heading 7"/>
    <w:basedOn w:val="Normal"/>
    <w:next w:val="Normal"/>
    <w:link w:val="Heading7Char"/>
    <w:uiPriority w:val="9"/>
    <w:semiHidden/>
    <w:unhideWhenUsed/>
    <w:qFormat/>
    <w:rsid w:val="00845C37"/>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US" w:eastAsia="en-US" w:bidi="ar-SA"/>
      <w14:ligatures w14:val="standardContextual"/>
    </w:rPr>
  </w:style>
  <w:style w:type="paragraph" w:styleId="Heading8">
    <w:name w:val="heading 8"/>
    <w:basedOn w:val="Normal"/>
    <w:next w:val="Normal"/>
    <w:link w:val="Heading8Char"/>
    <w:uiPriority w:val="9"/>
    <w:semiHidden/>
    <w:unhideWhenUsed/>
    <w:qFormat/>
    <w:rsid w:val="00845C37"/>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US" w:eastAsia="en-US" w:bidi="ar-SA"/>
      <w14:ligatures w14:val="standardContextual"/>
    </w:rPr>
  </w:style>
  <w:style w:type="paragraph" w:styleId="Heading9">
    <w:name w:val="heading 9"/>
    <w:basedOn w:val="Normal"/>
    <w:next w:val="Normal"/>
    <w:link w:val="Heading9Char"/>
    <w:uiPriority w:val="9"/>
    <w:semiHidden/>
    <w:unhideWhenUsed/>
    <w:qFormat/>
    <w:rsid w:val="00845C37"/>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US" w:eastAsia="en-US"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5C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45C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45C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5C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5C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5C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5C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5C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5C37"/>
    <w:rPr>
      <w:rFonts w:eastAsiaTheme="majorEastAsia" w:cstheme="majorBidi"/>
      <w:color w:val="272727" w:themeColor="text1" w:themeTint="D8"/>
    </w:rPr>
  </w:style>
  <w:style w:type="paragraph" w:styleId="Title">
    <w:name w:val="Title"/>
    <w:basedOn w:val="Normal"/>
    <w:next w:val="Normal"/>
    <w:link w:val="TitleChar"/>
    <w:uiPriority w:val="10"/>
    <w:qFormat/>
    <w:rsid w:val="00845C37"/>
    <w:pPr>
      <w:spacing w:after="80" w:line="240" w:lineRule="auto"/>
      <w:contextualSpacing/>
    </w:pPr>
    <w:rPr>
      <w:rFonts w:asciiTheme="majorHAnsi" w:eastAsiaTheme="majorEastAsia" w:hAnsiTheme="majorHAnsi" w:cstheme="majorBidi"/>
      <w:spacing w:val="-10"/>
      <w:kern w:val="28"/>
      <w:sz w:val="56"/>
      <w:szCs w:val="56"/>
      <w:lang w:val="en-US" w:eastAsia="en-US" w:bidi="ar-SA"/>
      <w14:ligatures w14:val="standardContextual"/>
    </w:rPr>
  </w:style>
  <w:style w:type="character" w:customStyle="1" w:styleId="TitleChar">
    <w:name w:val="Title Char"/>
    <w:basedOn w:val="DefaultParagraphFont"/>
    <w:link w:val="Title"/>
    <w:uiPriority w:val="10"/>
    <w:rsid w:val="00845C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5C37"/>
    <w:pPr>
      <w:numPr>
        <w:ilvl w:val="1"/>
      </w:numPr>
      <w:spacing w:line="278" w:lineRule="auto"/>
    </w:pPr>
    <w:rPr>
      <w:rFonts w:asciiTheme="minorHAnsi" w:eastAsiaTheme="majorEastAsia" w:hAnsiTheme="minorHAnsi" w:cstheme="majorBidi"/>
      <w:color w:val="595959" w:themeColor="text1" w:themeTint="A6"/>
      <w:spacing w:val="15"/>
      <w:kern w:val="2"/>
      <w:sz w:val="28"/>
      <w:szCs w:val="28"/>
      <w:lang w:val="en-US" w:eastAsia="en-US" w:bidi="ar-SA"/>
      <w14:ligatures w14:val="standardContextual"/>
    </w:rPr>
  </w:style>
  <w:style w:type="character" w:customStyle="1" w:styleId="SubtitleChar">
    <w:name w:val="Subtitle Char"/>
    <w:basedOn w:val="DefaultParagraphFont"/>
    <w:link w:val="Subtitle"/>
    <w:uiPriority w:val="11"/>
    <w:rsid w:val="00845C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5C37"/>
    <w:pPr>
      <w:spacing w:before="160" w:line="278" w:lineRule="auto"/>
      <w:jc w:val="center"/>
    </w:pPr>
    <w:rPr>
      <w:rFonts w:asciiTheme="minorHAnsi" w:eastAsiaTheme="minorHAnsi" w:hAnsiTheme="minorHAnsi" w:cstheme="minorBidi"/>
      <w:i/>
      <w:iCs/>
      <w:color w:val="404040" w:themeColor="text1" w:themeTint="BF"/>
      <w:kern w:val="2"/>
      <w:sz w:val="24"/>
      <w:szCs w:val="24"/>
      <w:lang w:val="en-US" w:eastAsia="en-US" w:bidi="ar-SA"/>
      <w14:ligatures w14:val="standardContextual"/>
    </w:rPr>
  </w:style>
  <w:style w:type="character" w:customStyle="1" w:styleId="QuoteChar">
    <w:name w:val="Quote Char"/>
    <w:basedOn w:val="DefaultParagraphFont"/>
    <w:link w:val="Quote"/>
    <w:uiPriority w:val="29"/>
    <w:rsid w:val="00845C37"/>
    <w:rPr>
      <w:i/>
      <w:iCs/>
      <w:color w:val="404040" w:themeColor="text1" w:themeTint="BF"/>
    </w:rPr>
  </w:style>
  <w:style w:type="paragraph" w:styleId="ListParagraph">
    <w:name w:val="List Paragraph"/>
    <w:basedOn w:val="Normal"/>
    <w:uiPriority w:val="34"/>
    <w:qFormat/>
    <w:rsid w:val="00845C37"/>
    <w:pPr>
      <w:spacing w:line="278" w:lineRule="auto"/>
      <w:ind w:left="720"/>
      <w:contextualSpacing/>
    </w:pPr>
    <w:rPr>
      <w:rFonts w:asciiTheme="minorHAnsi" w:eastAsiaTheme="minorHAnsi" w:hAnsiTheme="minorHAnsi" w:cstheme="minorBidi"/>
      <w:kern w:val="2"/>
      <w:sz w:val="24"/>
      <w:szCs w:val="24"/>
      <w:lang w:val="en-US" w:eastAsia="en-US" w:bidi="ar-SA"/>
      <w14:ligatures w14:val="standardContextual"/>
    </w:rPr>
  </w:style>
  <w:style w:type="character" w:styleId="IntenseEmphasis">
    <w:name w:val="Intense Emphasis"/>
    <w:basedOn w:val="DefaultParagraphFont"/>
    <w:uiPriority w:val="21"/>
    <w:qFormat/>
    <w:rsid w:val="00845C37"/>
    <w:rPr>
      <w:i/>
      <w:iCs/>
      <w:color w:val="0F4761" w:themeColor="accent1" w:themeShade="BF"/>
    </w:rPr>
  </w:style>
  <w:style w:type="paragraph" w:styleId="IntenseQuote">
    <w:name w:val="Intense Quote"/>
    <w:basedOn w:val="Normal"/>
    <w:next w:val="Normal"/>
    <w:link w:val="IntenseQuoteChar"/>
    <w:uiPriority w:val="30"/>
    <w:qFormat/>
    <w:rsid w:val="00845C3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bidi="ar-SA"/>
      <w14:ligatures w14:val="standardContextual"/>
    </w:rPr>
  </w:style>
  <w:style w:type="character" w:customStyle="1" w:styleId="IntenseQuoteChar">
    <w:name w:val="Intense Quote Char"/>
    <w:basedOn w:val="DefaultParagraphFont"/>
    <w:link w:val="IntenseQuote"/>
    <w:uiPriority w:val="30"/>
    <w:rsid w:val="00845C37"/>
    <w:rPr>
      <w:i/>
      <w:iCs/>
      <w:color w:val="0F4761" w:themeColor="accent1" w:themeShade="BF"/>
    </w:rPr>
  </w:style>
  <w:style w:type="character" w:styleId="IntenseReference">
    <w:name w:val="Intense Reference"/>
    <w:basedOn w:val="DefaultParagraphFont"/>
    <w:uiPriority w:val="32"/>
    <w:qFormat/>
    <w:rsid w:val="00845C3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383</Words>
  <Characters>2186</Characters>
  <Application>Microsoft Office Word</Application>
  <DocSecurity>0</DocSecurity>
  <Lines>18</Lines>
  <Paragraphs>5</Paragraphs>
  <ScaleCrop>false</ScaleCrop>
  <Company>Springer Nature</Company>
  <LinksUpToDate>false</LinksUpToDate>
  <CharactersWithSpaces>2564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2025-06-24T06:55:00Z</dcterms:created>
  <dcterms:modified xsi:type="dcterms:W3CDTF">2025-06-24T06:55:00Z</dcterms:modified>
</cp:coreProperties>
</file>