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0C275" w14:textId="338C8233" w:rsidR="00040905" w:rsidRPr="00D76335" w:rsidRDefault="00040905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 xml:space="preserve">Extended Figures and </w:t>
      </w:r>
      <w:r w:rsidR="001C299B">
        <w:rPr>
          <w:rFonts w:ascii="Times New Roman" w:hAnsi="Times New Roman" w:cs="Times New Roman" w:hint="eastAsia"/>
          <w:b/>
          <w:bCs/>
          <w:sz w:val="24"/>
        </w:rPr>
        <w:t>L</w:t>
      </w:r>
      <w:r w:rsidRPr="00D76335">
        <w:rPr>
          <w:rFonts w:ascii="Times New Roman" w:hAnsi="Times New Roman" w:cs="Times New Roman"/>
          <w:b/>
          <w:bCs/>
          <w:sz w:val="24"/>
        </w:rPr>
        <w:t>egends</w:t>
      </w:r>
    </w:p>
    <w:p w14:paraId="320288BC" w14:textId="572148EC" w:rsidR="00040905" w:rsidRPr="00D76335" w:rsidRDefault="00040905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 w:rsidRPr="00D7633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A5C13BE" wp14:editId="108DBA3D">
            <wp:extent cx="5268595" cy="5856515"/>
            <wp:effectExtent l="0" t="0" r="8255" b="0"/>
            <wp:docPr id="1111631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58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D7657" w14:textId="4F7A6617" w:rsidR="00040905" w:rsidRPr="00D76335" w:rsidRDefault="00D76335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>Extended Data Fig. 1 | Representation of a single marker in the context of a 27-marker IMC panel.</w:t>
      </w:r>
    </w:p>
    <w:p w14:paraId="5100BBC0" w14:textId="77777777" w:rsidR="00040905" w:rsidRPr="00D76335" w:rsidRDefault="00040905" w:rsidP="00D76335">
      <w:pPr>
        <w:widowControl/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 w:rsidRPr="00D76335">
        <w:rPr>
          <w:rFonts w:ascii="Times New Roman" w:hAnsi="Times New Roman" w:cs="Times New Roman"/>
          <w:sz w:val="24"/>
        </w:rPr>
        <w:br w:type="page"/>
      </w:r>
    </w:p>
    <w:p w14:paraId="16BABCF6" w14:textId="40D3821E" w:rsidR="00040905" w:rsidRPr="00D76335" w:rsidRDefault="00040905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 w:rsidRPr="00D76335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BF2F9E4" wp14:editId="6C55E50F">
            <wp:extent cx="5268595" cy="1077686"/>
            <wp:effectExtent l="0" t="0" r="8255" b="8255"/>
            <wp:docPr id="1336497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0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E0EEB" w14:textId="133422E0" w:rsidR="00D76335" w:rsidRPr="00D76335" w:rsidRDefault="00D76335" w:rsidP="00D76335">
      <w:pPr>
        <w:snapToGrid w:val="0"/>
        <w:spacing w:before="50" w:after="5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>Extended Data Fig. 2 | Gating strategy for identifying T cells in mouse brain.</w:t>
      </w:r>
    </w:p>
    <w:p w14:paraId="52569637" w14:textId="3D2F165A" w:rsidR="00040905" w:rsidRPr="00D76335" w:rsidRDefault="00040905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7B54D99" w14:textId="77777777" w:rsidR="00040905" w:rsidRPr="00D76335" w:rsidRDefault="00040905" w:rsidP="00D76335">
      <w:pPr>
        <w:widowControl/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br w:type="page"/>
      </w:r>
    </w:p>
    <w:p w14:paraId="0112714C" w14:textId="4F93E493" w:rsidR="00040905" w:rsidRPr="00D76335" w:rsidRDefault="00040905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07DF0282" wp14:editId="3A79EB7C">
            <wp:extent cx="5257800" cy="4934701"/>
            <wp:effectExtent l="0" t="0" r="0" b="5715"/>
            <wp:docPr id="18408956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8" r="8739" b="45287"/>
                    <a:stretch/>
                  </pic:blipFill>
                  <pic:spPr bwMode="auto">
                    <a:xfrm>
                      <a:off x="0" y="0"/>
                      <a:ext cx="5276448" cy="495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35887" w14:textId="663038B7" w:rsidR="00040905" w:rsidRPr="00D76335" w:rsidRDefault="00D76335" w:rsidP="00D76335">
      <w:pPr>
        <w:snapToGrid w:val="0"/>
        <w:spacing w:before="50" w:after="5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>Extended Data Fig. 3 | Time-dependent accumulation of transferred splenic CD45⁺ cells in the brain following MCAO.</w:t>
      </w:r>
    </w:p>
    <w:p w14:paraId="46432DE0" w14:textId="1D2CDFA0" w:rsidR="001C7749" w:rsidRPr="00D76335" w:rsidRDefault="00040905" w:rsidP="001F68EF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>a</w:t>
      </w:r>
      <w:r w:rsidRPr="00D76335">
        <w:rPr>
          <w:rFonts w:ascii="Times New Roman" w:hAnsi="Times New Roman" w:cs="Times New Roman"/>
          <w:sz w:val="24"/>
        </w:rPr>
        <w:t>, Schematic representation of experimental design. Splenic CD45⁺ cells isolated from donor mice were labeled with Cy5 fluorescent dye and intravenously transferred into recipient</w:t>
      </w:r>
      <w:r w:rsidR="001C7749" w:rsidRPr="00D76335">
        <w:rPr>
          <w:rFonts w:ascii="Times New Roman" w:hAnsi="Times New Roman" w:cs="Times New Roman"/>
          <w:sz w:val="24"/>
        </w:rPr>
        <w:t xml:space="preserve"> </w:t>
      </w:r>
      <w:r w:rsidRPr="00D76335">
        <w:rPr>
          <w:rFonts w:ascii="Times New Roman" w:hAnsi="Times New Roman" w:cs="Times New Roman"/>
          <w:sz w:val="24"/>
        </w:rPr>
        <w:t xml:space="preserve">mice. Recipients were subjected to either </w:t>
      </w:r>
      <w:r w:rsidR="001C7749" w:rsidRPr="00D76335">
        <w:rPr>
          <w:rFonts w:ascii="Times New Roman" w:hAnsi="Times New Roman" w:cs="Times New Roman"/>
          <w:sz w:val="24"/>
        </w:rPr>
        <w:t>S</w:t>
      </w:r>
      <w:r w:rsidRPr="00D76335">
        <w:rPr>
          <w:rFonts w:ascii="Times New Roman" w:hAnsi="Times New Roman" w:cs="Times New Roman"/>
          <w:sz w:val="24"/>
        </w:rPr>
        <w:t>ham or MCAO</w:t>
      </w:r>
      <w:r w:rsidR="001C7749" w:rsidRPr="00D76335">
        <w:rPr>
          <w:rFonts w:ascii="Times New Roman" w:hAnsi="Times New Roman" w:cs="Times New Roman"/>
          <w:sz w:val="24"/>
        </w:rPr>
        <w:t xml:space="preserve"> surgery</w:t>
      </w:r>
      <w:r w:rsidRPr="00D76335">
        <w:rPr>
          <w:rFonts w:ascii="Times New Roman" w:hAnsi="Times New Roman" w:cs="Times New Roman"/>
          <w:sz w:val="24"/>
        </w:rPr>
        <w:t>. At indicated time points (0h, 3h, 24h, 48h, 72h), mice were scanned using an in vivo imaging system to track the distribution of labeled cells</w:t>
      </w:r>
      <w:r w:rsidR="001C7749" w:rsidRPr="00D76335">
        <w:rPr>
          <w:rFonts w:ascii="Times New Roman" w:hAnsi="Times New Roman" w:cs="Times New Roman"/>
          <w:sz w:val="24"/>
        </w:rPr>
        <w:t xml:space="preserve"> in mice brain</w:t>
      </w:r>
      <w:r w:rsidRPr="00D76335">
        <w:rPr>
          <w:rFonts w:ascii="Times New Roman" w:hAnsi="Times New Roman" w:cs="Times New Roman"/>
          <w:sz w:val="24"/>
        </w:rPr>
        <w:t>.</w:t>
      </w:r>
      <w:r w:rsidR="002B6A97" w:rsidRPr="00D76335">
        <w:rPr>
          <w:rFonts w:ascii="Times New Roman" w:hAnsi="Times New Roman" w:cs="Times New Roman"/>
          <w:sz w:val="24"/>
        </w:rPr>
        <w:t xml:space="preserve"> </w:t>
      </w:r>
      <w:r w:rsidR="001C7749" w:rsidRPr="00D76335">
        <w:rPr>
          <w:rFonts w:ascii="Times New Roman" w:hAnsi="Times New Roman" w:cs="Times New Roman"/>
          <w:b/>
          <w:bCs/>
          <w:sz w:val="24"/>
        </w:rPr>
        <w:t>b</w:t>
      </w:r>
      <w:r w:rsidR="001C7749" w:rsidRPr="00D76335">
        <w:rPr>
          <w:rFonts w:ascii="Times New Roman" w:hAnsi="Times New Roman" w:cs="Times New Roman"/>
          <w:sz w:val="24"/>
        </w:rPr>
        <w:t xml:space="preserve">, </w:t>
      </w:r>
      <w:r w:rsidRPr="00D76335">
        <w:rPr>
          <w:rFonts w:ascii="Times New Roman" w:hAnsi="Times New Roman" w:cs="Times New Roman"/>
          <w:sz w:val="24"/>
        </w:rPr>
        <w:t>Representative</w:t>
      </w:r>
      <w:r w:rsidR="001C7749" w:rsidRPr="00D76335">
        <w:rPr>
          <w:rFonts w:ascii="Times New Roman" w:hAnsi="Times New Roman" w:cs="Times New Roman"/>
          <w:sz w:val="24"/>
        </w:rPr>
        <w:t xml:space="preserve"> </w:t>
      </w:r>
      <w:r w:rsidRPr="00D76335">
        <w:rPr>
          <w:rFonts w:ascii="Times New Roman" w:hAnsi="Times New Roman" w:cs="Times New Roman"/>
          <w:sz w:val="24"/>
        </w:rPr>
        <w:t xml:space="preserve">whole-body in vivo epi-fluorescence images illustrating the distribution of transferred Cy5-labeled splenic CD45⁺ cells in </w:t>
      </w:r>
      <w:r w:rsidR="001C7749" w:rsidRPr="00D76335">
        <w:rPr>
          <w:rFonts w:ascii="Times New Roman" w:hAnsi="Times New Roman" w:cs="Times New Roman"/>
          <w:sz w:val="24"/>
        </w:rPr>
        <w:t>S</w:t>
      </w:r>
      <w:r w:rsidRPr="00D76335">
        <w:rPr>
          <w:rFonts w:ascii="Times New Roman" w:hAnsi="Times New Roman" w:cs="Times New Roman"/>
          <w:sz w:val="24"/>
        </w:rPr>
        <w:t>ham</w:t>
      </w:r>
      <w:r w:rsidR="001C7749" w:rsidRPr="00D76335">
        <w:rPr>
          <w:rFonts w:ascii="Times New Roman" w:hAnsi="Times New Roman" w:cs="Times New Roman"/>
          <w:sz w:val="24"/>
        </w:rPr>
        <w:t xml:space="preserve"> </w:t>
      </w:r>
      <w:r w:rsidRPr="00D76335">
        <w:rPr>
          <w:rFonts w:ascii="Times New Roman" w:hAnsi="Times New Roman" w:cs="Times New Roman"/>
          <w:sz w:val="24"/>
        </w:rPr>
        <w:t xml:space="preserve">and MCAO-operated mice at </w:t>
      </w:r>
      <w:r w:rsidR="00A20178" w:rsidRPr="00D76335">
        <w:rPr>
          <w:rFonts w:ascii="Times New Roman" w:hAnsi="Times New Roman" w:cs="Times New Roman"/>
          <w:sz w:val="24"/>
        </w:rPr>
        <w:t>3-, 24-, 48-, and 72-hours</w:t>
      </w:r>
      <w:r w:rsidRPr="00D76335">
        <w:rPr>
          <w:rFonts w:ascii="Times New Roman" w:hAnsi="Times New Roman" w:cs="Times New Roman"/>
          <w:sz w:val="24"/>
        </w:rPr>
        <w:t xml:space="preserve"> post-surgery. </w:t>
      </w:r>
      <w:r w:rsidR="001C7749" w:rsidRPr="00D76335">
        <w:rPr>
          <w:rFonts w:ascii="Times New Roman" w:hAnsi="Times New Roman" w:cs="Times New Roman"/>
          <w:sz w:val="24"/>
        </w:rPr>
        <w:t>Color represents epi-fluorescence intensity.</w:t>
      </w:r>
      <w:r w:rsidR="002B6A97" w:rsidRPr="00D76335">
        <w:rPr>
          <w:rFonts w:ascii="Times New Roman" w:hAnsi="Times New Roman" w:cs="Times New Roman"/>
          <w:sz w:val="24"/>
        </w:rPr>
        <w:t xml:space="preserve"> </w:t>
      </w:r>
      <w:r w:rsidR="001C7749" w:rsidRPr="00D76335">
        <w:rPr>
          <w:rFonts w:ascii="Times New Roman" w:hAnsi="Times New Roman" w:cs="Times New Roman"/>
          <w:b/>
          <w:bCs/>
          <w:sz w:val="24"/>
        </w:rPr>
        <w:t>c</w:t>
      </w:r>
      <w:r w:rsidR="001C7749" w:rsidRPr="00D76335">
        <w:rPr>
          <w:rFonts w:ascii="Times New Roman" w:hAnsi="Times New Roman" w:cs="Times New Roman"/>
          <w:sz w:val="24"/>
        </w:rPr>
        <w:t xml:space="preserve">, </w:t>
      </w:r>
      <w:r w:rsidRPr="00D76335">
        <w:rPr>
          <w:rFonts w:ascii="Times New Roman" w:hAnsi="Times New Roman" w:cs="Times New Roman"/>
          <w:sz w:val="24"/>
        </w:rPr>
        <w:t>Ex vivo fluorescent imaging of brains from sham and MCAO mice at the indicated time points, showing signal accumulation specifically in the brains of MCAO mice over time.</w:t>
      </w:r>
      <w:r w:rsidR="002B6A97" w:rsidRPr="00D76335">
        <w:rPr>
          <w:rFonts w:ascii="Times New Roman" w:hAnsi="Times New Roman" w:cs="Times New Roman"/>
          <w:sz w:val="24"/>
        </w:rPr>
        <w:t xml:space="preserve"> </w:t>
      </w:r>
      <w:r w:rsidR="001C7749" w:rsidRPr="00D76335">
        <w:rPr>
          <w:rFonts w:ascii="Times New Roman" w:hAnsi="Times New Roman" w:cs="Times New Roman"/>
          <w:b/>
          <w:bCs/>
          <w:sz w:val="24"/>
        </w:rPr>
        <w:t>d</w:t>
      </w:r>
      <w:r w:rsidR="001C7749" w:rsidRPr="00D76335">
        <w:rPr>
          <w:rFonts w:ascii="Times New Roman" w:hAnsi="Times New Roman" w:cs="Times New Roman"/>
          <w:sz w:val="24"/>
        </w:rPr>
        <w:t xml:space="preserve">, </w:t>
      </w:r>
      <w:r w:rsidRPr="00D76335">
        <w:rPr>
          <w:rFonts w:ascii="Times New Roman" w:hAnsi="Times New Roman" w:cs="Times New Roman"/>
          <w:sz w:val="24"/>
        </w:rPr>
        <w:t>Quantification of epi-fluorescence signal in the brains of MCAO mice at the indicated time points. Color</w:t>
      </w:r>
      <w:r w:rsidR="001C7749" w:rsidRPr="00D76335">
        <w:rPr>
          <w:rFonts w:ascii="Times New Roman" w:hAnsi="Times New Roman" w:cs="Times New Roman"/>
          <w:sz w:val="24"/>
        </w:rPr>
        <w:t xml:space="preserve"> </w:t>
      </w:r>
      <w:r w:rsidRPr="00D76335">
        <w:rPr>
          <w:rFonts w:ascii="Times New Roman" w:hAnsi="Times New Roman" w:cs="Times New Roman"/>
          <w:sz w:val="24"/>
        </w:rPr>
        <w:t>represents epi-fluorescence intensity</w:t>
      </w:r>
      <w:r w:rsidR="001C7749" w:rsidRPr="00D76335">
        <w:rPr>
          <w:rFonts w:ascii="Times New Roman" w:hAnsi="Times New Roman" w:cs="Times New Roman"/>
          <w:sz w:val="24"/>
        </w:rPr>
        <w:t>.</w:t>
      </w:r>
    </w:p>
    <w:p w14:paraId="558BA75C" w14:textId="1B72308B" w:rsidR="00040905" w:rsidRPr="00D76335" w:rsidRDefault="001C7749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 w:rsidRPr="00D76335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AB2E371" wp14:editId="63E07603">
            <wp:extent cx="5278201" cy="4181168"/>
            <wp:effectExtent l="0" t="0" r="5080" b="0"/>
            <wp:docPr id="16773127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" r="4550" b="48265"/>
                    <a:stretch/>
                  </pic:blipFill>
                  <pic:spPr bwMode="auto">
                    <a:xfrm>
                      <a:off x="0" y="0"/>
                      <a:ext cx="5291792" cy="41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B3C4C" w14:textId="77777777" w:rsidR="001F68EF" w:rsidRDefault="00D76335" w:rsidP="001F68EF">
      <w:pPr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>Extended Data Fig. 4 | Changes in gut microbiota diversity and composition induced by IS-FMT compared to HC-FMT.</w:t>
      </w:r>
    </w:p>
    <w:p w14:paraId="008150D5" w14:textId="6CEC67E9" w:rsidR="001C7749" w:rsidRPr="00D76335" w:rsidRDefault="001C7749" w:rsidP="001F68EF">
      <w:pPr>
        <w:snapToGri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proofErr w:type="gramStart"/>
      <w:r w:rsidRPr="00D76335">
        <w:rPr>
          <w:rFonts w:ascii="Times New Roman" w:hAnsi="Times New Roman" w:cs="Times New Roman"/>
          <w:b/>
          <w:bCs/>
          <w:sz w:val="24"/>
        </w:rPr>
        <w:t>a,</w:t>
      </w:r>
      <w:proofErr w:type="gramEnd"/>
      <w:r w:rsidRPr="00D76335">
        <w:rPr>
          <w:rFonts w:ascii="Times New Roman" w:hAnsi="Times New Roman" w:cs="Times New Roman"/>
          <w:b/>
          <w:bCs/>
          <w:sz w:val="24"/>
        </w:rPr>
        <w:t xml:space="preserve"> </w:t>
      </w:r>
      <w:r w:rsidRPr="00D76335">
        <w:rPr>
          <w:rFonts w:ascii="Times New Roman" w:hAnsi="Times New Roman" w:cs="Times New Roman"/>
          <w:sz w:val="24"/>
        </w:rPr>
        <w:t>Principal coordinate analysis (PCA) at the species level of gut microbiota (R = 0.4333, P = 0.002).</w:t>
      </w:r>
      <w:r w:rsidR="002B6A97" w:rsidRPr="00D76335">
        <w:rPr>
          <w:rFonts w:ascii="Times New Roman" w:hAnsi="Times New Roman" w:cs="Times New Roman"/>
          <w:sz w:val="24"/>
        </w:rPr>
        <w:t xml:space="preserve"> </w:t>
      </w:r>
      <w:r w:rsidRPr="00D76335">
        <w:rPr>
          <w:rFonts w:ascii="Times New Roman" w:hAnsi="Times New Roman" w:cs="Times New Roman"/>
          <w:b/>
          <w:bCs/>
          <w:sz w:val="24"/>
        </w:rPr>
        <w:t xml:space="preserve">b, </w:t>
      </w:r>
      <w:r w:rsidRPr="00D76335">
        <w:rPr>
          <w:rFonts w:ascii="Times New Roman" w:hAnsi="Times New Roman" w:cs="Times New Roman"/>
          <w:sz w:val="24"/>
        </w:rPr>
        <w:t>Chao index of OTU level in HC-FMT and IS-FMT groups (Student’s t-test).</w:t>
      </w:r>
      <w:r w:rsidR="002B6A97" w:rsidRPr="00D76335">
        <w:rPr>
          <w:rFonts w:ascii="Times New Roman" w:hAnsi="Times New Roman" w:cs="Times New Roman"/>
          <w:sz w:val="24"/>
        </w:rPr>
        <w:t xml:space="preserve"> </w:t>
      </w:r>
      <w:r w:rsidRPr="00D76335">
        <w:rPr>
          <w:rFonts w:ascii="Times New Roman" w:hAnsi="Times New Roman" w:cs="Times New Roman"/>
          <w:b/>
          <w:bCs/>
          <w:sz w:val="24"/>
        </w:rPr>
        <w:t>c</w:t>
      </w:r>
      <w:r w:rsidRPr="00D76335">
        <w:rPr>
          <w:rFonts w:ascii="Times New Roman" w:hAnsi="Times New Roman" w:cs="Times New Roman"/>
          <w:sz w:val="24"/>
        </w:rPr>
        <w:t>, Shannon index of OTU level in HC-FMT and IS-FMT groups (Student’s t-test).</w:t>
      </w:r>
      <w:r w:rsidR="002B6A97" w:rsidRPr="00D76335">
        <w:rPr>
          <w:rFonts w:ascii="Times New Roman" w:hAnsi="Times New Roman" w:cs="Times New Roman"/>
          <w:sz w:val="24"/>
        </w:rPr>
        <w:t xml:space="preserve"> </w:t>
      </w:r>
      <w:r w:rsidRPr="00D76335">
        <w:rPr>
          <w:rFonts w:ascii="Times New Roman" w:hAnsi="Times New Roman" w:cs="Times New Roman"/>
          <w:b/>
          <w:bCs/>
          <w:sz w:val="24"/>
        </w:rPr>
        <w:t>d</w:t>
      </w:r>
      <w:r w:rsidRPr="00D76335">
        <w:rPr>
          <w:rFonts w:ascii="Times New Roman" w:hAnsi="Times New Roman" w:cs="Times New Roman"/>
          <w:sz w:val="24"/>
        </w:rPr>
        <w:t>, Relative abundance of gut microbiota at the genus level in HC-FMT and IS-FMT groups (community bar plot).</w:t>
      </w:r>
    </w:p>
    <w:p w14:paraId="2039B4A4" w14:textId="5085B509" w:rsidR="002B6A97" w:rsidRPr="00D76335" w:rsidRDefault="002B6A97" w:rsidP="00D76335">
      <w:pPr>
        <w:widowControl/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 w:rsidRPr="00D76335">
        <w:rPr>
          <w:rFonts w:ascii="Times New Roman" w:hAnsi="Times New Roman" w:cs="Times New Roman"/>
          <w:sz w:val="24"/>
        </w:rPr>
        <w:br w:type="page"/>
      </w:r>
    </w:p>
    <w:p w14:paraId="347EECB1" w14:textId="70651DDB" w:rsidR="001C7749" w:rsidRPr="00D76335" w:rsidRDefault="002059AD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43E5022" wp14:editId="05F03CB7">
            <wp:extent cx="5268595" cy="5110843"/>
            <wp:effectExtent l="0" t="0" r="8255" b="0"/>
            <wp:docPr id="1811638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51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0D5C" w14:textId="746BC199" w:rsidR="002B6A97" w:rsidRPr="00D76335" w:rsidRDefault="00D76335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>Extended Data Fig. 5 | PD-1 blockade promotes neurological recovery following stroke.</w:t>
      </w:r>
    </w:p>
    <w:p w14:paraId="472CF76B" w14:textId="4A069F15" w:rsidR="005F450B" w:rsidRPr="002059AD" w:rsidRDefault="002B6A97" w:rsidP="002059AD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>a</w:t>
      </w:r>
      <w:r w:rsidRPr="00D76335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D76335">
        <w:rPr>
          <w:rFonts w:ascii="Times New Roman" w:hAnsi="Times New Roman" w:cs="Times New Roman"/>
          <w:sz w:val="24"/>
        </w:rPr>
        <w:t>The</w:t>
      </w:r>
      <w:proofErr w:type="gramEnd"/>
      <w:r w:rsidRPr="00D76335">
        <w:rPr>
          <w:rFonts w:ascii="Times New Roman" w:hAnsi="Times New Roman" w:cs="Times New Roman"/>
          <w:sz w:val="24"/>
        </w:rPr>
        <w:t xml:space="preserve"> representative biaxial plots show PD-1 expression on brain conventional T cells of MCAO mice in IgG or anti–PD-1 </w:t>
      </w:r>
      <w:proofErr w:type="spellStart"/>
      <w:r w:rsidRPr="00D76335">
        <w:rPr>
          <w:rFonts w:ascii="Times New Roman" w:hAnsi="Times New Roman" w:cs="Times New Roman"/>
          <w:sz w:val="24"/>
        </w:rPr>
        <w:t>mAb</w:t>
      </w:r>
      <w:proofErr w:type="spellEnd"/>
      <w:r w:rsidRPr="00D76335">
        <w:rPr>
          <w:rFonts w:ascii="Times New Roman" w:hAnsi="Times New Roman" w:cs="Times New Roman"/>
          <w:sz w:val="24"/>
        </w:rPr>
        <w:t xml:space="preserve"> groups. </w:t>
      </w:r>
      <w:r w:rsidRPr="00D76335">
        <w:rPr>
          <w:rFonts w:ascii="Times New Roman" w:hAnsi="Times New Roman" w:cs="Times New Roman"/>
          <w:b/>
          <w:bCs/>
          <w:sz w:val="24"/>
        </w:rPr>
        <w:t>b</w:t>
      </w:r>
      <w:r w:rsidRPr="00D76335">
        <w:rPr>
          <w:rFonts w:ascii="Times New Roman" w:hAnsi="Times New Roman" w:cs="Times New Roman"/>
          <w:sz w:val="24"/>
        </w:rPr>
        <w:t xml:space="preserve">, </w:t>
      </w:r>
      <w:r w:rsidR="005F450B" w:rsidRPr="00D76335">
        <w:rPr>
          <w:rFonts w:ascii="Times New Roman" w:hAnsi="Times New Roman" w:cs="Times New Roman"/>
          <w:sz w:val="24"/>
        </w:rPr>
        <w:t xml:space="preserve">Volcano plot of differentially expressed genes (DEGs) in brain from WT mice: MCAO versus Sham. Upregulated (red), downregulated (green), and non-significant genes (blue) are shown. </w:t>
      </w:r>
      <w:r w:rsidRPr="00D76335">
        <w:rPr>
          <w:rFonts w:ascii="Times New Roman" w:hAnsi="Times New Roman" w:cs="Times New Roman"/>
          <w:b/>
          <w:bCs/>
          <w:sz w:val="24"/>
        </w:rPr>
        <w:t>c</w:t>
      </w:r>
      <w:r w:rsidRPr="00D76335">
        <w:rPr>
          <w:rFonts w:ascii="Times New Roman" w:hAnsi="Times New Roman" w:cs="Times New Roman"/>
          <w:sz w:val="24"/>
        </w:rPr>
        <w:t xml:space="preserve">, </w:t>
      </w:r>
      <w:r w:rsidR="005F450B" w:rsidRPr="00D76335">
        <w:rPr>
          <w:rFonts w:ascii="Times New Roman" w:hAnsi="Times New Roman" w:cs="Times New Roman"/>
          <w:sz w:val="24"/>
        </w:rPr>
        <w:t>Volcano plot of DEGs in brains: Pdcd1</w:t>
      </w:r>
      <w:r w:rsidR="005F450B" w:rsidRPr="00D76335">
        <w:rPr>
          <w:rFonts w:ascii="Times New Roman" w:hAnsi="Times New Roman" w:cs="Times New Roman"/>
          <w:sz w:val="24"/>
          <w:vertAlign w:val="superscript"/>
        </w:rPr>
        <w:t>–/–</w:t>
      </w:r>
      <w:r w:rsidR="005F450B" w:rsidRPr="00D76335">
        <w:rPr>
          <w:rFonts w:ascii="Times New Roman" w:hAnsi="Times New Roman" w:cs="Times New Roman"/>
          <w:sz w:val="24"/>
        </w:rPr>
        <w:t xml:space="preserve"> MCAO versus WT MCAO. Upregulated (red), downregulated (green), and non-significant genes (blue) are shown. </w:t>
      </w:r>
      <w:r w:rsidR="005F450B" w:rsidRPr="00D76335">
        <w:rPr>
          <w:rFonts w:ascii="Times New Roman" w:hAnsi="Times New Roman" w:cs="Times New Roman"/>
          <w:b/>
          <w:bCs/>
          <w:sz w:val="24"/>
        </w:rPr>
        <w:t>d</w:t>
      </w:r>
      <w:r w:rsidR="005F450B" w:rsidRPr="00D76335">
        <w:rPr>
          <w:rFonts w:ascii="Times New Roman" w:hAnsi="Times New Roman" w:cs="Times New Roman"/>
          <w:sz w:val="24"/>
        </w:rPr>
        <w:t>, Venn diagram depicting the overlap and distribution of DEGs between WT MCAO vs WT Sham and Pdcd1</w:t>
      </w:r>
      <w:r w:rsidR="005F450B" w:rsidRPr="00D76335">
        <w:rPr>
          <w:rFonts w:ascii="Times New Roman" w:hAnsi="Times New Roman" w:cs="Times New Roman"/>
          <w:sz w:val="24"/>
          <w:vertAlign w:val="superscript"/>
        </w:rPr>
        <w:t>–/–</w:t>
      </w:r>
      <w:r w:rsidR="005F450B" w:rsidRPr="00D76335">
        <w:rPr>
          <w:rFonts w:ascii="Times New Roman" w:hAnsi="Times New Roman" w:cs="Times New Roman"/>
          <w:sz w:val="24"/>
        </w:rPr>
        <w:t xml:space="preserve"> MCAO vs WT MCAO comparisons.</w:t>
      </w:r>
      <w:r w:rsidR="002059AD">
        <w:rPr>
          <w:rFonts w:ascii="Times New Roman" w:hAnsi="Times New Roman" w:cs="Times New Roman" w:hint="eastAsia"/>
          <w:sz w:val="24"/>
        </w:rPr>
        <w:t xml:space="preserve"> </w:t>
      </w:r>
      <w:r w:rsidR="002059AD" w:rsidRPr="002059AD">
        <w:rPr>
          <w:rFonts w:ascii="Times New Roman" w:hAnsi="Times New Roman" w:cs="Times New Roman" w:hint="eastAsia"/>
          <w:b/>
          <w:bCs/>
          <w:sz w:val="24"/>
        </w:rPr>
        <w:t>e</w:t>
      </w:r>
      <w:r w:rsidR="002059AD">
        <w:rPr>
          <w:rFonts w:ascii="Times New Roman" w:hAnsi="Times New Roman" w:cs="Times New Roman" w:hint="eastAsia"/>
          <w:sz w:val="24"/>
        </w:rPr>
        <w:t xml:space="preserve">, </w:t>
      </w:r>
      <w:r w:rsidR="002059AD" w:rsidRPr="002059AD">
        <w:rPr>
          <w:rFonts w:ascii="Times New Roman" w:hAnsi="Times New Roman" w:cs="Times New Roman"/>
          <w:sz w:val="24"/>
        </w:rPr>
        <w:t>Flow cytometry gating strategy for microglia, astrocytes, and oligodendrocytes in the brains of MCAO mice.</w:t>
      </w:r>
      <w:r w:rsidR="005F450B" w:rsidRPr="00D76335">
        <w:rPr>
          <w:rFonts w:ascii="Times New Roman" w:hAnsi="Times New Roman" w:cs="Times New Roman"/>
          <w:b/>
          <w:bCs/>
          <w:sz w:val="24"/>
        </w:rPr>
        <w:br w:type="page"/>
      </w:r>
    </w:p>
    <w:p w14:paraId="013C9947" w14:textId="0E4D77BC" w:rsidR="005F450B" w:rsidRPr="00D76335" w:rsidRDefault="005F450B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28CC1F9A" wp14:editId="4B457309">
            <wp:extent cx="5177650" cy="1128252"/>
            <wp:effectExtent l="0" t="0" r="4445" b="2540"/>
            <wp:docPr id="1984757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r="14325" b="87729"/>
                    <a:stretch/>
                  </pic:blipFill>
                  <pic:spPr bwMode="auto">
                    <a:xfrm>
                      <a:off x="0" y="0"/>
                      <a:ext cx="5214861" cy="11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A9A2E" w14:textId="0A71E6DE" w:rsidR="005F450B" w:rsidRPr="00D76335" w:rsidRDefault="00D76335" w:rsidP="008023B2">
      <w:pPr>
        <w:snapToGrid w:val="0"/>
        <w:spacing w:before="50" w:after="50" w:line="360" w:lineRule="auto"/>
        <w:jc w:val="both"/>
        <w:rPr>
          <w:rFonts w:ascii="Times New Roman" w:hAnsi="Times New Roman" w:cs="Times New Roman" w:hint="eastAsia"/>
          <w:b/>
          <w:bCs/>
          <w:sz w:val="24"/>
        </w:rPr>
      </w:pPr>
      <w:r w:rsidRPr="00D76335">
        <w:rPr>
          <w:rFonts w:ascii="Times New Roman" w:hAnsi="Times New Roman" w:cs="Times New Roman"/>
          <w:b/>
          <w:bCs/>
          <w:sz w:val="24"/>
        </w:rPr>
        <w:t xml:space="preserve">Extended Data Fig. </w:t>
      </w:r>
      <w:r w:rsidR="002059AD">
        <w:rPr>
          <w:rFonts w:ascii="Times New Roman" w:hAnsi="Times New Roman" w:cs="Times New Roman" w:hint="eastAsia"/>
          <w:b/>
          <w:bCs/>
          <w:sz w:val="24"/>
        </w:rPr>
        <w:t>6</w:t>
      </w:r>
      <w:r w:rsidRPr="00D76335">
        <w:rPr>
          <w:rFonts w:ascii="Times New Roman" w:hAnsi="Times New Roman" w:cs="Times New Roman"/>
          <w:b/>
          <w:bCs/>
          <w:sz w:val="24"/>
        </w:rPr>
        <w:t xml:space="preserve"> | Gating strategy for identification of T cells in whole blood from IS patients.</w:t>
      </w:r>
    </w:p>
    <w:p w14:paraId="3C4A6ED4" w14:textId="77777777" w:rsidR="005F450B" w:rsidRPr="002059AD" w:rsidRDefault="005F450B" w:rsidP="00D76335">
      <w:pPr>
        <w:snapToGrid w:val="0"/>
        <w:spacing w:beforeLines="50" w:before="156" w:afterLines="50" w:after="156" w:line="36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sectPr w:rsidR="005F450B" w:rsidRPr="002059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B53F4" w14:textId="77777777" w:rsidR="00663A76" w:rsidRDefault="00663A76" w:rsidP="002059AD">
      <w:pPr>
        <w:spacing w:after="0" w:line="240" w:lineRule="auto"/>
      </w:pPr>
      <w:r>
        <w:separator/>
      </w:r>
    </w:p>
  </w:endnote>
  <w:endnote w:type="continuationSeparator" w:id="0">
    <w:p w14:paraId="5B54E60E" w14:textId="77777777" w:rsidR="00663A76" w:rsidRDefault="00663A76" w:rsidP="0020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DA69F" w14:textId="77777777" w:rsidR="00663A76" w:rsidRDefault="00663A76" w:rsidP="002059AD">
      <w:pPr>
        <w:spacing w:after="0" w:line="240" w:lineRule="auto"/>
      </w:pPr>
      <w:r>
        <w:separator/>
      </w:r>
    </w:p>
  </w:footnote>
  <w:footnote w:type="continuationSeparator" w:id="0">
    <w:p w14:paraId="4AF2A3D3" w14:textId="77777777" w:rsidR="00663A76" w:rsidRDefault="00663A76" w:rsidP="002059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905"/>
    <w:rsid w:val="00040905"/>
    <w:rsid w:val="00180839"/>
    <w:rsid w:val="001C299B"/>
    <w:rsid w:val="001C7749"/>
    <w:rsid w:val="001F68EF"/>
    <w:rsid w:val="002059AD"/>
    <w:rsid w:val="002B6A97"/>
    <w:rsid w:val="005F450B"/>
    <w:rsid w:val="00600A27"/>
    <w:rsid w:val="00663A76"/>
    <w:rsid w:val="008023B2"/>
    <w:rsid w:val="00A20178"/>
    <w:rsid w:val="00BB6E97"/>
    <w:rsid w:val="00BF7FBE"/>
    <w:rsid w:val="00D7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F7FC3"/>
  <w15:chartTrackingRefBased/>
  <w15:docId w15:val="{E7FC315C-437F-4EE2-919E-FF6614AB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50B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4090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9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9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90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90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905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90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90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90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90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9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9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905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905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905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905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905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905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4090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9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90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9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9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9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9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9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9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9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90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D7633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059A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059A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059A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059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c9791</dc:creator>
  <cp:keywords/>
  <dc:description/>
  <cp:lastModifiedBy>c9791</cp:lastModifiedBy>
  <cp:revision>6</cp:revision>
  <dcterms:created xsi:type="dcterms:W3CDTF">2025-06-17T07:54:00Z</dcterms:created>
  <dcterms:modified xsi:type="dcterms:W3CDTF">2025-06-21T02:20:00Z</dcterms:modified>
</cp:coreProperties>
</file>