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8F4A3" w14:textId="062BBC74" w:rsidR="00657C00" w:rsidRPr="00EB3E5B" w:rsidRDefault="009A1DC9" w:rsidP="009A1DC9">
      <w:pPr>
        <w:rPr>
          <w:rFonts w:ascii="Times New Roman" w:eastAsia="DengXian" w:hAnsi="Times New Roman" w:cs="Times New Roman"/>
          <w:b/>
          <w:bCs/>
          <w:color w:val="000000"/>
          <w:sz w:val="18"/>
          <w:szCs w:val="18"/>
        </w:rPr>
      </w:pPr>
      <w:r w:rsidRPr="00EB3E5B">
        <w:rPr>
          <w:rFonts w:hint="eastAsia"/>
          <w:b/>
          <w:bCs/>
          <w:sz w:val="18"/>
          <w:szCs w:val="18"/>
        </w:rPr>
        <w:t>Appendix</w:t>
      </w:r>
      <w:r w:rsidRPr="00EB3E5B">
        <w:rPr>
          <w:b/>
          <w:bCs/>
          <w:sz w:val="18"/>
          <w:szCs w:val="18"/>
        </w:rPr>
        <w:t xml:space="preserve"> </w:t>
      </w:r>
      <w:r w:rsidR="00B04938" w:rsidRPr="00EB3E5B">
        <w:rPr>
          <w:b/>
          <w:bCs/>
          <w:sz w:val="18"/>
          <w:szCs w:val="18"/>
        </w:rPr>
        <w:t>2</w:t>
      </w:r>
      <w:r w:rsidRPr="00EB3E5B">
        <w:rPr>
          <w:b/>
          <w:bCs/>
          <w:sz w:val="18"/>
          <w:szCs w:val="18"/>
        </w:rPr>
        <w:t xml:space="preserve">: </w:t>
      </w:r>
      <w:r w:rsidR="00E67252" w:rsidRPr="00EB3E5B">
        <w:rPr>
          <w:rFonts w:ascii="Times New Roman" w:eastAsia="DengXian" w:hAnsi="Times New Roman" w:cs="Times New Roman"/>
          <w:b/>
          <w:bCs/>
          <w:color w:val="000000"/>
          <w:sz w:val="18"/>
          <w:szCs w:val="18"/>
        </w:rPr>
        <w:t>Basic features of the included literature (Supplementary)</w:t>
      </w:r>
    </w:p>
    <w:tbl>
      <w:tblPr>
        <w:tblStyle w:val="a3"/>
        <w:tblW w:w="4985"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71"/>
        <w:gridCol w:w="1135"/>
        <w:gridCol w:w="847"/>
        <w:gridCol w:w="2136"/>
        <w:gridCol w:w="2835"/>
        <w:gridCol w:w="2418"/>
        <w:gridCol w:w="3258"/>
      </w:tblGrid>
      <w:tr w:rsidR="00D16B74" w:rsidRPr="00EB3E5B" w14:paraId="1E079007" w14:textId="77777777" w:rsidTr="00472F34">
        <w:trPr>
          <w:trHeight w:val="624"/>
          <w:jc w:val="center"/>
        </w:trPr>
        <w:tc>
          <w:tcPr>
            <w:tcW w:w="216" w:type="pct"/>
            <w:tcBorders>
              <w:top w:val="single" w:sz="12" w:space="0" w:color="auto"/>
              <w:bottom w:val="single" w:sz="12" w:space="0" w:color="auto"/>
            </w:tcBorders>
            <w:vAlign w:val="center"/>
          </w:tcPr>
          <w:p w14:paraId="1C9E7697" w14:textId="77777777" w:rsidR="00D16B74" w:rsidRPr="00EB3E5B" w:rsidRDefault="00D16B74" w:rsidP="005D21F7">
            <w:pPr>
              <w:ind w:left="90" w:hangingChars="50" w:hanging="90"/>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N</w:t>
            </w:r>
            <w:r w:rsidRPr="00EB3E5B">
              <w:rPr>
                <w:rFonts w:ascii="Times New Roman" w:eastAsia="DengXian" w:hAnsi="Times New Roman" w:cs="Times New Roman"/>
                <w:color w:val="000000"/>
                <w:sz w:val="18"/>
                <w:szCs w:val="18"/>
              </w:rPr>
              <w:t>o</w:t>
            </w:r>
          </w:p>
        </w:tc>
        <w:tc>
          <w:tcPr>
            <w:tcW w:w="430" w:type="pct"/>
            <w:tcBorders>
              <w:top w:val="single" w:sz="12" w:space="0" w:color="auto"/>
              <w:bottom w:val="single" w:sz="12" w:space="0" w:color="auto"/>
            </w:tcBorders>
            <w:vAlign w:val="center"/>
          </w:tcPr>
          <w:p w14:paraId="0638406C" w14:textId="77777777" w:rsidR="00D16B74" w:rsidRPr="00EB3E5B" w:rsidRDefault="00D16B74" w:rsidP="005D21F7">
            <w:pPr>
              <w:ind w:left="90" w:hangingChars="50" w:hanging="90"/>
              <w:rPr>
                <w:rFonts w:ascii="Times New Roman" w:hAnsi="Times New Roman" w:cs="Times New Roman"/>
                <w:sz w:val="18"/>
                <w:szCs w:val="18"/>
              </w:rPr>
            </w:pPr>
            <w:r w:rsidRPr="00EB3E5B">
              <w:rPr>
                <w:rFonts w:ascii="Times New Roman" w:eastAsia="DengXian" w:hAnsi="Times New Roman" w:cs="Times New Roman" w:hint="eastAsia"/>
                <w:color w:val="000000"/>
                <w:sz w:val="18"/>
                <w:szCs w:val="18"/>
              </w:rPr>
              <w:t>Source</w:t>
            </w:r>
            <w:r w:rsidRPr="00EB3E5B">
              <w:rPr>
                <w:rFonts w:ascii="Times New Roman" w:eastAsia="DengXian" w:hAnsi="Times New Roman" w:cs="Times New Roman"/>
                <w:color w:val="000000"/>
                <w:sz w:val="18"/>
                <w:szCs w:val="18"/>
              </w:rPr>
              <w:t xml:space="preserve"> and country</w:t>
            </w:r>
          </w:p>
        </w:tc>
        <w:tc>
          <w:tcPr>
            <w:tcW w:w="321" w:type="pct"/>
            <w:tcBorders>
              <w:top w:val="single" w:sz="12" w:space="0" w:color="auto"/>
              <w:bottom w:val="single" w:sz="12" w:space="0" w:color="auto"/>
            </w:tcBorders>
            <w:vAlign w:val="center"/>
          </w:tcPr>
          <w:p w14:paraId="370C203D"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Design</w:t>
            </w:r>
          </w:p>
        </w:tc>
        <w:tc>
          <w:tcPr>
            <w:tcW w:w="809" w:type="pct"/>
            <w:tcBorders>
              <w:top w:val="single" w:sz="12" w:space="0" w:color="auto"/>
              <w:bottom w:val="single" w:sz="12" w:space="0" w:color="auto"/>
            </w:tcBorders>
            <w:vAlign w:val="center"/>
          </w:tcPr>
          <w:p w14:paraId="673D960E"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Purpose of Study</w:t>
            </w:r>
          </w:p>
        </w:tc>
        <w:tc>
          <w:tcPr>
            <w:tcW w:w="1074" w:type="pct"/>
            <w:tcBorders>
              <w:top w:val="single" w:sz="12" w:space="0" w:color="auto"/>
              <w:bottom w:val="single" w:sz="12" w:space="0" w:color="auto"/>
            </w:tcBorders>
            <w:vAlign w:val="center"/>
          </w:tcPr>
          <w:p w14:paraId="359B1F96" w14:textId="33A1FB2B"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Included Interventions</w:t>
            </w:r>
          </w:p>
        </w:tc>
        <w:tc>
          <w:tcPr>
            <w:tcW w:w="916" w:type="pct"/>
            <w:tcBorders>
              <w:top w:val="single" w:sz="12" w:space="0" w:color="auto"/>
              <w:bottom w:val="single" w:sz="12" w:space="0" w:color="auto"/>
            </w:tcBorders>
            <w:vAlign w:val="center"/>
          </w:tcPr>
          <w:p w14:paraId="4142898F"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Secondary Outcome Indicators (Scales)</w:t>
            </w:r>
          </w:p>
        </w:tc>
        <w:tc>
          <w:tcPr>
            <w:tcW w:w="1235" w:type="pct"/>
            <w:tcBorders>
              <w:top w:val="single" w:sz="12" w:space="0" w:color="auto"/>
              <w:bottom w:val="single" w:sz="12" w:space="0" w:color="auto"/>
            </w:tcBorders>
            <w:vAlign w:val="center"/>
          </w:tcPr>
          <w:p w14:paraId="30A3FC01"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Main Conclusion</w:t>
            </w:r>
          </w:p>
        </w:tc>
      </w:tr>
      <w:tr w:rsidR="00D16B74" w:rsidRPr="00EB3E5B" w14:paraId="4ADDCB78" w14:textId="77777777" w:rsidTr="00472F34">
        <w:trPr>
          <w:trHeight w:val="624"/>
          <w:jc w:val="center"/>
        </w:trPr>
        <w:tc>
          <w:tcPr>
            <w:tcW w:w="216" w:type="pct"/>
            <w:tcBorders>
              <w:top w:val="single" w:sz="12" w:space="0" w:color="auto"/>
            </w:tcBorders>
            <w:vAlign w:val="center"/>
          </w:tcPr>
          <w:p w14:paraId="232D11F8" w14:textId="77777777" w:rsidR="00D16B74" w:rsidRPr="00EB3E5B" w:rsidRDefault="00D16B74" w:rsidP="005D21F7">
            <w:pPr>
              <w:jc w:val="center"/>
              <w:rPr>
                <w:rFonts w:ascii="Times New Roman" w:hAnsi="Times New Roman" w:cs="Times New Roman"/>
                <w:color w:val="060607"/>
                <w:spacing w:val="4"/>
                <w:sz w:val="18"/>
                <w:szCs w:val="18"/>
                <w:shd w:val="clear" w:color="auto" w:fill="FFFFFF"/>
              </w:rPr>
            </w:pPr>
            <w:r w:rsidRPr="00EB3E5B">
              <w:rPr>
                <w:rFonts w:ascii="Times New Roman" w:hAnsi="Times New Roman" w:cs="Times New Roman" w:hint="eastAsia"/>
                <w:color w:val="060607"/>
                <w:spacing w:val="4"/>
                <w:sz w:val="18"/>
                <w:szCs w:val="18"/>
                <w:shd w:val="clear" w:color="auto" w:fill="FFFFFF"/>
              </w:rPr>
              <w:t>1</w:t>
            </w:r>
          </w:p>
        </w:tc>
        <w:tc>
          <w:tcPr>
            <w:tcW w:w="430" w:type="pct"/>
            <w:tcBorders>
              <w:top w:val="single" w:sz="12" w:space="0" w:color="auto"/>
            </w:tcBorders>
            <w:vAlign w:val="center"/>
          </w:tcPr>
          <w:p w14:paraId="13171E21" w14:textId="77777777" w:rsidR="00D16B74" w:rsidRPr="00EB3E5B" w:rsidRDefault="00D16B74" w:rsidP="005D21F7">
            <w:pPr>
              <w:rPr>
                <w:rFonts w:ascii="Times New Roman" w:hAnsi="Times New Roman" w:cs="Times New Roman"/>
                <w:color w:val="060607"/>
                <w:spacing w:val="4"/>
                <w:sz w:val="18"/>
                <w:szCs w:val="18"/>
                <w:shd w:val="clear" w:color="auto" w:fill="FFFFFF"/>
              </w:rPr>
            </w:pPr>
            <w:proofErr w:type="spellStart"/>
            <w:r w:rsidRPr="00EB3E5B">
              <w:rPr>
                <w:rFonts w:ascii="Times New Roman" w:hAnsi="Times New Roman" w:cs="Times New Roman" w:hint="eastAsia"/>
                <w:color w:val="060607"/>
                <w:spacing w:val="4"/>
                <w:sz w:val="18"/>
                <w:szCs w:val="18"/>
                <w:shd w:val="clear" w:color="auto" w:fill="FFFFFF"/>
              </w:rPr>
              <w:t>Amedro</w:t>
            </w:r>
            <w:proofErr w:type="spellEnd"/>
            <w:r w:rsidRPr="00EB3E5B">
              <w:rPr>
                <w:rFonts w:ascii="Times New Roman" w:hAnsi="Times New Roman" w:cs="Times New Roman" w:hint="eastAsia"/>
                <w:color w:val="060607"/>
                <w:spacing w:val="4"/>
                <w:sz w:val="18"/>
                <w:szCs w:val="18"/>
                <w:shd w:val="clear" w:color="auto" w:fill="FFFFFF"/>
              </w:rPr>
              <w:t xml:space="preserve"> et al. (2024)</w:t>
            </w:r>
          </w:p>
          <w:p w14:paraId="78EB92F4"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France</w:t>
            </w:r>
          </w:p>
        </w:tc>
        <w:tc>
          <w:tcPr>
            <w:tcW w:w="321" w:type="pct"/>
            <w:tcBorders>
              <w:top w:val="single" w:sz="12" w:space="0" w:color="auto"/>
            </w:tcBorders>
            <w:vAlign w:val="center"/>
          </w:tcPr>
          <w:p w14:paraId="007198F9"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tcBorders>
              <w:top w:val="single" w:sz="12" w:space="0" w:color="auto"/>
            </w:tcBorders>
            <w:vAlign w:val="center"/>
          </w:tcPr>
          <w:p w14:paraId="21064587" w14:textId="1BF413B4"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hint="eastAsia"/>
                <w:color w:val="060607"/>
                <w:spacing w:val="4"/>
                <w:sz w:val="18"/>
                <w:szCs w:val="18"/>
                <w:shd w:val="clear" w:color="auto" w:fill="FFFFFF"/>
              </w:rPr>
              <w:t>To assess the impact of a 12-week hybrid cardiac rehabilitation program on HRQoL</w:t>
            </w:r>
            <w:r w:rsidR="00366BDC" w:rsidRPr="006F0CA8">
              <w:rPr>
                <w:rFonts w:ascii="Times New Roman" w:hAnsi="Times New Roman" w:cs="Times New Roman"/>
                <w:b/>
                <w:bCs/>
                <w:color w:val="060607"/>
                <w:spacing w:val="4"/>
                <w:sz w:val="18"/>
                <w:szCs w:val="18"/>
                <w:shd w:val="clear" w:color="auto" w:fill="FFFFFF"/>
                <w:vertAlign w:val="superscript"/>
              </w:rPr>
              <w:t>1</w:t>
            </w:r>
            <w:r w:rsidRPr="00EB3E5B">
              <w:rPr>
                <w:rFonts w:ascii="Times New Roman" w:hAnsi="Times New Roman" w:cs="Times New Roman" w:hint="eastAsia"/>
                <w:color w:val="060607"/>
                <w:spacing w:val="4"/>
                <w:sz w:val="18"/>
                <w:szCs w:val="18"/>
                <w:shd w:val="clear" w:color="auto" w:fill="FFFFFF"/>
              </w:rPr>
              <w:t xml:space="preserve"> and other outcomes in adolescents and young adults with CHD who have impaired cardiopulmonary fitness</w:t>
            </w:r>
          </w:p>
        </w:tc>
        <w:tc>
          <w:tcPr>
            <w:tcW w:w="1074" w:type="pct"/>
            <w:tcBorders>
              <w:top w:val="single" w:sz="12" w:space="0" w:color="auto"/>
            </w:tcBorders>
            <w:vAlign w:val="center"/>
          </w:tcPr>
          <w:p w14:paraId="658C933A" w14:textId="32A33F58"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hint="eastAsia"/>
                <w:color w:val="060607"/>
                <w:spacing w:val="4"/>
                <w:sz w:val="18"/>
                <w:szCs w:val="18"/>
                <w:shd w:val="clear" w:color="auto" w:fill="FFFFFF"/>
              </w:rPr>
              <w:t>12-week hybrid cardiac rehabilitation program combining center-based and home-based components, including multidisciplinary care (e.g., exercise training, patient education, physiotherapy, psychological support) and supervised physical activity sessions.</w:t>
            </w:r>
          </w:p>
        </w:tc>
        <w:tc>
          <w:tcPr>
            <w:tcW w:w="916" w:type="pct"/>
            <w:tcBorders>
              <w:top w:val="single" w:sz="12" w:space="0" w:color="auto"/>
            </w:tcBorders>
            <w:vAlign w:val="center"/>
          </w:tcPr>
          <w:p w14:paraId="69F34534" w14:textId="06AAD29F"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hint="eastAsia"/>
                <w:color w:val="060607"/>
                <w:spacing w:val="4"/>
                <w:sz w:val="18"/>
                <w:szCs w:val="18"/>
              </w:rPr>
              <w:t>1)BMI</w:t>
            </w:r>
            <w:r w:rsidR="00366BDC">
              <w:rPr>
                <w:rFonts w:ascii="Times New Roman" w:hAnsi="Times New Roman" w:cs="Times New Roman"/>
                <w:b/>
                <w:bCs/>
                <w:color w:val="060607"/>
                <w:spacing w:val="4"/>
                <w:sz w:val="18"/>
                <w:szCs w:val="18"/>
                <w:vertAlign w:val="superscript"/>
              </w:rPr>
              <w:t>2</w:t>
            </w:r>
            <w:r w:rsidRPr="00EB3E5B">
              <w:rPr>
                <w:rFonts w:ascii="Times New Roman" w:hAnsi="Times New Roman" w:cs="Times New Roman" w:hint="eastAsia"/>
                <w:color w:val="060607"/>
                <w:spacing w:val="4"/>
                <w:sz w:val="18"/>
                <w:szCs w:val="18"/>
              </w:rPr>
              <w:t xml:space="preserve">, </w:t>
            </w:r>
            <w:proofErr w:type="gramStart"/>
            <w:r w:rsidRPr="00EB3E5B">
              <w:rPr>
                <w:rFonts w:ascii="Times New Roman" w:hAnsi="Times New Roman" w:cs="Times New Roman" w:hint="eastAsia"/>
                <w:color w:val="060607"/>
                <w:spacing w:val="4"/>
                <w:sz w:val="18"/>
                <w:szCs w:val="18"/>
              </w:rPr>
              <w:t>2)CPET</w:t>
            </w:r>
            <w:proofErr w:type="gramEnd"/>
            <w:r w:rsidR="00366BDC">
              <w:rPr>
                <w:rFonts w:ascii="Times New Roman" w:hAnsi="Times New Roman" w:cs="Times New Roman"/>
                <w:b/>
                <w:bCs/>
                <w:color w:val="060607"/>
                <w:spacing w:val="4"/>
                <w:sz w:val="18"/>
                <w:szCs w:val="18"/>
                <w:vertAlign w:val="superscript"/>
              </w:rPr>
              <w:t>3</w:t>
            </w:r>
            <w:r w:rsidRPr="00EB3E5B">
              <w:rPr>
                <w:rFonts w:ascii="Times New Roman" w:hAnsi="Times New Roman" w:cs="Times New Roman" w:hint="eastAsia"/>
                <w:color w:val="060607"/>
                <w:spacing w:val="4"/>
                <w:sz w:val="18"/>
                <w:szCs w:val="18"/>
              </w:rPr>
              <w:t xml:space="preserve"> parameters (VO2max</w:t>
            </w:r>
            <w:r w:rsidR="00366BDC">
              <w:rPr>
                <w:rFonts w:ascii="Times New Roman" w:hAnsi="Times New Roman" w:cs="Times New Roman"/>
                <w:b/>
                <w:bCs/>
                <w:color w:val="060607"/>
                <w:spacing w:val="4"/>
                <w:sz w:val="18"/>
                <w:szCs w:val="18"/>
                <w:vertAlign w:val="superscript"/>
              </w:rPr>
              <w:t>4</w:t>
            </w:r>
            <w:r w:rsidRPr="00EB3E5B">
              <w:rPr>
                <w:rFonts w:ascii="Times New Roman" w:hAnsi="Times New Roman" w:cs="Times New Roman" w:hint="eastAsia"/>
                <w:color w:val="060607"/>
                <w:spacing w:val="4"/>
                <w:sz w:val="18"/>
                <w:szCs w:val="18"/>
              </w:rPr>
              <w:t>, VAT</w:t>
            </w:r>
            <w:r w:rsidR="00366BDC">
              <w:rPr>
                <w:rFonts w:ascii="Times New Roman" w:hAnsi="Times New Roman" w:cs="Times New Roman"/>
                <w:b/>
                <w:bCs/>
                <w:color w:val="060607"/>
                <w:spacing w:val="4"/>
                <w:sz w:val="18"/>
                <w:szCs w:val="18"/>
                <w:vertAlign w:val="superscript"/>
              </w:rPr>
              <w:t>5</w:t>
            </w:r>
            <w:r w:rsidRPr="00EB3E5B">
              <w:rPr>
                <w:rFonts w:ascii="Times New Roman" w:hAnsi="Times New Roman" w:cs="Times New Roman" w:hint="eastAsia"/>
                <w:color w:val="060607"/>
                <w:spacing w:val="4"/>
                <w:sz w:val="18"/>
                <w:szCs w:val="18"/>
              </w:rPr>
              <w:t>, etc.), 3)</w:t>
            </w:r>
            <w:r w:rsidRPr="00EB3E5B">
              <w:rPr>
                <w:rFonts w:ascii="Times New Roman" w:hAnsi="Times New Roman" w:cs="Times New Roman"/>
                <w:color w:val="060607"/>
                <w:spacing w:val="4"/>
                <w:sz w:val="18"/>
                <w:szCs w:val="18"/>
              </w:rPr>
              <w:t xml:space="preserve"> </w:t>
            </w:r>
            <w:r w:rsidRPr="00EB3E5B">
              <w:rPr>
                <w:rFonts w:ascii="Times New Roman" w:hAnsi="Times New Roman" w:cs="Times New Roman" w:hint="eastAsia"/>
                <w:color w:val="060607"/>
                <w:spacing w:val="4"/>
                <w:sz w:val="18"/>
                <w:szCs w:val="18"/>
              </w:rPr>
              <w:t>physical activity (Ricci and Gagnon questionnaire), 4)Disease knowledge (</w:t>
            </w:r>
            <w:r w:rsidRPr="00EB3E5B">
              <w:rPr>
                <w:rFonts w:ascii="Times New Roman" w:eastAsia="DengXian" w:hAnsi="Times New Roman" w:cs="Times New Roman"/>
                <w:color w:val="060607"/>
                <w:sz w:val="18"/>
                <w:szCs w:val="18"/>
              </w:rPr>
              <w:t>LKQCHD</w:t>
            </w:r>
            <w:r w:rsidR="007534AD">
              <w:rPr>
                <w:rFonts w:ascii="Times New Roman" w:hAnsi="Times New Roman" w:cs="Times New Roman"/>
                <w:b/>
                <w:bCs/>
                <w:color w:val="060607"/>
                <w:spacing w:val="4"/>
                <w:sz w:val="18"/>
                <w:szCs w:val="18"/>
                <w:vertAlign w:val="superscript"/>
              </w:rPr>
              <w:t>6</w:t>
            </w:r>
            <w:r w:rsidRPr="00EB3E5B">
              <w:rPr>
                <w:rFonts w:ascii="Times New Roman" w:hAnsi="Times New Roman" w:cs="Times New Roman" w:hint="eastAsia"/>
                <w:color w:val="060607"/>
                <w:spacing w:val="4"/>
                <w:sz w:val="18"/>
                <w:szCs w:val="18"/>
              </w:rPr>
              <w:t>), 5)Mental health outcomes (STAI</w:t>
            </w:r>
            <w:r w:rsidR="007534AD">
              <w:rPr>
                <w:rFonts w:ascii="Times New Roman" w:hAnsi="Times New Roman" w:cs="Times New Roman"/>
                <w:b/>
                <w:bCs/>
                <w:color w:val="060607"/>
                <w:spacing w:val="4"/>
                <w:sz w:val="18"/>
                <w:szCs w:val="18"/>
                <w:vertAlign w:val="superscript"/>
              </w:rPr>
              <w:t>7</w:t>
            </w:r>
            <w:r w:rsidRPr="00EB3E5B">
              <w:rPr>
                <w:rFonts w:ascii="Times New Roman" w:hAnsi="Times New Roman" w:cs="Times New Roman" w:hint="eastAsia"/>
                <w:color w:val="060607"/>
                <w:spacing w:val="4"/>
                <w:sz w:val="18"/>
                <w:szCs w:val="18"/>
              </w:rPr>
              <w:t>, CDI/BDI</w:t>
            </w:r>
            <w:r w:rsidR="007534AD">
              <w:rPr>
                <w:rFonts w:ascii="Times New Roman" w:hAnsi="Times New Roman" w:cs="Times New Roman"/>
                <w:b/>
                <w:bCs/>
                <w:color w:val="060607"/>
                <w:spacing w:val="4"/>
                <w:sz w:val="18"/>
                <w:szCs w:val="18"/>
                <w:vertAlign w:val="superscript"/>
              </w:rPr>
              <w:t>8</w:t>
            </w:r>
            <w:r w:rsidRPr="00EB3E5B">
              <w:rPr>
                <w:rFonts w:ascii="Times New Roman" w:hAnsi="Times New Roman" w:cs="Times New Roman" w:hint="eastAsia"/>
                <w:color w:val="060607"/>
                <w:spacing w:val="4"/>
                <w:sz w:val="18"/>
                <w:szCs w:val="18"/>
              </w:rPr>
              <w:t>)</w:t>
            </w:r>
          </w:p>
        </w:tc>
        <w:tc>
          <w:tcPr>
            <w:tcW w:w="1235" w:type="pct"/>
            <w:tcBorders>
              <w:top w:val="single" w:sz="12" w:space="0" w:color="auto"/>
            </w:tcBorders>
            <w:vAlign w:val="center"/>
          </w:tcPr>
          <w:p w14:paraId="34B2CFE1" w14:textId="679D5DCD" w:rsidR="00D16B74" w:rsidRPr="00EB3E5B" w:rsidRDefault="00D16B74" w:rsidP="005D21F7">
            <w:pPr>
              <w:rPr>
                <w:rFonts w:ascii="Times New Roman" w:eastAsia="DengXian" w:hAnsi="Times New Roman" w:cs="Times New Roman"/>
                <w:color w:val="060607"/>
                <w:sz w:val="18"/>
                <w:szCs w:val="18"/>
              </w:rPr>
            </w:pPr>
            <w:bookmarkStart w:id="0" w:name="OLE_LINK1"/>
            <w:r w:rsidRPr="00EB3E5B">
              <w:rPr>
                <w:rFonts w:ascii="Times New Roman" w:hAnsi="Times New Roman" w:cs="Times New Roman" w:hint="eastAsia"/>
                <w:color w:val="060607"/>
                <w:spacing w:val="4"/>
                <w:sz w:val="18"/>
                <w:szCs w:val="18"/>
                <w:shd w:val="clear" w:color="auto" w:fill="FFFFFF"/>
              </w:rPr>
              <w:t>The hybrid cardiac rehabilitation program significantly improved HRQoL, BMI, physical activity levels, and disease knowledge in adolescents and young adults with CHD. The program was well-accepted and safe, with long-term benefits observed at 12-month follow-up. This early intervention approach has the potential to be implemented in routine care for CHD patients and other chronic illnesses with impaired cardiopulmonary fitness.</w:t>
            </w:r>
            <w:bookmarkEnd w:id="0"/>
          </w:p>
        </w:tc>
      </w:tr>
      <w:tr w:rsidR="00D16B74" w:rsidRPr="00EB3E5B" w14:paraId="096310EC" w14:textId="77777777" w:rsidTr="00472F34">
        <w:trPr>
          <w:trHeight w:val="2489"/>
          <w:jc w:val="center"/>
        </w:trPr>
        <w:tc>
          <w:tcPr>
            <w:tcW w:w="216" w:type="pct"/>
            <w:vAlign w:val="center"/>
          </w:tcPr>
          <w:p w14:paraId="39D3A78A"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2</w:t>
            </w:r>
          </w:p>
        </w:tc>
        <w:tc>
          <w:tcPr>
            <w:tcW w:w="430" w:type="pct"/>
            <w:vAlign w:val="center"/>
          </w:tcPr>
          <w:p w14:paraId="07CF3706" w14:textId="77777777" w:rsidR="00D16B74" w:rsidRPr="00EB3E5B" w:rsidRDefault="00D16B74" w:rsidP="005D21F7">
            <w:pPr>
              <w:rPr>
                <w:rFonts w:ascii="Times New Roman" w:eastAsia="DengXian" w:hAnsi="Times New Roman" w:cs="Times New Roman"/>
                <w:color w:val="000000"/>
                <w:sz w:val="18"/>
                <w:szCs w:val="18"/>
              </w:rPr>
            </w:pPr>
            <w:proofErr w:type="spellStart"/>
            <w:r w:rsidRPr="00EB3E5B">
              <w:rPr>
                <w:rFonts w:ascii="Times New Roman" w:eastAsia="DengXian" w:hAnsi="Times New Roman" w:cs="Times New Roman"/>
                <w:color w:val="000000"/>
                <w:sz w:val="18"/>
                <w:szCs w:val="18"/>
              </w:rPr>
              <w:t>Bredy</w:t>
            </w:r>
            <w:proofErr w:type="spellEnd"/>
            <w:r w:rsidRPr="00EB3E5B">
              <w:rPr>
                <w:rFonts w:ascii="Times New Roman" w:eastAsia="DengXian" w:hAnsi="Times New Roman" w:cs="Times New Roman"/>
                <w:color w:val="000000"/>
                <w:sz w:val="18"/>
                <w:szCs w:val="18"/>
              </w:rPr>
              <w:t xml:space="preserve"> et al. (2024)</w:t>
            </w:r>
          </w:p>
          <w:p w14:paraId="337E8525"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France</w:t>
            </w:r>
          </w:p>
        </w:tc>
        <w:tc>
          <w:tcPr>
            <w:tcW w:w="321" w:type="pct"/>
            <w:vAlign w:val="center"/>
          </w:tcPr>
          <w:p w14:paraId="17C6BD7A"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3E5FAD6A"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To evaluate the impact of a transition program on the HRQoL for adolescents and young adults with CHD</w:t>
            </w:r>
          </w:p>
        </w:tc>
        <w:tc>
          <w:tcPr>
            <w:tcW w:w="1074" w:type="pct"/>
            <w:vAlign w:val="center"/>
          </w:tcPr>
          <w:p w14:paraId="2178ACAE" w14:textId="177BCBD5"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Transition program, including educational outpatient visits, group meetings, and transition preparation outpatient visits</w:t>
            </w:r>
          </w:p>
        </w:tc>
        <w:tc>
          <w:tcPr>
            <w:tcW w:w="916" w:type="pct"/>
            <w:vAlign w:val="center"/>
          </w:tcPr>
          <w:p w14:paraId="45AE544C"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 xml:space="preserve">The change in disease knowledge (LKQCHD), </w:t>
            </w:r>
          </w:p>
          <w:p w14:paraId="4BE4C38C" w14:textId="3B86BD76"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cardiovascular health (NYHA</w:t>
            </w:r>
            <w:r w:rsidR="001A2A22">
              <w:rPr>
                <w:rFonts w:ascii="Times New Roman" w:hAnsi="Times New Roman" w:cs="Times New Roman"/>
                <w:b/>
                <w:bCs/>
                <w:color w:val="060607"/>
                <w:spacing w:val="4"/>
                <w:sz w:val="18"/>
                <w:szCs w:val="18"/>
                <w:vertAlign w:val="superscript"/>
              </w:rPr>
              <w:t>10</w:t>
            </w:r>
            <w:r w:rsidRPr="00EB3E5B">
              <w:rPr>
                <w:rFonts w:ascii="Times New Roman" w:eastAsia="DengXian" w:hAnsi="Times New Roman" w:cs="Times New Roman"/>
                <w:color w:val="060607"/>
                <w:sz w:val="18"/>
                <w:szCs w:val="18"/>
              </w:rPr>
              <w:t xml:space="preserve"> functional</w:t>
            </w:r>
          </w:p>
          <w:p w14:paraId="222EA6D5"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class, healthcare usage and medication)</w:t>
            </w:r>
          </w:p>
          <w:p w14:paraId="72C2EC1A" w14:textId="66C9975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physical health (CPET, VAT and VE</w:t>
            </w:r>
            <w:r w:rsidR="001966D3">
              <w:rPr>
                <w:rFonts w:ascii="Times New Roman" w:hAnsi="Times New Roman" w:cs="Times New Roman"/>
                <w:b/>
                <w:bCs/>
                <w:color w:val="060607"/>
                <w:spacing w:val="4"/>
                <w:sz w:val="18"/>
                <w:szCs w:val="18"/>
                <w:vertAlign w:val="superscript"/>
              </w:rPr>
              <w:t>11</w:t>
            </w:r>
            <w:r w:rsidRPr="00EB3E5B">
              <w:rPr>
                <w:rFonts w:ascii="Times New Roman" w:eastAsia="DengXian" w:hAnsi="Times New Roman" w:cs="Times New Roman"/>
                <w:color w:val="060607"/>
                <w:sz w:val="18"/>
                <w:szCs w:val="18"/>
              </w:rPr>
              <w:t>)</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and mental health (</w:t>
            </w:r>
            <w:r w:rsidRPr="00EB3E5B">
              <w:rPr>
                <w:rFonts w:ascii="Times New Roman" w:hAnsi="Times New Roman" w:cs="Times New Roman" w:hint="eastAsia"/>
                <w:color w:val="060607"/>
                <w:spacing w:val="4"/>
                <w:sz w:val="18"/>
                <w:szCs w:val="18"/>
              </w:rPr>
              <w:t>STAI</w:t>
            </w:r>
            <w:r w:rsidRPr="00EB3E5B">
              <w:rPr>
                <w:rFonts w:ascii="Times New Roman" w:hAnsi="Times New Roman" w:cs="Times New Roman"/>
                <w:color w:val="060607"/>
                <w:spacing w:val="4"/>
                <w:sz w:val="18"/>
                <w:szCs w:val="18"/>
              </w:rPr>
              <w:t>/STAI-C</w:t>
            </w:r>
            <w:r w:rsidR="001966D3">
              <w:rPr>
                <w:rFonts w:ascii="Times New Roman" w:hAnsi="Times New Roman" w:cs="Times New Roman"/>
                <w:b/>
                <w:bCs/>
                <w:color w:val="060607"/>
                <w:spacing w:val="4"/>
                <w:sz w:val="18"/>
                <w:szCs w:val="18"/>
                <w:vertAlign w:val="superscript"/>
              </w:rPr>
              <w:t>1</w:t>
            </w:r>
            <w:r w:rsidR="001966D3">
              <w:rPr>
                <w:rFonts w:ascii="Times New Roman" w:hAnsi="Times New Roman" w:cs="Times New Roman"/>
                <w:b/>
                <w:bCs/>
                <w:color w:val="060607"/>
                <w:spacing w:val="4"/>
                <w:sz w:val="18"/>
                <w:szCs w:val="18"/>
                <w:vertAlign w:val="superscript"/>
              </w:rPr>
              <w:t>2</w:t>
            </w:r>
            <w:r w:rsidRPr="00EB3E5B">
              <w:rPr>
                <w:rFonts w:ascii="Times New Roman" w:hAnsi="Times New Roman" w:cs="Times New Roman"/>
                <w:color w:val="060607"/>
                <w:spacing w:val="4"/>
                <w:sz w:val="18"/>
                <w:szCs w:val="18"/>
              </w:rPr>
              <w:t xml:space="preserve">, </w:t>
            </w:r>
            <w:r w:rsidRPr="00EB3E5B">
              <w:rPr>
                <w:rFonts w:ascii="Times New Roman" w:eastAsia="DengXian" w:hAnsi="Times New Roman" w:cs="Times New Roman"/>
                <w:color w:val="060607"/>
                <w:sz w:val="18"/>
                <w:szCs w:val="18"/>
              </w:rPr>
              <w:t>BDI</w:t>
            </w:r>
            <w:r w:rsidR="001966D3">
              <w:rPr>
                <w:rFonts w:ascii="Times New Roman" w:hAnsi="Times New Roman" w:cs="Times New Roman"/>
                <w:b/>
                <w:bCs/>
                <w:color w:val="060607"/>
                <w:spacing w:val="4"/>
                <w:sz w:val="18"/>
                <w:szCs w:val="18"/>
                <w:vertAlign w:val="superscript"/>
              </w:rPr>
              <w:t>1</w:t>
            </w:r>
            <w:r w:rsidR="001966D3">
              <w:rPr>
                <w:rFonts w:ascii="Times New Roman" w:hAnsi="Times New Roman" w:cs="Times New Roman"/>
                <w:b/>
                <w:bCs/>
                <w:color w:val="060607"/>
                <w:spacing w:val="4"/>
                <w:sz w:val="18"/>
                <w:szCs w:val="18"/>
                <w:vertAlign w:val="superscript"/>
              </w:rPr>
              <w:t>3</w:t>
            </w:r>
            <w:r w:rsidRPr="00EB3E5B">
              <w:rPr>
                <w:rFonts w:ascii="Times New Roman" w:eastAsia="DengXian" w:hAnsi="Times New Roman" w:cs="Times New Roman" w:hint="eastAsia"/>
                <w:color w:val="060607"/>
                <w:sz w:val="18"/>
                <w:szCs w:val="18"/>
              </w:rPr>
              <w:t>/</w:t>
            </w:r>
            <w:r w:rsidRPr="00EB3E5B">
              <w:rPr>
                <w:rFonts w:ascii="Times New Roman" w:eastAsia="DengXian" w:hAnsi="Times New Roman" w:cs="Times New Roman"/>
                <w:color w:val="060607"/>
                <w:sz w:val="18"/>
                <w:szCs w:val="18"/>
              </w:rPr>
              <w:t>CDI</w:t>
            </w:r>
            <w:r w:rsidR="001966D3">
              <w:rPr>
                <w:rFonts w:ascii="Times New Roman" w:hAnsi="Times New Roman" w:cs="Times New Roman"/>
                <w:b/>
                <w:bCs/>
                <w:color w:val="060607"/>
                <w:spacing w:val="4"/>
                <w:sz w:val="18"/>
                <w:szCs w:val="18"/>
                <w:vertAlign w:val="superscript"/>
              </w:rPr>
              <w:t>1</w:t>
            </w:r>
            <w:r w:rsidR="001966D3">
              <w:rPr>
                <w:rFonts w:ascii="Times New Roman" w:hAnsi="Times New Roman" w:cs="Times New Roman"/>
                <w:b/>
                <w:bCs/>
                <w:color w:val="060607"/>
                <w:spacing w:val="4"/>
                <w:sz w:val="18"/>
                <w:szCs w:val="18"/>
                <w:vertAlign w:val="superscript"/>
              </w:rPr>
              <w:t>4</w:t>
            </w:r>
            <w:r w:rsidRPr="00EB3E5B">
              <w:rPr>
                <w:rFonts w:ascii="Times New Roman" w:eastAsia="DengXian" w:hAnsi="Times New Roman" w:cs="Times New Roman"/>
                <w:color w:val="060607"/>
                <w:sz w:val="18"/>
                <w:szCs w:val="18"/>
              </w:rPr>
              <w:t>)</w:t>
            </w:r>
          </w:p>
        </w:tc>
        <w:tc>
          <w:tcPr>
            <w:tcW w:w="1235" w:type="pct"/>
            <w:vAlign w:val="center"/>
          </w:tcPr>
          <w:p w14:paraId="3AE8A086"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The TRANSITION-CHD program improved HRQoL and disease knowledge in adolescents and young adults with CHD, supporting the generalization and systematization of similar</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preventive interventions in pediatric and congenital cardiology.</w:t>
            </w:r>
          </w:p>
        </w:tc>
      </w:tr>
      <w:tr w:rsidR="00D16B74" w:rsidRPr="00EB3E5B" w14:paraId="19AB8C94" w14:textId="77777777" w:rsidTr="00472F34">
        <w:trPr>
          <w:trHeight w:val="624"/>
          <w:jc w:val="center"/>
        </w:trPr>
        <w:tc>
          <w:tcPr>
            <w:tcW w:w="216" w:type="pct"/>
            <w:vAlign w:val="center"/>
          </w:tcPr>
          <w:p w14:paraId="388CD1DA" w14:textId="77777777" w:rsidR="00D16B74" w:rsidRPr="00EB3E5B" w:rsidRDefault="00D16B74" w:rsidP="005D21F7">
            <w:pPr>
              <w:jc w:val="center"/>
              <w:rPr>
                <w:rFonts w:ascii="Times New Roman" w:hAnsi="Times New Roman" w:cs="Times New Roman"/>
                <w:sz w:val="18"/>
                <w:szCs w:val="18"/>
              </w:rPr>
            </w:pPr>
            <w:r w:rsidRPr="00EB3E5B">
              <w:rPr>
                <w:rFonts w:ascii="Times New Roman" w:hAnsi="Times New Roman" w:cs="Times New Roman" w:hint="eastAsia"/>
                <w:sz w:val="18"/>
                <w:szCs w:val="18"/>
              </w:rPr>
              <w:t>3</w:t>
            </w:r>
          </w:p>
        </w:tc>
        <w:tc>
          <w:tcPr>
            <w:tcW w:w="430" w:type="pct"/>
            <w:vAlign w:val="center"/>
          </w:tcPr>
          <w:p w14:paraId="0D5B60CE" w14:textId="77777777" w:rsidR="00D16B74" w:rsidRPr="00EB3E5B" w:rsidRDefault="00D16B74" w:rsidP="005D21F7">
            <w:pPr>
              <w:rPr>
                <w:rFonts w:ascii="Times New Roman" w:hAnsi="Times New Roman" w:cs="Times New Roman"/>
                <w:sz w:val="18"/>
                <w:szCs w:val="18"/>
              </w:rPr>
            </w:pPr>
            <w:r w:rsidRPr="00EB3E5B">
              <w:rPr>
                <w:rFonts w:ascii="Times New Roman" w:hAnsi="Times New Roman" w:cs="Times New Roman"/>
                <w:sz w:val="18"/>
                <w:szCs w:val="18"/>
              </w:rPr>
              <w:t xml:space="preserve">Duffer </w:t>
            </w:r>
            <w:proofErr w:type="gramStart"/>
            <w:r w:rsidRPr="00EB3E5B">
              <w:rPr>
                <w:rFonts w:ascii="Times New Roman" w:hAnsi="Times New Roman" w:cs="Times New Roman"/>
                <w:sz w:val="18"/>
                <w:szCs w:val="18"/>
              </w:rPr>
              <w:t>et al.</w:t>
            </w:r>
            <w:r w:rsidRPr="00EB3E5B">
              <w:rPr>
                <w:rFonts w:ascii="Times New Roman" w:hAnsi="Times New Roman" w:cs="Times New Roman"/>
                <w:sz w:val="18"/>
                <w:szCs w:val="18"/>
                <w:vertAlign w:val="superscript"/>
              </w:rPr>
              <w:t>(</w:t>
            </w:r>
            <w:proofErr w:type="gramEnd"/>
            <w:r w:rsidRPr="00EB3E5B">
              <w:rPr>
                <w:rFonts w:ascii="Times New Roman" w:hAnsi="Times New Roman" w:cs="Times New Roman"/>
                <w:sz w:val="18"/>
                <w:szCs w:val="18"/>
                <w:vertAlign w:val="superscript"/>
              </w:rPr>
              <w:t>1)</w:t>
            </w:r>
            <w:r w:rsidRPr="00EB3E5B">
              <w:rPr>
                <w:rFonts w:ascii="Times New Roman" w:hAnsi="Times New Roman" w:cs="Times New Roman"/>
                <w:sz w:val="18"/>
                <w:szCs w:val="18"/>
              </w:rPr>
              <w:t xml:space="preserve"> (2014)</w:t>
            </w:r>
          </w:p>
          <w:p w14:paraId="059D72B1" w14:textId="77777777" w:rsidR="00D16B74" w:rsidRPr="00EB3E5B" w:rsidRDefault="00D16B74" w:rsidP="005D21F7">
            <w:pPr>
              <w:rPr>
                <w:rFonts w:ascii="Times New Roman" w:eastAsia="DengXian" w:hAnsi="Times New Roman" w:cs="Times New Roman"/>
                <w:sz w:val="18"/>
                <w:szCs w:val="18"/>
              </w:rPr>
            </w:pPr>
            <w:r w:rsidRPr="00EB3E5B">
              <w:rPr>
                <w:rFonts w:ascii="Times New Roman" w:hAnsi="Times New Roman" w:cs="Times New Roman"/>
                <w:sz w:val="18"/>
                <w:szCs w:val="18"/>
              </w:rPr>
              <w:t>Netherlands</w:t>
            </w:r>
          </w:p>
        </w:tc>
        <w:tc>
          <w:tcPr>
            <w:tcW w:w="321" w:type="pct"/>
            <w:vAlign w:val="center"/>
          </w:tcPr>
          <w:p w14:paraId="04459817" w14:textId="77777777" w:rsidR="00D16B74" w:rsidRPr="00EB3E5B" w:rsidRDefault="00D16B74" w:rsidP="005D21F7">
            <w:pPr>
              <w:rPr>
                <w:rFonts w:ascii="Times New Roman" w:eastAsia="DengXian" w:hAnsi="Times New Roman" w:cs="Times New Roman"/>
                <w:sz w:val="18"/>
                <w:szCs w:val="18"/>
              </w:rPr>
            </w:pPr>
            <w:r w:rsidRPr="00EB3E5B">
              <w:rPr>
                <w:rFonts w:ascii="Times New Roman" w:hAnsi="Times New Roman" w:cs="Times New Roman"/>
                <w:sz w:val="18"/>
                <w:szCs w:val="18"/>
              </w:rPr>
              <w:t>RCT</w:t>
            </w:r>
          </w:p>
        </w:tc>
        <w:tc>
          <w:tcPr>
            <w:tcW w:w="809" w:type="pct"/>
            <w:vAlign w:val="center"/>
          </w:tcPr>
          <w:p w14:paraId="7CE86F23" w14:textId="5F2059CC" w:rsidR="00D16B74" w:rsidRPr="00EB3E5B" w:rsidRDefault="00D16B74" w:rsidP="005D21F7">
            <w:pPr>
              <w:rPr>
                <w:rFonts w:ascii="Times New Roman" w:eastAsia="DengXian" w:hAnsi="Times New Roman" w:cs="Times New Roman"/>
                <w:sz w:val="18"/>
                <w:szCs w:val="18"/>
              </w:rPr>
            </w:pPr>
            <w:r w:rsidRPr="00EB3E5B">
              <w:rPr>
                <w:rFonts w:ascii="Times New Roman" w:eastAsia="DengXian" w:hAnsi="Times New Roman" w:cs="Times New Roman"/>
                <w:sz w:val="18"/>
                <w:szCs w:val="18"/>
              </w:rPr>
              <w:t>To evaluate the effects of a 12-week standardized exercise program on sports enjoyment and leisure-time spending in adolescents with CHD and examine the moderating role of baseline health behavior and disease knowledge.</w:t>
            </w:r>
          </w:p>
        </w:tc>
        <w:tc>
          <w:tcPr>
            <w:tcW w:w="1074" w:type="pct"/>
            <w:vAlign w:val="center"/>
          </w:tcPr>
          <w:p w14:paraId="1E553C98" w14:textId="680D1C82" w:rsidR="00D16B74" w:rsidRPr="00EB3E5B" w:rsidRDefault="00D16B74" w:rsidP="005D21F7">
            <w:pPr>
              <w:rPr>
                <w:rFonts w:ascii="Times New Roman" w:eastAsia="DengXian" w:hAnsi="Times New Roman" w:cs="Times New Roman"/>
                <w:sz w:val="18"/>
                <w:szCs w:val="18"/>
              </w:rPr>
            </w:pPr>
            <w:r w:rsidRPr="00EB3E5B">
              <w:rPr>
                <w:rFonts w:ascii="Times New Roman" w:hAnsi="Times New Roman" w:cs="Times New Roman"/>
                <w:sz w:val="18"/>
                <w:szCs w:val="18"/>
              </w:rPr>
              <w:t>12-week program with three 1-hour weekly sessions (aerobic training)</w:t>
            </w:r>
          </w:p>
        </w:tc>
        <w:tc>
          <w:tcPr>
            <w:tcW w:w="916" w:type="pct"/>
            <w:vAlign w:val="center"/>
          </w:tcPr>
          <w:p w14:paraId="5FA0BE64" w14:textId="1814DC1A" w:rsidR="00D16B74" w:rsidRPr="00EB3E5B" w:rsidRDefault="00D16B74" w:rsidP="005D21F7">
            <w:pPr>
              <w:rPr>
                <w:rFonts w:ascii="Times New Roman" w:eastAsia="DengXian" w:hAnsi="Times New Roman" w:cs="Times New Roman"/>
                <w:sz w:val="18"/>
                <w:szCs w:val="18"/>
              </w:rPr>
            </w:pPr>
            <w:r w:rsidRPr="00EB3E5B">
              <w:rPr>
                <w:rFonts w:ascii="Times New Roman" w:eastAsia="DengXian" w:hAnsi="Times New Roman" w:cs="Times New Roman"/>
                <w:sz w:val="18"/>
                <w:szCs w:val="18"/>
              </w:rPr>
              <w:t>Health behavior (RHBQ</w:t>
            </w:r>
            <w:r w:rsidR="009C7E6C">
              <w:rPr>
                <w:rFonts w:ascii="Times New Roman" w:hAnsi="Times New Roman" w:cs="Times New Roman"/>
                <w:b/>
                <w:bCs/>
                <w:color w:val="060607"/>
                <w:spacing w:val="4"/>
                <w:sz w:val="18"/>
                <w:szCs w:val="18"/>
                <w:vertAlign w:val="superscript"/>
              </w:rPr>
              <w:t>1</w:t>
            </w:r>
            <w:r w:rsidR="009C7E6C">
              <w:rPr>
                <w:rFonts w:ascii="Times New Roman" w:hAnsi="Times New Roman" w:cs="Times New Roman"/>
                <w:b/>
                <w:bCs/>
                <w:color w:val="060607"/>
                <w:spacing w:val="4"/>
                <w:sz w:val="18"/>
                <w:szCs w:val="18"/>
                <w:vertAlign w:val="superscript"/>
              </w:rPr>
              <w:t>5</w:t>
            </w:r>
            <w:r w:rsidRPr="00EB3E5B">
              <w:rPr>
                <w:rFonts w:ascii="Times New Roman" w:eastAsia="DengXian" w:hAnsi="Times New Roman" w:cs="Times New Roman"/>
                <w:sz w:val="18"/>
                <w:szCs w:val="18"/>
              </w:rPr>
              <w:t>), knowledge about CHD (RKQ</w:t>
            </w:r>
            <w:r w:rsidR="009C7E6C">
              <w:rPr>
                <w:rFonts w:ascii="Times New Roman" w:hAnsi="Times New Roman" w:cs="Times New Roman"/>
                <w:b/>
                <w:bCs/>
                <w:color w:val="060607"/>
                <w:spacing w:val="4"/>
                <w:sz w:val="18"/>
                <w:szCs w:val="18"/>
                <w:vertAlign w:val="superscript"/>
              </w:rPr>
              <w:t>1</w:t>
            </w:r>
            <w:r w:rsidR="009C7E6C">
              <w:rPr>
                <w:rFonts w:ascii="Times New Roman" w:hAnsi="Times New Roman" w:cs="Times New Roman"/>
                <w:b/>
                <w:bCs/>
                <w:color w:val="060607"/>
                <w:spacing w:val="4"/>
                <w:sz w:val="18"/>
                <w:szCs w:val="18"/>
                <w:vertAlign w:val="superscript"/>
              </w:rPr>
              <w:t>6</w:t>
            </w:r>
            <w:r w:rsidRPr="00EB3E5B">
              <w:rPr>
                <w:rFonts w:ascii="Times New Roman" w:eastAsia="DengXian" w:hAnsi="Times New Roman" w:cs="Times New Roman"/>
                <w:sz w:val="18"/>
                <w:szCs w:val="18"/>
              </w:rPr>
              <w:t>)</w:t>
            </w:r>
          </w:p>
        </w:tc>
        <w:tc>
          <w:tcPr>
            <w:tcW w:w="1235" w:type="pct"/>
            <w:vAlign w:val="center"/>
          </w:tcPr>
          <w:p w14:paraId="34B4DDBE" w14:textId="77777777" w:rsidR="00D16B74" w:rsidRPr="00EB3E5B" w:rsidRDefault="00D16B74" w:rsidP="005D21F7">
            <w:pPr>
              <w:rPr>
                <w:rFonts w:ascii="Times New Roman" w:eastAsia="DengXian" w:hAnsi="Times New Roman" w:cs="Times New Roman"/>
                <w:sz w:val="18"/>
                <w:szCs w:val="18"/>
              </w:rPr>
            </w:pPr>
            <w:r w:rsidRPr="00EB3E5B">
              <w:rPr>
                <w:rFonts w:ascii="Times New Roman" w:eastAsia="DengXian" w:hAnsi="Times New Roman" w:cs="Times New Roman"/>
                <w:sz w:val="18"/>
                <w:szCs w:val="18"/>
              </w:rPr>
              <w:t>The exercise program reduced passive leisure-time spending, but did not improve sports enjoyment or active leisure-time spending. Disease knowledge moderated improvements in sports enjoyment, Participants reported lower smoking (4%) and alcohol use (24%) compared to normative data (20% and 70%, respectively). Tailoring exercise programs to adolescents’ social needs and improving disease knowledge were highlighted for future interventions.</w:t>
            </w:r>
          </w:p>
        </w:tc>
      </w:tr>
      <w:tr w:rsidR="00D16B74" w:rsidRPr="00EB3E5B" w14:paraId="230A3509" w14:textId="77777777" w:rsidTr="00472F34">
        <w:trPr>
          <w:trHeight w:val="624"/>
          <w:jc w:val="center"/>
        </w:trPr>
        <w:tc>
          <w:tcPr>
            <w:tcW w:w="216" w:type="pct"/>
            <w:vAlign w:val="center"/>
          </w:tcPr>
          <w:p w14:paraId="653CD956"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4</w:t>
            </w:r>
          </w:p>
        </w:tc>
        <w:tc>
          <w:tcPr>
            <w:tcW w:w="430" w:type="pct"/>
            <w:vAlign w:val="center"/>
          </w:tcPr>
          <w:p w14:paraId="6A6AB4B2"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 xml:space="preserve">Dulfer </w:t>
            </w:r>
            <w:proofErr w:type="gramStart"/>
            <w:r w:rsidRPr="00EB3E5B">
              <w:rPr>
                <w:rFonts w:ascii="Times New Roman" w:eastAsia="DengXian" w:hAnsi="Times New Roman" w:cs="Times New Roman"/>
                <w:color w:val="000000"/>
                <w:sz w:val="18"/>
                <w:szCs w:val="18"/>
              </w:rPr>
              <w:t>et al.</w:t>
            </w:r>
            <w:r w:rsidRPr="00EB3E5B">
              <w:rPr>
                <w:rFonts w:ascii="system-ui" w:hAnsi="system-ui"/>
                <w:color w:val="404040"/>
                <w:sz w:val="18"/>
                <w:szCs w:val="18"/>
                <w:vertAlign w:val="superscript"/>
              </w:rPr>
              <w:t>(</w:t>
            </w:r>
            <w:proofErr w:type="gramEnd"/>
            <w:r w:rsidRPr="00EB3E5B">
              <w:rPr>
                <w:rFonts w:ascii="system-ui" w:hAnsi="system-ui"/>
                <w:color w:val="404040"/>
                <w:sz w:val="18"/>
                <w:szCs w:val="18"/>
                <w:vertAlign w:val="superscript"/>
              </w:rPr>
              <w:t>2)</w:t>
            </w:r>
            <w:r w:rsidRPr="00EB3E5B">
              <w:rPr>
                <w:rFonts w:ascii="system-ui" w:hAnsi="system-ui"/>
                <w:color w:val="404040"/>
                <w:sz w:val="18"/>
                <w:szCs w:val="18"/>
              </w:rPr>
              <w:t xml:space="preserve"> </w:t>
            </w:r>
            <w:r w:rsidRPr="00EB3E5B">
              <w:rPr>
                <w:rFonts w:ascii="Times New Roman" w:eastAsia="DengXian" w:hAnsi="Times New Roman" w:cs="Times New Roman"/>
                <w:color w:val="000000"/>
                <w:sz w:val="18"/>
                <w:szCs w:val="18"/>
              </w:rPr>
              <w:t>(2014)</w:t>
            </w:r>
          </w:p>
          <w:p w14:paraId="1AA3058E"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Netherlands</w:t>
            </w:r>
          </w:p>
        </w:tc>
        <w:tc>
          <w:tcPr>
            <w:tcW w:w="321" w:type="pct"/>
            <w:vAlign w:val="center"/>
          </w:tcPr>
          <w:p w14:paraId="7B18D9D8"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036A3BB1" w14:textId="3AEBEC6A"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To evaluate the impact of an exercise program on the HRQoL of children and adolescents with ToF</w:t>
            </w:r>
            <w:r w:rsidR="009C7E6C">
              <w:rPr>
                <w:rFonts w:ascii="Times New Roman" w:hAnsi="Times New Roman" w:cs="Times New Roman"/>
                <w:b/>
                <w:bCs/>
                <w:color w:val="060607"/>
                <w:spacing w:val="4"/>
                <w:sz w:val="18"/>
                <w:szCs w:val="18"/>
                <w:vertAlign w:val="superscript"/>
              </w:rPr>
              <w:t>1</w:t>
            </w:r>
            <w:r w:rsidR="009C7E6C">
              <w:rPr>
                <w:rFonts w:ascii="Times New Roman" w:hAnsi="Times New Roman" w:cs="Times New Roman"/>
                <w:b/>
                <w:bCs/>
                <w:color w:val="060607"/>
                <w:spacing w:val="4"/>
                <w:sz w:val="18"/>
                <w:szCs w:val="18"/>
                <w:vertAlign w:val="superscript"/>
              </w:rPr>
              <w:t>7</w:t>
            </w:r>
            <w:r w:rsidRPr="00EB3E5B">
              <w:rPr>
                <w:rFonts w:ascii="Times New Roman" w:eastAsia="DengXian" w:hAnsi="Times New Roman" w:cs="Times New Roman"/>
                <w:color w:val="000000"/>
                <w:sz w:val="18"/>
                <w:szCs w:val="18"/>
              </w:rPr>
              <w:t xml:space="preserve"> or Fontan circulation.</w:t>
            </w:r>
          </w:p>
        </w:tc>
        <w:tc>
          <w:tcPr>
            <w:tcW w:w="1074" w:type="pct"/>
            <w:vAlign w:val="center"/>
          </w:tcPr>
          <w:p w14:paraId="5C255715" w14:textId="0865DAB4"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A 12-week exercise program with three 1-hour sessions per week for 3 months</w:t>
            </w:r>
          </w:p>
        </w:tc>
        <w:tc>
          <w:tcPr>
            <w:tcW w:w="916" w:type="pct"/>
            <w:vAlign w:val="center"/>
          </w:tcPr>
          <w:p w14:paraId="229B95CD"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w:t>
            </w:r>
          </w:p>
        </w:tc>
        <w:tc>
          <w:tcPr>
            <w:tcW w:w="1235" w:type="pct"/>
            <w:vAlign w:val="center"/>
          </w:tcPr>
          <w:p w14:paraId="45CEA12E" w14:textId="26383FB1"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 xml:space="preserve">Participation in an exercise program improved HRQoL of children with ToF or a Fontan circulation, especially in those with low baseline </w:t>
            </w:r>
            <w:r w:rsidR="00676BAC">
              <w:rPr>
                <w:rFonts w:ascii="Times New Roman" w:eastAsia="DengXian" w:hAnsi="Times New Roman" w:cs="Times New Roman" w:hint="eastAsia"/>
                <w:color w:val="060607"/>
                <w:sz w:val="18"/>
                <w:szCs w:val="18"/>
              </w:rPr>
              <w:t>quality</w:t>
            </w:r>
            <w:r w:rsidR="00676BAC">
              <w:rPr>
                <w:rFonts w:ascii="Times New Roman" w:eastAsia="DengXian" w:hAnsi="Times New Roman" w:cs="Times New Roman"/>
                <w:color w:val="060607"/>
                <w:sz w:val="18"/>
                <w:szCs w:val="18"/>
              </w:rPr>
              <w:t xml:space="preserve"> of life</w:t>
            </w:r>
            <w:r w:rsidRPr="00EB3E5B">
              <w:rPr>
                <w:rFonts w:ascii="Times New Roman" w:eastAsia="DengXian" w:hAnsi="Times New Roman" w:cs="Times New Roman"/>
                <w:color w:val="060607"/>
                <w:sz w:val="18"/>
                <w:szCs w:val="18"/>
              </w:rPr>
              <w:t>.</w:t>
            </w:r>
          </w:p>
        </w:tc>
      </w:tr>
      <w:tr w:rsidR="00D16B74" w:rsidRPr="00EB3E5B" w14:paraId="75FD28ED" w14:textId="77777777" w:rsidTr="00472F34">
        <w:trPr>
          <w:trHeight w:val="624"/>
          <w:jc w:val="center"/>
        </w:trPr>
        <w:tc>
          <w:tcPr>
            <w:tcW w:w="216" w:type="pct"/>
            <w:vAlign w:val="center"/>
          </w:tcPr>
          <w:p w14:paraId="59A14D25"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5</w:t>
            </w:r>
          </w:p>
        </w:tc>
        <w:tc>
          <w:tcPr>
            <w:tcW w:w="430" w:type="pct"/>
            <w:vAlign w:val="center"/>
          </w:tcPr>
          <w:p w14:paraId="1C196B18"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Han et al. (2023)</w:t>
            </w:r>
          </w:p>
          <w:p w14:paraId="162E4BB7"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Canada</w:t>
            </w:r>
          </w:p>
        </w:tc>
        <w:tc>
          <w:tcPr>
            <w:tcW w:w="321" w:type="pct"/>
            <w:vAlign w:val="center"/>
          </w:tcPr>
          <w:p w14:paraId="091B76B6"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7DA5E5AD"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Just TRAC it! is a method of using existing smartphone</w:t>
            </w:r>
          </w:p>
          <w:p w14:paraId="60691B93"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 xml:space="preserve">features to manage personal health We </w:t>
            </w:r>
            <w:r w:rsidRPr="00EB3E5B">
              <w:rPr>
                <w:rFonts w:ascii="Times New Roman" w:eastAsia="DengXian" w:hAnsi="Times New Roman" w:cs="Times New Roman"/>
                <w:color w:val="060607"/>
                <w:sz w:val="18"/>
                <w:szCs w:val="18"/>
              </w:rPr>
              <w:t>evaluated the impact</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of Just TRAC it! on self-management skills.</w:t>
            </w:r>
          </w:p>
        </w:tc>
        <w:tc>
          <w:tcPr>
            <w:tcW w:w="1074" w:type="pct"/>
            <w:vAlign w:val="center"/>
          </w:tcPr>
          <w:p w14:paraId="4D39EF8A" w14:textId="4F0C19A9"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The intervention group underwent Just TRAC it! educational sessions</w:t>
            </w:r>
          </w:p>
        </w:tc>
        <w:tc>
          <w:tcPr>
            <w:tcW w:w="916" w:type="pct"/>
            <w:vAlign w:val="center"/>
          </w:tcPr>
          <w:p w14:paraId="1779DD52"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00000"/>
                <w:sz w:val="18"/>
                <w:szCs w:val="18"/>
              </w:rPr>
              <w:t>Assessment of the frequency of use and perceived usefulness of Just TRAC it! (custom-made questionnaire)</w:t>
            </w:r>
          </w:p>
        </w:tc>
        <w:tc>
          <w:tcPr>
            <w:tcW w:w="1235" w:type="pct"/>
            <w:vAlign w:val="center"/>
          </w:tcPr>
          <w:p w14:paraId="392C5D1E"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“Just TRAC it!” is a simple, low-cost health intervention with the help of the app for adolescents in transition. However, adolescents may not reach their full potential in managing their health and may have difficulty managing themselves.</w:t>
            </w:r>
          </w:p>
        </w:tc>
      </w:tr>
      <w:tr w:rsidR="00D16B74" w:rsidRPr="00EB3E5B" w14:paraId="6D6C35C1" w14:textId="77777777" w:rsidTr="00472F34">
        <w:trPr>
          <w:trHeight w:val="76"/>
          <w:jc w:val="center"/>
        </w:trPr>
        <w:tc>
          <w:tcPr>
            <w:tcW w:w="216" w:type="pct"/>
            <w:vAlign w:val="center"/>
          </w:tcPr>
          <w:p w14:paraId="0C1814EC" w14:textId="77777777" w:rsidR="00D16B74" w:rsidRPr="00EB3E5B" w:rsidRDefault="00D16B74" w:rsidP="005D21F7">
            <w:pPr>
              <w:jc w:val="center"/>
              <w:rPr>
                <w:rFonts w:ascii="Times New Roman" w:hAnsi="Times New Roman" w:cs="Times New Roman"/>
                <w:color w:val="060607"/>
                <w:spacing w:val="4"/>
                <w:sz w:val="18"/>
                <w:szCs w:val="18"/>
                <w:shd w:val="clear" w:color="auto" w:fill="FFFFFF"/>
              </w:rPr>
            </w:pPr>
            <w:r w:rsidRPr="00EB3E5B">
              <w:rPr>
                <w:rFonts w:ascii="Times New Roman" w:hAnsi="Times New Roman" w:cs="Times New Roman" w:hint="eastAsia"/>
                <w:color w:val="060607"/>
                <w:spacing w:val="4"/>
                <w:sz w:val="18"/>
                <w:szCs w:val="18"/>
                <w:shd w:val="clear" w:color="auto" w:fill="FFFFFF"/>
              </w:rPr>
              <w:t>6</w:t>
            </w:r>
          </w:p>
        </w:tc>
        <w:tc>
          <w:tcPr>
            <w:tcW w:w="430" w:type="pct"/>
            <w:vAlign w:val="center"/>
          </w:tcPr>
          <w:p w14:paraId="12E748ED" w14:textId="77777777" w:rsidR="00D16B74" w:rsidRPr="00EB3E5B" w:rsidRDefault="00D16B74" w:rsidP="005D21F7">
            <w:pPr>
              <w:rPr>
                <w:rFonts w:ascii="Times New Roman" w:hAnsi="Times New Roman" w:cs="Times New Roman"/>
                <w:color w:val="060607"/>
                <w:spacing w:val="4"/>
                <w:sz w:val="18"/>
                <w:szCs w:val="18"/>
                <w:shd w:val="clear" w:color="auto" w:fill="FFFFFF"/>
              </w:rPr>
            </w:pPr>
            <w:r w:rsidRPr="00EB3E5B">
              <w:rPr>
                <w:rFonts w:ascii="Times New Roman" w:hAnsi="Times New Roman" w:cs="Times New Roman"/>
                <w:color w:val="060607"/>
                <w:spacing w:val="4"/>
                <w:sz w:val="18"/>
                <w:szCs w:val="18"/>
                <w:shd w:val="clear" w:color="auto" w:fill="FFFFFF"/>
              </w:rPr>
              <w:t>Hwang et al. (2024)</w:t>
            </w:r>
          </w:p>
          <w:p w14:paraId="4DE55F7F"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color w:val="060607"/>
                <w:spacing w:val="4"/>
                <w:sz w:val="18"/>
                <w:szCs w:val="18"/>
                <w:shd w:val="clear" w:color="auto" w:fill="FFFFFF"/>
              </w:rPr>
              <w:t>South Korea</w:t>
            </w:r>
          </w:p>
        </w:tc>
        <w:tc>
          <w:tcPr>
            <w:tcW w:w="321" w:type="pct"/>
            <w:vAlign w:val="center"/>
          </w:tcPr>
          <w:p w14:paraId="738D7C33"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hAnsi="Times New Roman" w:cs="Times New Roman"/>
                <w:sz w:val="18"/>
                <w:szCs w:val="18"/>
              </w:rPr>
              <w:t>RCT</w:t>
            </w:r>
          </w:p>
        </w:tc>
        <w:tc>
          <w:tcPr>
            <w:tcW w:w="809" w:type="pct"/>
            <w:vAlign w:val="center"/>
          </w:tcPr>
          <w:p w14:paraId="15E2B467"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color w:val="060607"/>
                <w:spacing w:val="4"/>
                <w:sz w:val="18"/>
                <w:szCs w:val="18"/>
                <w:shd w:val="clear" w:color="auto" w:fill="FFFFFF"/>
              </w:rPr>
              <w:t>To develop and evaluate the effects of an online health management program on self-efficacy, health behavior, and health-related quality of life in adolescents with complex CHD during their transition to adulthood.</w:t>
            </w:r>
          </w:p>
        </w:tc>
        <w:tc>
          <w:tcPr>
            <w:tcW w:w="1074" w:type="pct"/>
            <w:vAlign w:val="center"/>
          </w:tcPr>
          <w:p w14:paraId="752B0D85" w14:textId="49BBFC47"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color w:val="060607"/>
                <w:spacing w:val="4"/>
                <w:sz w:val="18"/>
                <w:szCs w:val="18"/>
                <w:shd w:val="clear" w:color="auto" w:fill="FFFFFF"/>
              </w:rPr>
              <w:t>4-week online health management program, including weekly online group sessions, 1:1 phone coaching, dietary diary feedback, and health information via Facebook.</w:t>
            </w:r>
          </w:p>
        </w:tc>
        <w:tc>
          <w:tcPr>
            <w:tcW w:w="916" w:type="pct"/>
            <w:vAlign w:val="center"/>
          </w:tcPr>
          <w:p w14:paraId="3A2814F1"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color w:val="060607"/>
                <w:spacing w:val="4"/>
                <w:sz w:val="18"/>
                <w:szCs w:val="18"/>
                <w:shd w:val="clear" w:color="auto" w:fill="FFFFFF"/>
              </w:rPr>
              <w:t>/</w:t>
            </w:r>
          </w:p>
        </w:tc>
        <w:tc>
          <w:tcPr>
            <w:tcW w:w="1235" w:type="pct"/>
            <w:vAlign w:val="center"/>
          </w:tcPr>
          <w:p w14:paraId="2EB83F96"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hAnsi="Times New Roman" w:cs="Times New Roman"/>
                <w:color w:val="060607"/>
                <w:spacing w:val="4"/>
                <w:sz w:val="18"/>
                <w:szCs w:val="18"/>
                <w:shd w:val="clear" w:color="auto" w:fill="FFFFFF"/>
              </w:rPr>
              <w:t xml:space="preserve">The online health management program significantly enhanced self-efficacy, health behavior (daily step counts, moderate to vigorous physical activity, and weekend leisure time sedentary behavior), and psychosocial impact in adolescents with complex CHD. However, no significant differences were observed in sleep behavior. The findings suggest that the program can serve as a foundation for educational initiatives and clinical trials aimed at </w:t>
            </w:r>
            <w:r w:rsidRPr="00EB3E5B">
              <w:rPr>
                <w:rFonts w:ascii="Times New Roman" w:hAnsi="Times New Roman" w:cs="Times New Roman"/>
                <w:color w:val="060607"/>
                <w:spacing w:val="4"/>
                <w:sz w:val="18"/>
                <w:szCs w:val="18"/>
                <w:shd w:val="clear" w:color="auto" w:fill="FFFFFF"/>
              </w:rPr>
              <w:lastRenderedPageBreak/>
              <w:t>improving health outcomes during the transition to adulthood.</w:t>
            </w:r>
          </w:p>
        </w:tc>
      </w:tr>
      <w:tr w:rsidR="00D16B74" w:rsidRPr="00EB3E5B" w14:paraId="3FC44429" w14:textId="77777777" w:rsidTr="00472F34">
        <w:trPr>
          <w:trHeight w:val="624"/>
          <w:jc w:val="center"/>
        </w:trPr>
        <w:tc>
          <w:tcPr>
            <w:tcW w:w="216" w:type="pct"/>
            <w:vAlign w:val="center"/>
          </w:tcPr>
          <w:p w14:paraId="6B572C44"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lastRenderedPageBreak/>
              <w:t>7</w:t>
            </w:r>
          </w:p>
        </w:tc>
        <w:tc>
          <w:tcPr>
            <w:tcW w:w="430" w:type="pct"/>
            <w:vAlign w:val="center"/>
          </w:tcPr>
          <w:p w14:paraId="0A4A0FFD"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Lin et al. (2021)</w:t>
            </w:r>
          </w:p>
          <w:p w14:paraId="565403F2"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60607"/>
                <w:sz w:val="18"/>
                <w:szCs w:val="18"/>
              </w:rPr>
              <w:t>Taiwan, China</w:t>
            </w:r>
          </w:p>
        </w:tc>
        <w:tc>
          <w:tcPr>
            <w:tcW w:w="321" w:type="pct"/>
            <w:vAlign w:val="center"/>
          </w:tcPr>
          <w:p w14:paraId="70284D1A"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5522D7C1"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To evaluate the long-­term effectiveness of the Care &amp; Organize Our Lifestyle</w:t>
            </w:r>
          </w:p>
          <w:p w14:paraId="34BBE3F3"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 xml:space="preserve">(COOL) </w:t>
            </w:r>
            <w:proofErr w:type="spellStart"/>
            <w:r w:rsidRPr="00EB3E5B">
              <w:rPr>
                <w:rFonts w:ascii="Times New Roman" w:eastAsia="DengXian" w:hAnsi="Times New Roman" w:cs="Times New Roman"/>
                <w:color w:val="060607"/>
                <w:sz w:val="18"/>
                <w:szCs w:val="18"/>
              </w:rPr>
              <w:t>programme</w:t>
            </w:r>
            <w:proofErr w:type="spellEnd"/>
            <w:r w:rsidRPr="00EB3E5B">
              <w:rPr>
                <w:rFonts w:ascii="Times New Roman" w:eastAsia="DengXian" w:hAnsi="Times New Roman" w:cs="Times New Roman"/>
                <w:color w:val="060607"/>
                <w:sz w:val="18"/>
                <w:szCs w:val="18"/>
              </w:rPr>
              <w:t xml:space="preserve">, a self­-regulation theory-­based mHealth </w:t>
            </w:r>
            <w:proofErr w:type="spellStart"/>
            <w:r w:rsidRPr="00EB3E5B">
              <w:rPr>
                <w:rFonts w:ascii="Times New Roman" w:eastAsia="DengXian" w:hAnsi="Times New Roman" w:cs="Times New Roman"/>
                <w:color w:val="060607"/>
                <w:sz w:val="18"/>
                <w:szCs w:val="18"/>
              </w:rPr>
              <w:t>programme</w:t>
            </w:r>
            <w:proofErr w:type="spellEnd"/>
            <w:r w:rsidRPr="00EB3E5B">
              <w:rPr>
                <w:rFonts w:ascii="Times New Roman" w:eastAsia="DengXian" w:hAnsi="Times New Roman" w:cs="Times New Roman"/>
                <w:color w:val="060607"/>
                <w:sz w:val="18"/>
                <w:szCs w:val="18"/>
              </w:rPr>
              <w:t xml:space="preserve">, on improving disease knowledge and physical activity in youth </w:t>
            </w:r>
            <w:r w:rsidRPr="00EB3E5B">
              <w:rPr>
                <w:rFonts w:ascii="Times New Roman" w:eastAsia="DengXian" w:hAnsi="Times New Roman" w:cs="Times New Roman" w:hint="eastAsia"/>
                <w:color w:val="060607"/>
                <w:sz w:val="18"/>
                <w:szCs w:val="18"/>
              </w:rPr>
              <w:t>with</w:t>
            </w:r>
            <w:r w:rsidRPr="00EB3E5B">
              <w:rPr>
                <w:rFonts w:ascii="Times New Roman" w:eastAsia="DengXian" w:hAnsi="Times New Roman" w:cs="Times New Roman"/>
                <w:color w:val="060607"/>
                <w:sz w:val="18"/>
                <w:szCs w:val="18"/>
              </w:rPr>
              <w:t xml:space="preserve"> CHD.</w:t>
            </w:r>
          </w:p>
        </w:tc>
        <w:tc>
          <w:tcPr>
            <w:tcW w:w="1074" w:type="pct"/>
            <w:vAlign w:val="center"/>
          </w:tcPr>
          <w:p w14:paraId="46DAC8A9" w14:textId="210E5B75"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60607"/>
                <w:sz w:val="18"/>
                <w:szCs w:val="18"/>
              </w:rPr>
              <w:t>Intervention Group 1: COOL Passport</w:t>
            </w:r>
            <w:r w:rsidRPr="00EB3E5B">
              <w:rPr>
                <w:rFonts w:ascii="Times New Roman" w:eastAsia="DengXian" w:hAnsi="Times New Roman" w:cs="Times New Roman" w:hint="eastAsia"/>
                <w:color w:val="060607"/>
                <w:sz w:val="18"/>
                <w:szCs w:val="18"/>
              </w:rPr>
              <w:t>;</w:t>
            </w:r>
            <w:r w:rsidRPr="00EB3E5B">
              <w:rPr>
                <w:rFonts w:ascii="Times New Roman" w:eastAsia="DengXian" w:hAnsi="Times New Roman" w:cs="Times New Roman"/>
                <w:color w:val="060607"/>
                <w:sz w:val="18"/>
                <w:szCs w:val="18"/>
              </w:rPr>
              <w:t xml:space="preserve"> Intervention Group 2: COOL Passport and Health Promotion Cloud system, along with a game-based interactive platform</w:t>
            </w:r>
          </w:p>
        </w:tc>
        <w:tc>
          <w:tcPr>
            <w:tcW w:w="916" w:type="pct"/>
            <w:vAlign w:val="center"/>
          </w:tcPr>
          <w:p w14:paraId="73AA6AA4" w14:textId="1F896AB3"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60607"/>
                <w:sz w:val="18"/>
                <w:szCs w:val="18"/>
              </w:rPr>
              <w:t>Physical Activity (IPAQ-TSCV</w:t>
            </w:r>
            <w:r w:rsidR="00DC79D9">
              <w:rPr>
                <w:rFonts w:ascii="Times New Roman" w:hAnsi="Times New Roman" w:cs="Times New Roman"/>
                <w:b/>
                <w:bCs/>
                <w:color w:val="060607"/>
                <w:spacing w:val="4"/>
                <w:sz w:val="18"/>
                <w:szCs w:val="18"/>
                <w:vertAlign w:val="superscript"/>
              </w:rPr>
              <w:t>1</w:t>
            </w:r>
            <w:r w:rsidR="00DC79D9">
              <w:rPr>
                <w:rFonts w:ascii="Times New Roman" w:hAnsi="Times New Roman" w:cs="Times New Roman"/>
                <w:b/>
                <w:bCs/>
                <w:color w:val="060607"/>
                <w:spacing w:val="4"/>
                <w:sz w:val="18"/>
                <w:szCs w:val="18"/>
                <w:vertAlign w:val="superscript"/>
              </w:rPr>
              <w:t>7</w:t>
            </w:r>
            <w:r w:rsidRPr="00EB3E5B">
              <w:rPr>
                <w:rFonts w:ascii="Times New Roman" w:eastAsia="DengXian" w:hAnsi="Times New Roman" w:cs="Times New Roman"/>
                <w:color w:val="060607"/>
                <w:sz w:val="18"/>
                <w:szCs w:val="18"/>
              </w:rPr>
              <w:t>)</w:t>
            </w:r>
          </w:p>
        </w:tc>
        <w:tc>
          <w:tcPr>
            <w:tcW w:w="1235" w:type="pct"/>
            <w:vAlign w:val="center"/>
          </w:tcPr>
          <w:p w14:paraId="6BCA0239"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The mHealth-tailored intervention of the COOL program did not im-prove disease knowledge or physical activity in young adults with CHD.</w:t>
            </w:r>
          </w:p>
        </w:tc>
      </w:tr>
      <w:tr w:rsidR="00D16B74" w:rsidRPr="00EB3E5B" w14:paraId="6D80A4B2" w14:textId="77777777" w:rsidTr="00472F34">
        <w:trPr>
          <w:trHeight w:val="624"/>
          <w:jc w:val="center"/>
        </w:trPr>
        <w:tc>
          <w:tcPr>
            <w:tcW w:w="216" w:type="pct"/>
            <w:vAlign w:val="center"/>
          </w:tcPr>
          <w:p w14:paraId="6777B1AF"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8</w:t>
            </w:r>
          </w:p>
        </w:tc>
        <w:tc>
          <w:tcPr>
            <w:tcW w:w="430" w:type="pct"/>
            <w:vAlign w:val="center"/>
          </w:tcPr>
          <w:p w14:paraId="75E869C7"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Mackie et al. (2014)</w:t>
            </w:r>
          </w:p>
          <w:p w14:paraId="702EE403"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Canada</w:t>
            </w:r>
          </w:p>
        </w:tc>
        <w:tc>
          <w:tcPr>
            <w:tcW w:w="321" w:type="pct"/>
            <w:vAlign w:val="center"/>
          </w:tcPr>
          <w:p w14:paraId="51EE3682"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3AADF6F6"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To evaluate the impact of a nurse-led transition intervention on improving self-management skills and cardiac knowledge in adolescents with congenital or acquired heart disease transitioning to adult care.</w:t>
            </w:r>
          </w:p>
        </w:tc>
        <w:tc>
          <w:tcPr>
            <w:tcW w:w="1074" w:type="pct"/>
            <w:vAlign w:val="center"/>
          </w:tcPr>
          <w:p w14:paraId="606F55C3" w14:textId="65F0FF02"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1-hour nurse-led one-on-one session including:</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Creation of a MyHealth passport; Review of cardiac anatomy; Discussion of future complications; Provision of resources (websites, written materials).</w:t>
            </w:r>
          </w:p>
        </w:tc>
        <w:tc>
          <w:tcPr>
            <w:tcW w:w="916" w:type="pct"/>
            <w:vAlign w:val="center"/>
          </w:tcPr>
          <w:p w14:paraId="58E67CCD"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hint="eastAsia"/>
                <w:color w:val="060607"/>
                <w:sz w:val="18"/>
                <w:szCs w:val="18"/>
              </w:rPr>
              <w:t>K</w:t>
            </w:r>
            <w:r w:rsidRPr="00EB3E5B">
              <w:rPr>
                <w:rFonts w:ascii="Times New Roman" w:eastAsia="DengXian" w:hAnsi="Times New Roman" w:cs="Times New Roman"/>
                <w:color w:val="060607"/>
                <w:sz w:val="18"/>
                <w:szCs w:val="18"/>
              </w:rPr>
              <w:t>nowledge level (MyHeart score)</w:t>
            </w:r>
          </w:p>
        </w:tc>
        <w:tc>
          <w:tcPr>
            <w:tcW w:w="1235" w:type="pct"/>
            <w:vAlign w:val="center"/>
          </w:tcPr>
          <w:p w14:paraId="1D4EA79B"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A 1 h nurse-led transition intervention</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resulted in a significant improvement in sel</w:t>
            </w:r>
            <w:r w:rsidRPr="00EB3E5B">
              <w:rPr>
                <w:rFonts w:ascii="Times New Roman" w:eastAsia="DengXian" w:hAnsi="Times New Roman" w:cs="Times New Roman" w:hint="eastAsia"/>
                <w:color w:val="060607"/>
                <w:sz w:val="18"/>
                <w:szCs w:val="18"/>
              </w:rPr>
              <w:t>f-</w:t>
            </w:r>
            <w:r w:rsidRPr="00EB3E5B">
              <w:rPr>
                <w:rFonts w:ascii="Times New Roman" w:eastAsia="DengXian" w:hAnsi="Times New Roman" w:cs="Times New Roman"/>
                <w:color w:val="060607"/>
                <w:sz w:val="18"/>
                <w:szCs w:val="18"/>
              </w:rPr>
              <w:t>management and cardiac knowledge scores.</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An educational intervention should be routine for youth</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with congenital or acquired heart disease.</w:t>
            </w:r>
          </w:p>
        </w:tc>
      </w:tr>
      <w:tr w:rsidR="00D16B74" w:rsidRPr="00EB3E5B" w14:paraId="2DBCE7B5" w14:textId="77777777" w:rsidTr="00472F34">
        <w:trPr>
          <w:trHeight w:val="624"/>
          <w:jc w:val="center"/>
        </w:trPr>
        <w:tc>
          <w:tcPr>
            <w:tcW w:w="216" w:type="pct"/>
            <w:vAlign w:val="center"/>
          </w:tcPr>
          <w:p w14:paraId="7B3B3420"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9</w:t>
            </w:r>
          </w:p>
        </w:tc>
        <w:tc>
          <w:tcPr>
            <w:tcW w:w="430" w:type="pct"/>
            <w:vAlign w:val="center"/>
          </w:tcPr>
          <w:p w14:paraId="294BAC62"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Mackie et al. (2018)</w:t>
            </w:r>
          </w:p>
          <w:p w14:paraId="5720EFB6"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Canada</w:t>
            </w:r>
          </w:p>
        </w:tc>
        <w:tc>
          <w:tcPr>
            <w:tcW w:w="321" w:type="pct"/>
            <w:vAlign w:val="center"/>
          </w:tcPr>
          <w:p w14:paraId="2598F73B"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78514B4D"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To evaluate the impact of nurse-led transition interventions on the care intervals when adolescents with CHD enter the adult care phase.</w:t>
            </w:r>
          </w:p>
        </w:tc>
        <w:tc>
          <w:tcPr>
            <w:tcW w:w="1074" w:type="pct"/>
            <w:vAlign w:val="center"/>
          </w:tcPr>
          <w:p w14:paraId="51388745" w14:textId="1AFA067D"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The intervention group received two one-hour personalized sessions focusing on CHD education and self-management skills</w:t>
            </w:r>
          </w:p>
        </w:tc>
        <w:tc>
          <w:tcPr>
            <w:tcW w:w="916" w:type="pct"/>
            <w:vAlign w:val="center"/>
          </w:tcPr>
          <w:p w14:paraId="3FE2F8CC" w14:textId="7460FDCA"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Disease knowledge level (MyHeart scale), Transition readiness (TRAQ</w:t>
            </w:r>
            <w:r w:rsidR="00DC79D9">
              <w:rPr>
                <w:rFonts w:ascii="Times New Roman" w:hAnsi="Times New Roman" w:cs="Times New Roman"/>
                <w:b/>
                <w:bCs/>
                <w:color w:val="060607"/>
                <w:spacing w:val="4"/>
                <w:sz w:val="18"/>
                <w:szCs w:val="18"/>
                <w:vertAlign w:val="superscript"/>
              </w:rPr>
              <w:t>1</w:t>
            </w:r>
            <w:r w:rsidR="00DC79D9">
              <w:rPr>
                <w:rFonts w:ascii="Times New Roman" w:hAnsi="Times New Roman" w:cs="Times New Roman"/>
                <w:b/>
                <w:bCs/>
                <w:color w:val="060607"/>
                <w:spacing w:val="4"/>
                <w:sz w:val="18"/>
                <w:szCs w:val="18"/>
                <w:vertAlign w:val="superscript"/>
              </w:rPr>
              <w:t>8</w:t>
            </w:r>
            <w:r w:rsidRPr="00EB3E5B">
              <w:rPr>
                <w:rFonts w:ascii="Times New Roman" w:eastAsia="DengXian" w:hAnsi="Times New Roman" w:cs="Times New Roman"/>
                <w:color w:val="060607"/>
                <w:sz w:val="18"/>
                <w:szCs w:val="18"/>
              </w:rPr>
              <w:t>)</w:t>
            </w:r>
          </w:p>
        </w:tc>
        <w:tc>
          <w:tcPr>
            <w:tcW w:w="1235" w:type="pct"/>
            <w:vAlign w:val="center"/>
          </w:tcPr>
          <w:p w14:paraId="016F8138"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A nurse-led intervention reduced the likelihood of a delay in adult CHD care and improved CHD knowledge</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and self-management skills.</w:t>
            </w:r>
          </w:p>
        </w:tc>
      </w:tr>
      <w:tr w:rsidR="00D16B74" w:rsidRPr="00EB3E5B" w14:paraId="41F06966" w14:textId="77777777" w:rsidTr="00472F34">
        <w:trPr>
          <w:trHeight w:val="624"/>
          <w:jc w:val="center"/>
        </w:trPr>
        <w:tc>
          <w:tcPr>
            <w:tcW w:w="216" w:type="pct"/>
            <w:vAlign w:val="center"/>
          </w:tcPr>
          <w:p w14:paraId="4311E498"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1</w:t>
            </w:r>
            <w:r w:rsidRPr="00EB3E5B">
              <w:rPr>
                <w:rFonts w:ascii="Times New Roman" w:eastAsia="DengXian" w:hAnsi="Times New Roman" w:cs="Times New Roman"/>
                <w:color w:val="000000"/>
                <w:sz w:val="18"/>
                <w:szCs w:val="18"/>
              </w:rPr>
              <w:t>0</w:t>
            </w:r>
          </w:p>
        </w:tc>
        <w:tc>
          <w:tcPr>
            <w:tcW w:w="430" w:type="pct"/>
            <w:vAlign w:val="center"/>
          </w:tcPr>
          <w:p w14:paraId="207B7865"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Mackie et al. (2022)</w:t>
            </w:r>
          </w:p>
          <w:p w14:paraId="3BC67C54"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Canada</w:t>
            </w:r>
          </w:p>
        </w:tc>
        <w:tc>
          <w:tcPr>
            <w:tcW w:w="321" w:type="pct"/>
            <w:vAlign w:val="center"/>
          </w:tcPr>
          <w:p w14:paraId="489C80DA"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3707F8F9"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 xml:space="preserve">To evaluate the impact of a novel nurse-led transition intervention program designed for adolescents with CHD aged 13-14. </w:t>
            </w:r>
          </w:p>
        </w:tc>
        <w:tc>
          <w:tcPr>
            <w:tcW w:w="1074" w:type="pct"/>
            <w:vAlign w:val="center"/>
          </w:tcPr>
          <w:p w14:paraId="1A5F97A4" w14:textId="5E76C4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The intervention group received a one-hour personalized session led by a cardiac nurse, focusing on CHD education and self-management</w:t>
            </w:r>
          </w:p>
        </w:tc>
        <w:tc>
          <w:tcPr>
            <w:tcW w:w="916" w:type="pct"/>
            <w:vAlign w:val="center"/>
          </w:tcPr>
          <w:p w14:paraId="17CA9D87"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60607"/>
                <w:sz w:val="18"/>
                <w:szCs w:val="18"/>
              </w:rPr>
              <w:t>Disease knowledge level (My Heart scale)</w:t>
            </w:r>
          </w:p>
        </w:tc>
        <w:tc>
          <w:tcPr>
            <w:tcW w:w="1235" w:type="pct"/>
            <w:vAlign w:val="center"/>
          </w:tcPr>
          <w:p w14:paraId="530A01B5"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A nurse-led program improved transition readiness and CHD knowledge among young adolescents. This simple intervention can be readily adopted in other healthcare settings</w:t>
            </w:r>
          </w:p>
        </w:tc>
      </w:tr>
      <w:tr w:rsidR="00D16B74" w:rsidRPr="00EB3E5B" w14:paraId="515892A4" w14:textId="77777777" w:rsidTr="00472F34">
        <w:trPr>
          <w:trHeight w:val="624"/>
          <w:jc w:val="center"/>
        </w:trPr>
        <w:tc>
          <w:tcPr>
            <w:tcW w:w="216" w:type="pct"/>
            <w:vAlign w:val="center"/>
          </w:tcPr>
          <w:p w14:paraId="3F08566E" w14:textId="77777777" w:rsidR="00D16B74" w:rsidRPr="00EB3E5B" w:rsidRDefault="00D16B74" w:rsidP="005D21F7">
            <w:pPr>
              <w:jc w:val="center"/>
              <w:rPr>
                <w:rFonts w:ascii="Times New Roman" w:eastAsia="DengXian" w:hAnsi="Times New Roman" w:cs="Times New Roman"/>
                <w:color w:val="000000"/>
                <w:sz w:val="18"/>
                <w:szCs w:val="18"/>
              </w:rPr>
            </w:pPr>
            <w:r w:rsidRPr="00EB3E5B">
              <w:rPr>
                <w:rFonts w:ascii="Times New Roman" w:eastAsia="DengXian" w:hAnsi="Times New Roman" w:cs="Times New Roman" w:hint="eastAsia"/>
                <w:color w:val="000000"/>
                <w:sz w:val="18"/>
                <w:szCs w:val="18"/>
              </w:rPr>
              <w:t>1</w:t>
            </w:r>
            <w:r w:rsidRPr="00EB3E5B">
              <w:rPr>
                <w:rFonts w:ascii="Times New Roman" w:eastAsia="DengXian" w:hAnsi="Times New Roman" w:cs="Times New Roman"/>
                <w:color w:val="000000"/>
                <w:sz w:val="18"/>
                <w:szCs w:val="18"/>
              </w:rPr>
              <w:t>1</w:t>
            </w:r>
          </w:p>
        </w:tc>
        <w:tc>
          <w:tcPr>
            <w:tcW w:w="430" w:type="pct"/>
            <w:vAlign w:val="center"/>
          </w:tcPr>
          <w:p w14:paraId="3DE894C6" w14:textId="77777777"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Meyer et al. (2021)</w:t>
            </w:r>
          </w:p>
          <w:p w14:paraId="1EA04F77"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Germany</w:t>
            </w:r>
          </w:p>
        </w:tc>
        <w:tc>
          <w:tcPr>
            <w:tcW w:w="321" w:type="pct"/>
            <w:vAlign w:val="center"/>
          </w:tcPr>
          <w:p w14:paraId="0715526A"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RCT</w:t>
            </w:r>
          </w:p>
        </w:tc>
        <w:tc>
          <w:tcPr>
            <w:tcW w:w="809" w:type="pct"/>
            <w:vAlign w:val="center"/>
          </w:tcPr>
          <w:p w14:paraId="5807593D" w14:textId="4DF139EF" w:rsidR="00D16B74" w:rsidRPr="00EB3E5B" w:rsidRDefault="00D16B74" w:rsidP="005D21F7">
            <w:pPr>
              <w:rPr>
                <w:rFonts w:ascii="Times New Roman" w:eastAsia="DengXian" w:hAnsi="Times New Roman" w:cs="Times New Roman"/>
                <w:color w:val="000000"/>
                <w:sz w:val="18"/>
                <w:szCs w:val="18"/>
              </w:rPr>
            </w:pPr>
            <w:r w:rsidRPr="00EB3E5B">
              <w:rPr>
                <w:rFonts w:ascii="Times New Roman" w:eastAsia="DengXian" w:hAnsi="Times New Roman" w:cs="Times New Roman"/>
                <w:color w:val="000000"/>
                <w:sz w:val="18"/>
                <w:szCs w:val="18"/>
              </w:rPr>
              <w:t>To improve HRPF</w:t>
            </w:r>
            <w:r w:rsidR="0049040D">
              <w:rPr>
                <w:rFonts w:ascii="Times New Roman" w:hAnsi="Times New Roman" w:cs="Times New Roman"/>
                <w:b/>
                <w:bCs/>
                <w:color w:val="060607"/>
                <w:spacing w:val="4"/>
                <w:sz w:val="18"/>
                <w:szCs w:val="18"/>
                <w:vertAlign w:val="superscript"/>
              </w:rPr>
              <w:t>1</w:t>
            </w:r>
            <w:r w:rsidR="0049040D">
              <w:rPr>
                <w:rFonts w:ascii="Times New Roman" w:hAnsi="Times New Roman" w:cs="Times New Roman"/>
                <w:b/>
                <w:bCs/>
                <w:color w:val="060607"/>
                <w:spacing w:val="4"/>
                <w:sz w:val="18"/>
                <w:szCs w:val="18"/>
                <w:vertAlign w:val="superscript"/>
              </w:rPr>
              <w:t>9</w:t>
            </w:r>
            <w:r w:rsidRPr="00EB3E5B">
              <w:rPr>
                <w:rFonts w:ascii="Times New Roman" w:eastAsia="DengXian" w:hAnsi="Times New Roman" w:cs="Times New Roman"/>
                <w:color w:val="000000"/>
                <w:sz w:val="18"/>
                <w:szCs w:val="18"/>
              </w:rPr>
              <w:t xml:space="preserve"> and </w:t>
            </w:r>
          </w:p>
          <w:p w14:paraId="2CF763DC"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HRQoL with a web-based motor intervention program in pediatric patients with CHD.</w:t>
            </w:r>
          </w:p>
        </w:tc>
        <w:tc>
          <w:tcPr>
            <w:tcW w:w="1074" w:type="pct"/>
            <w:vAlign w:val="center"/>
          </w:tcPr>
          <w:p w14:paraId="0C015BBA" w14:textId="18B00063"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The intervention group received a 24-week web-based exercise intervention, 1 hour per week</w:t>
            </w:r>
          </w:p>
        </w:tc>
        <w:tc>
          <w:tcPr>
            <w:tcW w:w="916" w:type="pct"/>
            <w:vAlign w:val="center"/>
          </w:tcPr>
          <w:p w14:paraId="559DF81A" w14:textId="77777777" w:rsidR="00D16B74" w:rsidRPr="00EB3E5B" w:rsidRDefault="00D16B74" w:rsidP="005D21F7">
            <w:pPr>
              <w:rPr>
                <w:rFonts w:ascii="Times New Roman" w:hAnsi="Times New Roman" w:cs="Times New Roman"/>
                <w:sz w:val="18"/>
                <w:szCs w:val="18"/>
              </w:rPr>
            </w:pPr>
            <w:r w:rsidRPr="00EB3E5B">
              <w:rPr>
                <w:rFonts w:ascii="Times New Roman" w:eastAsia="DengXian" w:hAnsi="Times New Roman" w:cs="Times New Roman"/>
                <w:color w:val="000000"/>
                <w:sz w:val="18"/>
                <w:szCs w:val="18"/>
              </w:rPr>
              <w:t>HRQoL(</w:t>
            </w:r>
            <w:r w:rsidRPr="00EB3E5B">
              <w:rPr>
                <w:rFonts w:ascii="Times New Roman" w:eastAsia="DengXian" w:hAnsi="Times New Roman" w:cs="Times New Roman" w:hint="eastAsia"/>
                <w:color w:val="000000"/>
                <w:sz w:val="18"/>
                <w:szCs w:val="18"/>
              </w:rPr>
              <w:t>①</w:t>
            </w:r>
            <w:r w:rsidRPr="00EB3E5B">
              <w:rPr>
                <w:rFonts w:ascii="Times New Roman" w:eastAsia="DengXian" w:hAnsi="Times New Roman" w:cs="Times New Roman"/>
                <w:color w:val="000000"/>
                <w:sz w:val="18"/>
                <w:szCs w:val="18"/>
              </w:rPr>
              <w:t>younger than 14 years</w:t>
            </w:r>
            <w:r w:rsidRPr="00EB3E5B">
              <w:rPr>
                <w:rFonts w:ascii="Times New Roman" w:eastAsia="DengXian" w:hAnsi="Times New Roman" w:cs="Times New Roman" w:hint="eastAsia"/>
                <w:color w:val="000000"/>
                <w:sz w:val="18"/>
                <w:szCs w:val="18"/>
              </w:rPr>
              <w:t>:</w:t>
            </w:r>
            <w:r w:rsidRPr="00EB3E5B">
              <w:rPr>
                <w:rFonts w:ascii="Times New Roman" w:eastAsia="DengXian" w:hAnsi="Times New Roman" w:cs="Times New Roman"/>
                <w:color w:val="000000"/>
                <w:sz w:val="18"/>
                <w:szCs w:val="18"/>
              </w:rPr>
              <w:t xml:space="preserve"> KidKINDL; </w:t>
            </w:r>
            <w:r w:rsidRPr="00EB3E5B">
              <w:rPr>
                <w:rFonts w:ascii="Times New Roman" w:eastAsia="DengXian" w:hAnsi="Times New Roman" w:cs="Times New Roman" w:hint="eastAsia"/>
                <w:color w:val="000000"/>
                <w:sz w:val="18"/>
                <w:szCs w:val="18"/>
              </w:rPr>
              <w:t>②</w:t>
            </w:r>
            <w:r w:rsidRPr="00EB3E5B">
              <w:rPr>
                <w:rFonts w:ascii="Times New Roman" w:eastAsia="DengXian" w:hAnsi="Times New Roman" w:cs="Times New Roman"/>
                <w:color w:val="000000"/>
                <w:sz w:val="18"/>
                <w:szCs w:val="18"/>
              </w:rPr>
              <w:t>older than 14 years: KiddoKINDL)</w:t>
            </w:r>
          </w:p>
        </w:tc>
        <w:tc>
          <w:tcPr>
            <w:tcW w:w="1235" w:type="pct"/>
            <w:vAlign w:val="center"/>
          </w:tcPr>
          <w:p w14:paraId="2843EFF0" w14:textId="77777777" w:rsidR="00D16B74" w:rsidRPr="00EB3E5B" w:rsidRDefault="00D16B74" w:rsidP="005D21F7">
            <w:pPr>
              <w:rPr>
                <w:rFonts w:ascii="Times New Roman" w:eastAsia="DengXian" w:hAnsi="Times New Roman" w:cs="Times New Roman"/>
                <w:color w:val="060607"/>
                <w:sz w:val="18"/>
                <w:szCs w:val="18"/>
              </w:rPr>
            </w:pPr>
            <w:r w:rsidRPr="00EB3E5B">
              <w:rPr>
                <w:rFonts w:ascii="Times New Roman" w:eastAsia="DengXian" w:hAnsi="Times New Roman" w:cs="Times New Roman"/>
                <w:color w:val="060607"/>
                <w:sz w:val="18"/>
                <w:szCs w:val="18"/>
              </w:rPr>
              <w:t>We found that 24 weeks of web-based exercise intervention with an aimed volume of 60 minutes</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of exercise per week was safe but did not improve HRPF and HRQoL in children with moderate or complex</w:t>
            </w:r>
            <w:r w:rsidRPr="00EB3E5B">
              <w:rPr>
                <w:rFonts w:ascii="Times New Roman" w:eastAsia="DengXian" w:hAnsi="Times New Roman" w:cs="Times New Roman" w:hint="eastAsia"/>
                <w:color w:val="060607"/>
                <w:sz w:val="18"/>
                <w:szCs w:val="18"/>
              </w:rPr>
              <w:t xml:space="preserve"> </w:t>
            </w:r>
            <w:r w:rsidRPr="00EB3E5B">
              <w:rPr>
                <w:rFonts w:ascii="Times New Roman" w:eastAsia="DengXian" w:hAnsi="Times New Roman" w:cs="Times New Roman"/>
                <w:color w:val="060607"/>
                <w:sz w:val="18"/>
                <w:szCs w:val="18"/>
              </w:rPr>
              <w:t>CHD.</w:t>
            </w:r>
          </w:p>
        </w:tc>
      </w:tr>
      <w:tr w:rsidR="00472F34" w:rsidRPr="00EB3E5B" w14:paraId="77AFB462" w14:textId="77777777" w:rsidTr="00472F34">
        <w:trPr>
          <w:trHeight w:val="624"/>
          <w:jc w:val="center"/>
        </w:trPr>
        <w:tc>
          <w:tcPr>
            <w:tcW w:w="5000" w:type="pct"/>
            <w:gridSpan w:val="7"/>
            <w:tcBorders>
              <w:bottom w:val="single" w:sz="12" w:space="0" w:color="auto"/>
            </w:tcBorders>
            <w:vAlign w:val="center"/>
          </w:tcPr>
          <w:p w14:paraId="119AB8C9" w14:textId="189723EC" w:rsidR="00472F34" w:rsidRPr="00EB3E5B" w:rsidRDefault="00472F34" w:rsidP="005D21F7">
            <w:pPr>
              <w:rPr>
                <w:rFonts w:ascii="Times New Roman" w:eastAsia="DengXian" w:hAnsi="Times New Roman" w:cs="Times New Roman"/>
                <w:color w:val="060607"/>
                <w:sz w:val="18"/>
                <w:szCs w:val="18"/>
              </w:rPr>
            </w:pPr>
            <w:r>
              <w:rPr>
                <w:rFonts w:ascii="Times New Roman" w:eastAsia="DengXian" w:hAnsi="Times New Roman" w:cs="Times New Roman"/>
                <w:b/>
                <w:bCs/>
                <w:color w:val="000000" w:themeColor="text1"/>
                <w:sz w:val="18"/>
                <w:szCs w:val="18"/>
                <w:vertAlign w:val="superscript"/>
              </w:rPr>
              <w:t xml:space="preserve">1 </w:t>
            </w:r>
            <w:r w:rsidRPr="004C4655">
              <w:rPr>
                <w:rFonts w:ascii="Times New Roman" w:eastAsia="DengXian" w:hAnsi="Times New Roman" w:cs="Times New Roman"/>
                <w:b/>
                <w:bCs/>
                <w:color w:val="000000" w:themeColor="text1"/>
                <w:sz w:val="18"/>
                <w:szCs w:val="18"/>
              </w:rPr>
              <w:t>HRQoL</w:t>
            </w:r>
            <w:r w:rsidRPr="004C4655">
              <w:rPr>
                <w:rFonts w:ascii="Times New Roman" w:eastAsia="DengXian" w:hAnsi="Times New Roman" w:cs="Times New Roman"/>
                <w:color w:val="000000" w:themeColor="text1"/>
                <w:sz w:val="18"/>
                <w:szCs w:val="18"/>
              </w:rPr>
              <w:t>: health-related quality of life;</w:t>
            </w:r>
            <w:r>
              <w:rPr>
                <w:rFonts w:ascii="Times New Roman" w:eastAsia="DengXian" w:hAnsi="Times New Roman" w:cs="Times New Roman"/>
                <w:b/>
                <w:bCs/>
                <w:color w:val="000000" w:themeColor="text1"/>
                <w:sz w:val="18"/>
                <w:szCs w:val="18"/>
                <w:vertAlign w:val="superscript"/>
              </w:rPr>
              <w:t xml:space="preserve"> 2 </w:t>
            </w:r>
            <w:r w:rsidRPr="004C4655">
              <w:rPr>
                <w:rFonts w:ascii="Times New Roman" w:eastAsia="DengXian" w:hAnsi="Times New Roman" w:cs="Times New Roman"/>
                <w:b/>
                <w:bCs/>
                <w:color w:val="000000" w:themeColor="text1"/>
                <w:sz w:val="18"/>
                <w:szCs w:val="18"/>
              </w:rPr>
              <w:t>BMI</w:t>
            </w:r>
            <w:r w:rsidRPr="004C4655">
              <w:rPr>
                <w:rFonts w:ascii="Times New Roman" w:eastAsia="DengXian" w:hAnsi="Times New Roman" w:cs="Times New Roman"/>
                <w:color w:val="000000" w:themeColor="text1"/>
                <w:sz w:val="18"/>
                <w:szCs w:val="18"/>
              </w:rPr>
              <w:t xml:space="preserve">: Body mass index; </w:t>
            </w:r>
            <w:r>
              <w:rPr>
                <w:rFonts w:ascii="Times New Roman" w:eastAsia="DengXian" w:hAnsi="Times New Roman" w:cs="Times New Roman"/>
                <w:b/>
                <w:bCs/>
                <w:color w:val="000000" w:themeColor="text1"/>
                <w:sz w:val="18"/>
                <w:szCs w:val="18"/>
                <w:vertAlign w:val="superscript"/>
              </w:rPr>
              <w:t xml:space="preserve">3 </w:t>
            </w:r>
            <w:r w:rsidRPr="004C4655">
              <w:rPr>
                <w:rFonts w:ascii="Times New Roman" w:eastAsia="DengXian" w:hAnsi="Times New Roman" w:cs="Times New Roman"/>
                <w:b/>
                <w:bCs/>
                <w:color w:val="000000" w:themeColor="text1"/>
                <w:sz w:val="18"/>
                <w:szCs w:val="18"/>
              </w:rPr>
              <w:t>CPET</w:t>
            </w:r>
            <w:r w:rsidRPr="004C4655">
              <w:rPr>
                <w:rFonts w:ascii="Times New Roman" w:eastAsia="DengXian" w:hAnsi="Times New Roman" w:cs="Times New Roman"/>
                <w:color w:val="000000" w:themeColor="text1"/>
                <w:sz w:val="18"/>
                <w:szCs w:val="18"/>
              </w:rPr>
              <w:t>: Cardiopulmonary exercise testing parameters</w:t>
            </w:r>
            <w:r>
              <w:rPr>
                <w:rFonts w:ascii="Times New Roman" w:eastAsia="DengXian" w:hAnsi="Times New Roman" w:cs="Times New Roman" w:hint="eastAsia"/>
                <w:color w:val="000000" w:themeColor="text1"/>
                <w:sz w:val="18"/>
                <w:szCs w:val="18"/>
              </w:rPr>
              <w:t xml:space="preserve">; </w:t>
            </w:r>
            <w:r>
              <w:rPr>
                <w:rFonts w:ascii="Times New Roman" w:eastAsia="DengXian" w:hAnsi="Times New Roman" w:cs="Times New Roman"/>
                <w:b/>
                <w:bCs/>
                <w:color w:val="000000" w:themeColor="text1"/>
                <w:sz w:val="18"/>
                <w:szCs w:val="18"/>
                <w:vertAlign w:val="superscript"/>
              </w:rPr>
              <w:t xml:space="preserve">4 </w:t>
            </w:r>
            <w:r w:rsidRPr="004C4655">
              <w:rPr>
                <w:rFonts w:ascii="Times New Roman" w:eastAsia="DengXian" w:hAnsi="Times New Roman" w:cs="Times New Roman"/>
                <w:b/>
                <w:bCs/>
                <w:color w:val="000000" w:themeColor="text1"/>
                <w:sz w:val="18"/>
                <w:szCs w:val="18"/>
              </w:rPr>
              <w:t>VO2</w:t>
            </w:r>
            <w:r w:rsidRPr="004C4655">
              <w:rPr>
                <w:rFonts w:ascii="Times New Roman" w:eastAsia="DengXian" w:hAnsi="Times New Roman" w:cs="Times New Roman"/>
                <w:color w:val="000000" w:themeColor="text1"/>
                <w:sz w:val="18"/>
                <w:szCs w:val="18"/>
              </w:rPr>
              <w:t>: Oxygen Consumption</w:t>
            </w:r>
            <w:r>
              <w:rPr>
                <w:rFonts w:ascii="Times New Roman" w:eastAsia="DengXian" w:hAnsi="Times New Roman" w:cs="Times New Roman"/>
                <w:color w:val="000000" w:themeColor="text1"/>
                <w:sz w:val="18"/>
                <w:szCs w:val="18"/>
              </w:rPr>
              <w:t xml:space="preserve">; </w:t>
            </w:r>
            <w:r>
              <w:rPr>
                <w:rFonts w:ascii="Times New Roman" w:eastAsia="DengXian" w:hAnsi="Times New Roman" w:cs="Times New Roman"/>
                <w:b/>
                <w:bCs/>
                <w:color w:val="000000" w:themeColor="text1"/>
                <w:sz w:val="18"/>
                <w:szCs w:val="18"/>
                <w:vertAlign w:val="superscript"/>
              </w:rPr>
              <w:t xml:space="preserve">5 </w:t>
            </w:r>
            <w:r w:rsidRPr="004C4655">
              <w:rPr>
                <w:rFonts w:ascii="Times New Roman" w:eastAsia="DengXian" w:hAnsi="Times New Roman" w:cs="Times New Roman"/>
                <w:b/>
                <w:bCs/>
                <w:color w:val="000000" w:themeColor="text1"/>
                <w:sz w:val="18"/>
                <w:szCs w:val="18"/>
              </w:rPr>
              <w:t>VAT</w:t>
            </w:r>
            <w:r w:rsidRPr="004C4655">
              <w:rPr>
                <w:rFonts w:ascii="Times New Roman" w:eastAsia="DengXian" w:hAnsi="Times New Roman" w:cs="Times New Roman"/>
                <w:color w:val="000000" w:themeColor="text1"/>
                <w:sz w:val="18"/>
                <w:szCs w:val="18"/>
              </w:rPr>
              <w:t>: Ventilatory Anaerobic Threshold;</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6 </w:t>
            </w:r>
            <w:r w:rsidRPr="004C4655">
              <w:rPr>
                <w:rFonts w:ascii="Times New Roman" w:eastAsia="DengXian" w:hAnsi="Times New Roman" w:cs="Times New Roman"/>
                <w:b/>
                <w:bCs/>
                <w:color w:val="000000" w:themeColor="text1"/>
                <w:sz w:val="18"/>
                <w:szCs w:val="18"/>
              </w:rPr>
              <w:t>LKQCHD</w:t>
            </w:r>
            <w:r w:rsidRPr="004C4655">
              <w:rPr>
                <w:rFonts w:ascii="Times New Roman" w:eastAsia="DengXian" w:hAnsi="Times New Roman" w:cs="Times New Roman"/>
                <w:color w:val="000000" w:themeColor="text1"/>
                <w:sz w:val="18"/>
                <w:szCs w:val="18"/>
              </w:rPr>
              <w:t>: Congenital Heart Disease Leuven Knowledge Questionnaire;</w:t>
            </w:r>
            <w:r>
              <w:rPr>
                <w:rFonts w:ascii="Times New Roman" w:eastAsia="DengXian" w:hAnsi="Times New Roman" w:cs="Times New Roman"/>
                <w:b/>
                <w:bCs/>
                <w:color w:val="000000" w:themeColor="text1"/>
                <w:sz w:val="18"/>
                <w:szCs w:val="18"/>
                <w:vertAlign w:val="superscript"/>
              </w:rPr>
              <w:t xml:space="preserve"> 7 </w:t>
            </w:r>
            <w:r w:rsidRPr="004C4655">
              <w:rPr>
                <w:rFonts w:ascii="Times New Roman" w:eastAsia="DengXian" w:hAnsi="Times New Roman" w:cs="Times New Roman"/>
                <w:b/>
                <w:bCs/>
                <w:color w:val="000000" w:themeColor="text1"/>
                <w:sz w:val="18"/>
                <w:szCs w:val="18"/>
              </w:rPr>
              <w:t>STAI</w:t>
            </w:r>
            <w:r w:rsidRPr="004C4655">
              <w:rPr>
                <w:rFonts w:ascii="Times New Roman" w:eastAsia="DengXian" w:hAnsi="Times New Roman" w:cs="Times New Roman"/>
                <w:color w:val="000000" w:themeColor="text1"/>
                <w:sz w:val="18"/>
                <w:szCs w:val="18"/>
              </w:rPr>
              <w:t xml:space="preserve">: State and Trait Anxiety Inventory questionnaire; </w:t>
            </w:r>
            <w:r>
              <w:rPr>
                <w:rFonts w:ascii="Times New Roman" w:eastAsia="DengXian" w:hAnsi="Times New Roman" w:cs="Times New Roman"/>
                <w:b/>
                <w:bCs/>
                <w:color w:val="000000" w:themeColor="text1"/>
                <w:sz w:val="18"/>
                <w:szCs w:val="18"/>
                <w:vertAlign w:val="superscript"/>
              </w:rPr>
              <w:t xml:space="preserve">8 </w:t>
            </w:r>
            <w:r w:rsidRPr="004C4655">
              <w:rPr>
                <w:rFonts w:ascii="Times New Roman" w:eastAsia="DengXian" w:hAnsi="Times New Roman" w:cs="Times New Roman"/>
                <w:b/>
                <w:bCs/>
                <w:color w:val="000000" w:themeColor="text1"/>
                <w:sz w:val="18"/>
                <w:szCs w:val="18"/>
              </w:rPr>
              <w:t>STAI-C</w:t>
            </w:r>
            <w:r w:rsidRPr="004C4655">
              <w:rPr>
                <w:rFonts w:ascii="Times New Roman" w:eastAsia="DengXian" w:hAnsi="Times New Roman" w:cs="Times New Roman"/>
                <w:color w:val="000000" w:themeColor="text1"/>
                <w:sz w:val="18"/>
                <w:szCs w:val="18"/>
              </w:rPr>
              <w:t>: State and Trait Anxiety Inventory questionnaire-Children</w:t>
            </w:r>
            <w:r>
              <w:rPr>
                <w:rFonts w:ascii="Times New Roman" w:eastAsia="DengXian" w:hAnsi="Times New Roman" w:cs="Times New Roman" w:hint="eastAsia"/>
                <w:color w:val="000000" w:themeColor="text1"/>
                <w:sz w:val="18"/>
                <w:szCs w:val="18"/>
              </w:rPr>
              <w:t>;</w:t>
            </w:r>
            <w:r>
              <w:rPr>
                <w:rFonts w:ascii="Times New Roman" w:eastAsia="DengXian" w:hAnsi="Times New Roman" w:cs="Times New Roman"/>
                <w:color w:val="000000" w:themeColor="text1"/>
                <w:sz w:val="18"/>
                <w:szCs w:val="18"/>
              </w:rPr>
              <w:t xml:space="preserve"> </w:t>
            </w:r>
            <w:r>
              <w:rPr>
                <w:rFonts w:ascii="Times New Roman" w:eastAsia="DengXian" w:hAnsi="Times New Roman" w:cs="Times New Roman"/>
                <w:b/>
                <w:bCs/>
                <w:color w:val="000000" w:themeColor="text1"/>
                <w:sz w:val="18"/>
                <w:szCs w:val="18"/>
                <w:vertAlign w:val="superscript"/>
              </w:rPr>
              <w:t xml:space="preserve">9 </w:t>
            </w:r>
            <w:r w:rsidRPr="004C4655">
              <w:rPr>
                <w:rFonts w:ascii="Times New Roman" w:eastAsia="DengXian" w:hAnsi="Times New Roman" w:cs="Times New Roman"/>
                <w:b/>
                <w:bCs/>
                <w:color w:val="000000" w:themeColor="text1"/>
                <w:sz w:val="18"/>
                <w:szCs w:val="18"/>
              </w:rPr>
              <w:t>BDI</w:t>
            </w:r>
            <w:r w:rsidRPr="004C4655">
              <w:rPr>
                <w:rFonts w:ascii="Times New Roman" w:eastAsia="DengXian" w:hAnsi="Times New Roman" w:cs="Times New Roman"/>
                <w:color w:val="000000" w:themeColor="text1"/>
                <w:sz w:val="18"/>
                <w:szCs w:val="18"/>
              </w:rPr>
              <w:t>: Beck Depression Inventory;</w:t>
            </w:r>
            <w:r>
              <w:rPr>
                <w:rFonts w:ascii="Times New Roman" w:eastAsia="DengXian" w:hAnsi="Times New Roman" w:cs="Times New Roman"/>
                <w:color w:val="000000" w:themeColor="text1"/>
                <w:sz w:val="18"/>
                <w:szCs w:val="18"/>
              </w:rPr>
              <w:t xml:space="preserve"> </w:t>
            </w:r>
            <w:r>
              <w:rPr>
                <w:rFonts w:ascii="Times New Roman" w:eastAsia="DengXian" w:hAnsi="Times New Roman" w:cs="Times New Roman"/>
                <w:b/>
                <w:bCs/>
                <w:color w:val="000000" w:themeColor="text1"/>
                <w:sz w:val="18"/>
                <w:szCs w:val="18"/>
                <w:vertAlign w:val="superscript"/>
              </w:rPr>
              <w:t xml:space="preserve">10 </w:t>
            </w:r>
            <w:r w:rsidRPr="004C4655">
              <w:rPr>
                <w:rFonts w:ascii="Times New Roman" w:eastAsia="DengXian" w:hAnsi="Times New Roman" w:cs="Times New Roman"/>
                <w:b/>
                <w:bCs/>
                <w:color w:val="000000" w:themeColor="text1"/>
                <w:sz w:val="18"/>
                <w:szCs w:val="18"/>
              </w:rPr>
              <w:t>CDI</w:t>
            </w:r>
            <w:r w:rsidRPr="004C4655">
              <w:rPr>
                <w:rFonts w:ascii="Times New Roman" w:eastAsia="DengXian" w:hAnsi="Times New Roman" w:cs="Times New Roman"/>
                <w:color w:val="000000" w:themeColor="text1"/>
                <w:sz w:val="18"/>
                <w:szCs w:val="18"/>
              </w:rPr>
              <w:t>: Child Depression Inventory;</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11 </w:t>
            </w:r>
            <w:r w:rsidRPr="004C4655">
              <w:rPr>
                <w:rFonts w:ascii="Times New Roman" w:eastAsia="DengXian" w:hAnsi="Times New Roman" w:cs="Times New Roman"/>
                <w:b/>
                <w:bCs/>
                <w:color w:val="000000" w:themeColor="text1"/>
                <w:sz w:val="18"/>
                <w:szCs w:val="18"/>
              </w:rPr>
              <w:t>NYHA</w:t>
            </w:r>
            <w:r w:rsidRPr="004C4655">
              <w:rPr>
                <w:rFonts w:ascii="Times New Roman" w:eastAsia="DengXian" w:hAnsi="Times New Roman" w:cs="Times New Roman"/>
                <w:color w:val="000000" w:themeColor="text1"/>
                <w:sz w:val="18"/>
                <w:szCs w:val="18"/>
              </w:rPr>
              <w:t>: New York Heart Association;</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12 </w:t>
            </w:r>
            <w:r w:rsidRPr="004C4655">
              <w:rPr>
                <w:rFonts w:ascii="Times New Roman" w:eastAsia="DengXian" w:hAnsi="Times New Roman" w:cs="Times New Roman"/>
                <w:b/>
                <w:bCs/>
                <w:color w:val="000000" w:themeColor="text1"/>
                <w:sz w:val="18"/>
                <w:szCs w:val="18"/>
              </w:rPr>
              <w:t>VE</w:t>
            </w:r>
            <w:r w:rsidRPr="004C4655">
              <w:rPr>
                <w:rFonts w:ascii="Times New Roman" w:eastAsia="DengXian" w:hAnsi="Times New Roman" w:cs="Times New Roman"/>
                <w:color w:val="000000" w:themeColor="text1"/>
                <w:sz w:val="18"/>
                <w:szCs w:val="18"/>
              </w:rPr>
              <w:t>: Ventilatory Efficiency;</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13 </w:t>
            </w:r>
            <w:r w:rsidRPr="004C4655">
              <w:rPr>
                <w:rFonts w:ascii="Times New Roman" w:eastAsia="DengXian" w:hAnsi="Times New Roman" w:cs="Times New Roman"/>
                <w:b/>
                <w:bCs/>
                <w:color w:val="000000" w:themeColor="text1"/>
                <w:sz w:val="18"/>
                <w:szCs w:val="18"/>
              </w:rPr>
              <w:t>RHBQ</w:t>
            </w:r>
            <w:r w:rsidRPr="004C4655">
              <w:rPr>
                <w:rFonts w:ascii="Times New Roman" w:eastAsia="DengXian" w:hAnsi="Times New Roman" w:cs="Times New Roman"/>
                <w:color w:val="000000" w:themeColor="text1"/>
                <w:sz w:val="18"/>
                <w:szCs w:val="18"/>
              </w:rPr>
              <w:t>: Rotterdam Health Behavior Questionnaire;</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14 </w:t>
            </w:r>
            <w:r w:rsidRPr="004C4655">
              <w:rPr>
                <w:rFonts w:ascii="Times New Roman" w:eastAsia="DengXian" w:hAnsi="Times New Roman" w:cs="Times New Roman"/>
                <w:b/>
                <w:bCs/>
                <w:color w:val="000000" w:themeColor="text1"/>
                <w:sz w:val="18"/>
                <w:szCs w:val="18"/>
              </w:rPr>
              <w:t>RKQ</w:t>
            </w:r>
            <w:r w:rsidRPr="004C4655">
              <w:rPr>
                <w:rFonts w:ascii="Times New Roman" w:eastAsia="DengXian" w:hAnsi="Times New Roman" w:cs="Times New Roman"/>
                <w:color w:val="000000" w:themeColor="text1"/>
                <w:sz w:val="18"/>
                <w:szCs w:val="18"/>
              </w:rPr>
              <w:t>: Rotterdam Knowledge Questionnaire;</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15 </w:t>
            </w:r>
            <w:r w:rsidRPr="004C4655">
              <w:rPr>
                <w:rFonts w:ascii="Times New Roman" w:eastAsia="DengXian" w:hAnsi="Times New Roman" w:cs="Times New Roman"/>
                <w:b/>
                <w:bCs/>
                <w:color w:val="000000" w:themeColor="text1"/>
                <w:sz w:val="18"/>
                <w:szCs w:val="18"/>
              </w:rPr>
              <w:t>ToF</w:t>
            </w:r>
            <w:r w:rsidRPr="004C4655">
              <w:rPr>
                <w:rFonts w:ascii="Times New Roman" w:eastAsia="DengXian" w:hAnsi="Times New Roman" w:cs="Times New Roman"/>
                <w:color w:val="000000" w:themeColor="text1"/>
                <w:sz w:val="18"/>
                <w:szCs w:val="18"/>
              </w:rPr>
              <w:t>: Tetralogy of Fallot;</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16 </w:t>
            </w:r>
            <w:r w:rsidRPr="004C4655">
              <w:rPr>
                <w:rFonts w:ascii="Times New Roman" w:eastAsia="DengXian" w:hAnsi="Times New Roman" w:cs="Times New Roman"/>
                <w:b/>
                <w:bCs/>
                <w:color w:val="000000" w:themeColor="text1"/>
                <w:sz w:val="18"/>
                <w:szCs w:val="18"/>
              </w:rPr>
              <w:t>IPAQ-TSCV</w:t>
            </w:r>
            <w:r w:rsidRPr="004C4655">
              <w:rPr>
                <w:rFonts w:ascii="Times New Roman" w:eastAsia="DengXian" w:hAnsi="Times New Roman" w:cs="Times New Roman"/>
                <w:color w:val="000000" w:themeColor="text1"/>
                <w:sz w:val="18"/>
                <w:szCs w:val="18"/>
              </w:rPr>
              <w:t>: International Physical Activity Questionnaire-Taiwan Short Card Version;</w:t>
            </w:r>
            <w:r>
              <w:rPr>
                <w:rFonts w:ascii="Times New Roman" w:eastAsia="DengXian" w:hAnsi="Times New Roman" w:cs="Times New Roman" w:hint="eastAsia"/>
                <w:b/>
                <w:bCs/>
                <w:color w:val="000000" w:themeColor="text1"/>
                <w:sz w:val="18"/>
                <w:szCs w:val="18"/>
                <w:vertAlign w:val="superscript"/>
              </w:rPr>
              <w:t xml:space="preserve"> </w:t>
            </w:r>
            <w:r>
              <w:rPr>
                <w:rFonts w:ascii="Times New Roman" w:eastAsia="DengXian" w:hAnsi="Times New Roman" w:cs="Times New Roman"/>
                <w:b/>
                <w:bCs/>
                <w:color w:val="000000" w:themeColor="text1"/>
                <w:sz w:val="18"/>
                <w:szCs w:val="18"/>
                <w:vertAlign w:val="superscript"/>
              </w:rPr>
              <w:t xml:space="preserve">17 </w:t>
            </w:r>
            <w:r w:rsidRPr="004C4655">
              <w:rPr>
                <w:rFonts w:ascii="Times New Roman" w:eastAsia="DengXian" w:hAnsi="Times New Roman" w:cs="Times New Roman"/>
                <w:b/>
                <w:bCs/>
                <w:color w:val="000000" w:themeColor="text1"/>
                <w:sz w:val="18"/>
                <w:szCs w:val="18"/>
              </w:rPr>
              <w:t>TRAQ</w:t>
            </w:r>
            <w:r w:rsidRPr="004C4655">
              <w:rPr>
                <w:rFonts w:ascii="Times New Roman" w:eastAsia="DengXian" w:hAnsi="Times New Roman" w:cs="Times New Roman"/>
                <w:color w:val="000000" w:themeColor="text1"/>
                <w:sz w:val="18"/>
                <w:szCs w:val="18"/>
              </w:rPr>
              <w:t>: Transition readiness questionnaire;</w:t>
            </w:r>
            <w:r>
              <w:rPr>
                <w:rFonts w:ascii="Times New Roman" w:eastAsia="DengXian" w:hAnsi="Times New Roman" w:cs="Times New Roman" w:hint="eastAsia"/>
                <w:color w:val="000000" w:themeColor="text1"/>
                <w:sz w:val="18"/>
                <w:szCs w:val="18"/>
              </w:rPr>
              <w:t xml:space="preserve"> </w:t>
            </w:r>
            <w:r>
              <w:rPr>
                <w:rFonts w:ascii="Times New Roman" w:eastAsia="DengXian" w:hAnsi="Times New Roman" w:cs="Times New Roman"/>
                <w:b/>
                <w:bCs/>
                <w:color w:val="000000" w:themeColor="text1"/>
                <w:sz w:val="18"/>
                <w:szCs w:val="18"/>
                <w:vertAlign w:val="superscript"/>
              </w:rPr>
              <w:t xml:space="preserve">18 </w:t>
            </w:r>
            <w:r w:rsidRPr="00197459">
              <w:rPr>
                <w:rFonts w:ascii="Times New Roman" w:eastAsia="DengXian" w:hAnsi="Times New Roman" w:cs="Times New Roman"/>
                <w:b/>
                <w:bCs/>
                <w:color w:val="000000" w:themeColor="text1"/>
                <w:sz w:val="18"/>
                <w:szCs w:val="18"/>
              </w:rPr>
              <w:t>HRPF</w:t>
            </w:r>
            <w:r>
              <w:rPr>
                <w:rFonts w:ascii="Times New Roman" w:eastAsia="DengXian" w:hAnsi="Times New Roman" w:cs="Times New Roman"/>
                <w:color w:val="000000" w:themeColor="text1"/>
                <w:sz w:val="18"/>
                <w:szCs w:val="18"/>
              </w:rPr>
              <w:t>:</w:t>
            </w:r>
            <w:r w:rsidRPr="00EB3E5B">
              <w:rPr>
                <w:rFonts w:ascii="Times New Roman" w:eastAsia="DengXian" w:hAnsi="Times New Roman" w:cs="Times New Roman"/>
                <w:color w:val="000000"/>
                <w:sz w:val="18"/>
                <w:szCs w:val="18"/>
              </w:rPr>
              <w:t xml:space="preserve"> health-related physical fitness</w:t>
            </w:r>
          </w:p>
        </w:tc>
      </w:tr>
    </w:tbl>
    <w:p w14:paraId="60876D2C" w14:textId="3A173CCB" w:rsidR="006C08CB" w:rsidRDefault="006C08CB"/>
    <w:p w14:paraId="5D2B7F96" w14:textId="77777777" w:rsidR="000A32E0" w:rsidRPr="00CE3E42" w:rsidRDefault="000A32E0">
      <w:pPr>
        <w:rPr>
          <w:sz w:val="18"/>
          <w:szCs w:val="18"/>
        </w:rPr>
      </w:pPr>
    </w:p>
    <w:sectPr w:rsidR="000A32E0" w:rsidRPr="00CE3E42" w:rsidSect="00CC5B50">
      <w:pgSz w:w="16840" w:h="23820"/>
      <w:pgMar w:top="1440" w:right="1800" w:bottom="1440" w:left="1800" w:header="851" w:footer="992" w:gutter="0"/>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stem-ui">
    <w:altName w:val="Cambria"/>
    <w:panose1 w:val="020B0604020202020204"/>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DC9"/>
    <w:rsid w:val="000204F2"/>
    <w:rsid w:val="00034D96"/>
    <w:rsid w:val="00063D57"/>
    <w:rsid w:val="00067B24"/>
    <w:rsid w:val="0007110C"/>
    <w:rsid w:val="00091976"/>
    <w:rsid w:val="000A32E0"/>
    <w:rsid w:val="000B3DA0"/>
    <w:rsid w:val="000B7C9A"/>
    <w:rsid w:val="000C3DF1"/>
    <w:rsid w:val="000C3FB0"/>
    <w:rsid w:val="000E2E98"/>
    <w:rsid w:val="000E74CF"/>
    <w:rsid w:val="000F4863"/>
    <w:rsid w:val="0010181D"/>
    <w:rsid w:val="00125D5D"/>
    <w:rsid w:val="00127BF4"/>
    <w:rsid w:val="00134C04"/>
    <w:rsid w:val="00135DF1"/>
    <w:rsid w:val="00153F72"/>
    <w:rsid w:val="00163E87"/>
    <w:rsid w:val="00167293"/>
    <w:rsid w:val="00174E98"/>
    <w:rsid w:val="001767C4"/>
    <w:rsid w:val="00183FE9"/>
    <w:rsid w:val="001966D3"/>
    <w:rsid w:val="00197459"/>
    <w:rsid w:val="001A2A22"/>
    <w:rsid w:val="001A6D7F"/>
    <w:rsid w:val="001D7B5C"/>
    <w:rsid w:val="001E060B"/>
    <w:rsid w:val="00215E52"/>
    <w:rsid w:val="00233DD6"/>
    <w:rsid w:val="002345D7"/>
    <w:rsid w:val="002673D4"/>
    <w:rsid w:val="00276E80"/>
    <w:rsid w:val="002777DB"/>
    <w:rsid w:val="0028262C"/>
    <w:rsid w:val="002874C8"/>
    <w:rsid w:val="0029043D"/>
    <w:rsid w:val="00290C10"/>
    <w:rsid w:val="002A4873"/>
    <w:rsid w:val="002B7B24"/>
    <w:rsid w:val="002D434D"/>
    <w:rsid w:val="002F5D88"/>
    <w:rsid w:val="003027E2"/>
    <w:rsid w:val="00305722"/>
    <w:rsid w:val="0030648C"/>
    <w:rsid w:val="003158C6"/>
    <w:rsid w:val="00322D04"/>
    <w:rsid w:val="0033147F"/>
    <w:rsid w:val="00345214"/>
    <w:rsid w:val="00354EB9"/>
    <w:rsid w:val="00366BDC"/>
    <w:rsid w:val="00371CE4"/>
    <w:rsid w:val="003750ED"/>
    <w:rsid w:val="003842F3"/>
    <w:rsid w:val="003B71E0"/>
    <w:rsid w:val="003F470A"/>
    <w:rsid w:val="004313AA"/>
    <w:rsid w:val="004329EF"/>
    <w:rsid w:val="004445C4"/>
    <w:rsid w:val="00463015"/>
    <w:rsid w:val="00472F34"/>
    <w:rsid w:val="0049040D"/>
    <w:rsid w:val="00494EA7"/>
    <w:rsid w:val="004C182C"/>
    <w:rsid w:val="004C7ABC"/>
    <w:rsid w:val="004E2A37"/>
    <w:rsid w:val="004E2F76"/>
    <w:rsid w:val="004F1A94"/>
    <w:rsid w:val="005045F4"/>
    <w:rsid w:val="0052057E"/>
    <w:rsid w:val="00522819"/>
    <w:rsid w:val="0052496F"/>
    <w:rsid w:val="00542A70"/>
    <w:rsid w:val="00546AD6"/>
    <w:rsid w:val="0058165A"/>
    <w:rsid w:val="00581C45"/>
    <w:rsid w:val="00586675"/>
    <w:rsid w:val="005B7104"/>
    <w:rsid w:val="005C72A8"/>
    <w:rsid w:val="005E1DEA"/>
    <w:rsid w:val="006035D6"/>
    <w:rsid w:val="00630214"/>
    <w:rsid w:val="00631529"/>
    <w:rsid w:val="00643188"/>
    <w:rsid w:val="00646FF4"/>
    <w:rsid w:val="00657C00"/>
    <w:rsid w:val="00660CC1"/>
    <w:rsid w:val="00676BAC"/>
    <w:rsid w:val="006824DE"/>
    <w:rsid w:val="0068510E"/>
    <w:rsid w:val="006A5220"/>
    <w:rsid w:val="006B0768"/>
    <w:rsid w:val="006B508D"/>
    <w:rsid w:val="006C08CB"/>
    <w:rsid w:val="006C35E4"/>
    <w:rsid w:val="006D445D"/>
    <w:rsid w:val="006D44A8"/>
    <w:rsid w:val="006D4DD7"/>
    <w:rsid w:val="006E073C"/>
    <w:rsid w:val="006F0CA8"/>
    <w:rsid w:val="006F460B"/>
    <w:rsid w:val="007121AB"/>
    <w:rsid w:val="00714369"/>
    <w:rsid w:val="00715326"/>
    <w:rsid w:val="00735F65"/>
    <w:rsid w:val="00746CF6"/>
    <w:rsid w:val="00752096"/>
    <w:rsid w:val="007534AD"/>
    <w:rsid w:val="007620D4"/>
    <w:rsid w:val="00791193"/>
    <w:rsid w:val="00792605"/>
    <w:rsid w:val="007C1A51"/>
    <w:rsid w:val="007D2E5C"/>
    <w:rsid w:val="007E03D0"/>
    <w:rsid w:val="007E0BD3"/>
    <w:rsid w:val="007F0ADA"/>
    <w:rsid w:val="007F68BF"/>
    <w:rsid w:val="00800C43"/>
    <w:rsid w:val="008073BF"/>
    <w:rsid w:val="008232D9"/>
    <w:rsid w:val="00834397"/>
    <w:rsid w:val="00842EF3"/>
    <w:rsid w:val="00847EA5"/>
    <w:rsid w:val="00853A3D"/>
    <w:rsid w:val="00854516"/>
    <w:rsid w:val="00860567"/>
    <w:rsid w:val="008723ED"/>
    <w:rsid w:val="008800AA"/>
    <w:rsid w:val="008818E8"/>
    <w:rsid w:val="008907C8"/>
    <w:rsid w:val="008919BA"/>
    <w:rsid w:val="008A05CF"/>
    <w:rsid w:val="008B53FB"/>
    <w:rsid w:val="008D429C"/>
    <w:rsid w:val="008E1D80"/>
    <w:rsid w:val="00922CE2"/>
    <w:rsid w:val="009331D7"/>
    <w:rsid w:val="00935E9F"/>
    <w:rsid w:val="0095131B"/>
    <w:rsid w:val="00993E25"/>
    <w:rsid w:val="00997B2C"/>
    <w:rsid w:val="009A1DC9"/>
    <w:rsid w:val="009C3159"/>
    <w:rsid w:val="009C60ED"/>
    <w:rsid w:val="009C7E6C"/>
    <w:rsid w:val="009D1A61"/>
    <w:rsid w:val="009F0FC2"/>
    <w:rsid w:val="009F350C"/>
    <w:rsid w:val="00A05090"/>
    <w:rsid w:val="00A1774F"/>
    <w:rsid w:val="00A26241"/>
    <w:rsid w:val="00A3339D"/>
    <w:rsid w:val="00A33696"/>
    <w:rsid w:val="00A64DDC"/>
    <w:rsid w:val="00A67C91"/>
    <w:rsid w:val="00AD578E"/>
    <w:rsid w:val="00AE1929"/>
    <w:rsid w:val="00B00440"/>
    <w:rsid w:val="00B04938"/>
    <w:rsid w:val="00B170E1"/>
    <w:rsid w:val="00B242A8"/>
    <w:rsid w:val="00B31155"/>
    <w:rsid w:val="00B32292"/>
    <w:rsid w:val="00B35D62"/>
    <w:rsid w:val="00B47F78"/>
    <w:rsid w:val="00B60D90"/>
    <w:rsid w:val="00B64391"/>
    <w:rsid w:val="00B933CB"/>
    <w:rsid w:val="00BA5213"/>
    <w:rsid w:val="00BA5696"/>
    <w:rsid w:val="00BB083B"/>
    <w:rsid w:val="00BC2793"/>
    <w:rsid w:val="00BD0DCB"/>
    <w:rsid w:val="00BD121C"/>
    <w:rsid w:val="00C00E97"/>
    <w:rsid w:val="00C04718"/>
    <w:rsid w:val="00C16B1F"/>
    <w:rsid w:val="00C27D60"/>
    <w:rsid w:val="00C34EC4"/>
    <w:rsid w:val="00C47303"/>
    <w:rsid w:val="00C577D4"/>
    <w:rsid w:val="00C74D40"/>
    <w:rsid w:val="00C80EED"/>
    <w:rsid w:val="00C8733E"/>
    <w:rsid w:val="00CB574F"/>
    <w:rsid w:val="00CC5B50"/>
    <w:rsid w:val="00CE3E42"/>
    <w:rsid w:val="00D001E4"/>
    <w:rsid w:val="00D10780"/>
    <w:rsid w:val="00D16B74"/>
    <w:rsid w:val="00D22830"/>
    <w:rsid w:val="00D23B8B"/>
    <w:rsid w:val="00DB3B00"/>
    <w:rsid w:val="00DC1485"/>
    <w:rsid w:val="00DC79D9"/>
    <w:rsid w:val="00DD3307"/>
    <w:rsid w:val="00DF40A1"/>
    <w:rsid w:val="00E13447"/>
    <w:rsid w:val="00E43B20"/>
    <w:rsid w:val="00E566F6"/>
    <w:rsid w:val="00E67252"/>
    <w:rsid w:val="00E81AB6"/>
    <w:rsid w:val="00E83048"/>
    <w:rsid w:val="00EB2921"/>
    <w:rsid w:val="00EB3E5B"/>
    <w:rsid w:val="00EB7652"/>
    <w:rsid w:val="00EC00A4"/>
    <w:rsid w:val="00EC4DAA"/>
    <w:rsid w:val="00ED52F3"/>
    <w:rsid w:val="00EE2A98"/>
    <w:rsid w:val="00EE6B92"/>
    <w:rsid w:val="00EF15E3"/>
    <w:rsid w:val="00EF265D"/>
    <w:rsid w:val="00EF77C4"/>
    <w:rsid w:val="00F16545"/>
    <w:rsid w:val="00F22201"/>
    <w:rsid w:val="00F35186"/>
    <w:rsid w:val="00F60DDF"/>
    <w:rsid w:val="00F6323B"/>
    <w:rsid w:val="00F709E0"/>
    <w:rsid w:val="00F77CA9"/>
    <w:rsid w:val="00F83D0C"/>
    <w:rsid w:val="00F93583"/>
    <w:rsid w:val="00FA5167"/>
    <w:rsid w:val="00FD344E"/>
    <w:rsid w:val="00FE6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BBAF942"/>
  <w15:chartTrackingRefBased/>
  <w15:docId w15:val="{F4F9A079-FF92-FC4C-BAA8-B35E55BD8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1DC9"/>
    <w:rPr>
      <w:rFonts w:ascii="宋体" w:eastAsia="宋体" w:hAnsi="宋体" w:cs="宋体"/>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1DC9"/>
    <w:rPr>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5386372">
      <w:bodyDiv w:val="1"/>
      <w:marLeft w:val="0"/>
      <w:marRight w:val="0"/>
      <w:marTop w:val="0"/>
      <w:marBottom w:val="0"/>
      <w:divBdr>
        <w:top w:val="none" w:sz="0" w:space="0" w:color="auto"/>
        <w:left w:val="none" w:sz="0" w:space="0" w:color="auto"/>
        <w:bottom w:val="none" w:sz="0" w:space="0" w:color="auto"/>
        <w:right w:val="none" w:sz="0" w:space="0" w:color="auto"/>
      </w:divBdr>
    </w:div>
    <w:div w:id="1048452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1242</Words>
  <Characters>7080</Characters>
  <Application>Microsoft Office Word</Application>
  <DocSecurity>0</DocSecurity>
  <Lines>59</Lines>
  <Paragraphs>16</Paragraphs>
  <ScaleCrop>false</ScaleCrop>
  <Company/>
  <LinksUpToDate>false</LinksUpToDate>
  <CharactersWithSpaces>8306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Sylvie008@163.com</dc:creator>
  <cp:keywords/>
  <dc:description/>
  <cp:lastModifiedBy>Sylvie008@163.com</cp:lastModifiedBy>
  <cp:revision>26</cp:revision>
  <cp:lastPrinted>2025-05-11T05:25:00Z</cp:lastPrinted>
  <dcterms:created xsi:type="dcterms:W3CDTF">2025-05-25T04:12:00Z</dcterms:created>
  <dcterms:modified xsi:type="dcterms:W3CDTF">2025-06-24T08:49:00Z</dcterms:modified>
</cp:coreProperties>
</file>