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480" w:lineRule="auto"/>
        <w:rPr>
          <w:rFonts w:ascii="Times New Roman" w:cs="Times New Roman" w:eastAsia="Times New Roman" w:hAnsi="Times New Roman"/>
          <w:b w:val="1"/>
          <w:color w:val="000000"/>
          <w:sz w:val="24"/>
          <w:szCs w:val="24"/>
        </w:rPr>
      </w:pPr>
      <w:bookmarkStart w:colFirst="0" w:colLast="0" w:name="_i4ewnis29v8j" w:id="0"/>
      <w:bookmarkEnd w:id="0"/>
      <w:r w:rsidDel="00000000" w:rsidR="00000000" w:rsidRPr="00000000">
        <w:rPr>
          <w:rFonts w:ascii="Times New Roman" w:cs="Times New Roman" w:eastAsia="Times New Roman" w:hAnsi="Times New Roman"/>
          <w:b w:val="1"/>
          <w:color w:val="000000"/>
          <w:sz w:val="24"/>
          <w:szCs w:val="24"/>
          <w:rtl w:val="0"/>
        </w:rPr>
        <w:t xml:space="preserve">Supplementary File 1: Structured Intake Criteria for the Acuity Categorization Tool (ACT)</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w:t>
        <w:br w:type="textWrapping"/>
        <w:t xml:space="preserve">Detailed definitions and clinical triggers used in the ACT model, including early warning scores (NEWS-2 and PEWS), high-acuity flags, and nurse override protocols. Provides the full intake logic and category descriptions for structured prioritization.</w:t>
      </w:r>
    </w:p>
    <w:p w:rsidR="00000000" w:rsidDel="00000000" w:rsidP="00000000" w:rsidRDefault="00000000" w:rsidRPr="00000000" w14:paraId="00000003">
      <w:pPr>
        <w:pStyle w:val="Heading3"/>
        <w:keepNext w:val="0"/>
        <w:keepLines w:val="0"/>
        <w:spacing w:before="280" w:line="480" w:lineRule="auto"/>
        <w:rPr>
          <w:rFonts w:ascii="Times New Roman" w:cs="Times New Roman" w:eastAsia="Times New Roman" w:hAnsi="Times New Roman"/>
          <w:i w:val="1"/>
          <w:color w:val="000000"/>
          <w:sz w:val="24"/>
          <w:szCs w:val="24"/>
        </w:rPr>
      </w:pPr>
      <w:bookmarkStart w:colFirst="0" w:colLast="0" w:name="_2hgpo2tpli0p"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4"/>
        <w:spacing w:line="480" w:lineRule="auto"/>
        <w:rPr>
          <w:rFonts w:ascii="Times New Roman" w:cs="Times New Roman" w:eastAsia="Times New Roman" w:hAnsi="Times New Roman"/>
          <w:b w:val="1"/>
          <w:color w:val="000000"/>
        </w:rPr>
      </w:pPr>
      <w:bookmarkStart w:colFirst="0" w:colLast="0" w:name="_b6k9n86kr7xg" w:id="2"/>
      <w:bookmarkEnd w:id="2"/>
      <w:r w:rsidDel="00000000" w:rsidR="00000000" w:rsidRPr="00000000">
        <w:rPr>
          <w:rFonts w:ascii="Times New Roman" w:cs="Times New Roman" w:eastAsia="Times New Roman" w:hAnsi="Times New Roman"/>
          <w:b w:val="1"/>
          <w:color w:val="000000"/>
          <w:rtl w:val="0"/>
        </w:rPr>
        <w:t xml:space="preserve">1. Overview</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Acuity Categorization Tool (ACT) is a structured triage system developed at Vestfold Hospital Trust to support rapid and structured prioritization of emergency department patients. It integrates physiological scoring, symptom-based triggers, and professional discretion to assign patients to one of four clinical acuity levels. ACT functions as the structured intake component of the dual-layer ACT–ADJUST triage model, preceding physician-led reassessment.</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triage level is determined by the most concerning finding—whether it stems from vital signs, high-risk presenting symptoms, or professional concern—ensuring that both immediate and anticipated clinical risks are appropriately captured.</w:t>
      </w:r>
    </w:p>
    <w:p w:rsidR="00000000" w:rsidDel="00000000" w:rsidP="00000000" w:rsidRDefault="00000000" w:rsidRPr="00000000" w14:paraId="00000007">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tuldst13wuo3" w:id="3"/>
      <w:bookmarkEnd w:id="3"/>
      <w:r w:rsidDel="00000000" w:rsidR="00000000" w:rsidRPr="00000000">
        <w:rPr>
          <w:rFonts w:ascii="Times New Roman" w:cs="Times New Roman" w:eastAsia="Times New Roman" w:hAnsi="Times New Roman"/>
          <w:b w:val="1"/>
          <w:color w:val="000000"/>
          <w:rtl w:val="0"/>
        </w:rPr>
        <w:t xml:space="preserve">2. Triage Categories</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Patients are assigned one of four priority levels based on the most critical finding—whether it stems from vital signs, presenting symptoms, or clinical concern. Each level corresponds to expected clinical risk and monitoring requirements. Acuity levels reflect increasing clinical urgency. The Red and Orange categories are operationally distinct, with Red requiring immediate physician involvement and continuous monitoring, while Orange permits up to 30 minutes for physician contact.</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four clinical acuity levels, a fifth non-clinical category (“Blue”) is used for patients with low concern who are expected to be discharged directly from the ED. This category facilitates fast-track pathways, helping to balance urgent care demands with efficient management of low-priority cases. “Blue” is excluded from clinical prioritization and outcome analysis.</w:t>
      </w:r>
    </w:p>
    <w:tbl>
      <w:tblPr>
        <w:tblStyle w:val="Table1"/>
        <w:tblW w:w="9360.0" w:type="dxa"/>
        <w:jc w:val="left"/>
        <w:tblLayout w:type="fixed"/>
        <w:tblLook w:val="0600"/>
      </w:tblPr>
      <w:tblGrid>
        <w:gridCol w:w="1245"/>
        <w:gridCol w:w="1695"/>
        <w:gridCol w:w="2355"/>
        <w:gridCol w:w="1365"/>
        <w:gridCol w:w="1380"/>
        <w:gridCol w:w="1320"/>
        <w:tblGridChange w:id="0">
          <w:tblGrid>
            <w:gridCol w:w="1245"/>
            <w:gridCol w:w="1695"/>
            <w:gridCol w:w="2355"/>
            <w:gridCol w:w="1365"/>
            <w:gridCol w:w="1380"/>
            <w:gridCol w:w="132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NEWS / PEWS Threshold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Clinical 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Physician Review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Monitoring Frequency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ECG Monitoring</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 – 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48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NEWS ≥7 / PEWS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Life-/limb-threatening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Orange – Acute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NEWS ≥5 / PEWS =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Potentially life-/limb-threatening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30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30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Yellow – Subacute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NEWS or PEWS =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Symptomatic but not unstable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60 minutes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hour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capacity allows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 – Can Wait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48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NEWS 0–4 / PEWS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Clinically stable, may wait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capacity allows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2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required</w:t>
            </w:r>
          </w:p>
        </w:tc>
      </w:tr>
    </w:tbl>
    <w:p w:rsidR="00000000" w:rsidDel="00000000" w:rsidP="00000000" w:rsidRDefault="00000000" w:rsidRPr="00000000" w14:paraId="00000028">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n3g6kralkg5a" w:id="4"/>
      <w:bookmarkEnd w:id="4"/>
      <w:r w:rsidDel="00000000" w:rsidR="00000000" w:rsidRPr="00000000">
        <w:rPr>
          <w:rFonts w:ascii="Times New Roman" w:cs="Times New Roman" w:eastAsia="Times New Roman" w:hAnsi="Times New Roman"/>
          <w:b w:val="1"/>
          <w:color w:val="000000"/>
          <w:rtl w:val="0"/>
        </w:rPr>
        <w:t xml:space="preserve">3. Physiological Scoring</w:t>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 incorporates early warning scores to identify physiological derangement:</w:t>
      </w:r>
    </w:p>
    <w:p w:rsidR="00000000" w:rsidDel="00000000" w:rsidP="00000000" w:rsidRDefault="00000000" w:rsidRPr="00000000" w14:paraId="0000002A">
      <w:pPr>
        <w:numPr>
          <w:ilvl w:val="0"/>
          <w:numId w:val="2"/>
        </w:numPr>
        <w:spacing w:after="0" w:afterAutospacing="0" w:before="240" w:line="480" w:lineRule="auto"/>
        <w:ind w:left="720" w:hanging="360"/>
        <w:rPr>
          <w:rFonts w:ascii="Nunito Light" w:cs="Nunito Light" w:eastAsia="Nunito Light" w:hAnsi="Nunito Light"/>
          <w:sz w:val="24"/>
          <w:szCs w:val="24"/>
        </w:rPr>
      </w:pPr>
      <w:r w:rsidDel="00000000" w:rsidR="00000000" w:rsidRPr="00000000">
        <w:rPr>
          <w:rFonts w:ascii="Times New Roman" w:cs="Times New Roman" w:eastAsia="Times New Roman" w:hAnsi="Times New Roman"/>
          <w:sz w:val="24"/>
          <w:szCs w:val="24"/>
          <w:rtl w:val="0"/>
        </w:rPr>
        <w:t xml:space="preserve">Adults: National Early Warning Score 2 (NEWS2)</w:t>
      </w:r>
    </w:p>
    <w:p w:rsidR="00000000" w:rsidDel="00000000" w:rsidP="00000000" w:rsidRDefault="00000000" w:rsidRPr="00000000" w14:paraId="0000002B">
      <w:pPr>
        <w:numPr>
          <w:ilvl w:val="0"/>
          <w:numId w:val="2"/>
        </w:numPr>
        <w:spacing w:after="240" w:before="0" w:beforeAutospacing="0" w:line="480" w:lineRule="auto"/>
        <w:ind w:left="720" w:hanging="360"/>
        <w:rPr>
          <w:rFonts w:ascii="Nunito Light" w:cs="Nunito Light" w:eastAsia="Nunito Light" w:hAnsi="Nunito Light"/>
          <w:sz w:val="24"/>
          <w:szCs w:val="24"/>
        </w:rPr>
      </w:pPr>
      <w:r w:rsidDel="00000000" w:rsidR="00000000" w:rsidRPr="00000000">
        <w:rPr>
          <w:rFonts w:ascii="Times New Roman" w:cs="Times New Roman" w:eastAsia="Times New Roman" w:hAnsi="Times New Roman"/>
          <w:sz w:val="24"/>
          <w:szCs w:val="24"/>
          <w:rtl w:val="0"/>
        </w:rPr>
        <w:t xml:space="preserve">Children: Pediatric Early Warning Score (PEWS), adapted to Norwegian practice and based on respiratory rate, heart rate, capillary refill, and clinical appearance (Akuttveileder i pediatri, Helsebiblioteket.no, 2022).</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C">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fxbgdf66hsbn" w:id="5"/>
      <w:bookmarkEnd w:id="5"/>
      <w:r w:rsidDel="00000000" w:rsidR="00000000" w:rsidRPr="00000000">
        <w:rPr>
          <w:rFonts w:ascii="Times New Roman" w:cs="Times New Roman" w:eastAsia="Times New Roman" w:hAnsi="Times New Roman"/>
          <w:b w:val="1"/>
          <w:color w:val="000000"/>
          <w:rtl w:val="0"/>
        </w:rPr>
        <w:t xml:space="preserve">4. Symptom-Based Triggers</w:t>
      </w:r>
    </w:p>
    <w:p w:rsidR="00000000" w:rsidDel="00000000" w:rsidP="00000000" w:rsidRDefault="00000000" w:rsidRPr="00000000" w14:paraId="0000002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Symptom criteria complement physiological scoring and are categorized using the ABCDE framework. The highest risk finding—whether from vitals or symptoms—determines the triage category.</w:t>
      </w:r>
    </w:p>
    <w:p w:rsidR="00000000" w:rsidDel="00000000" w:rsidP="00000000" w:rsidRDefault="00000000" w:rsidRPr="00000000" w14:paraId="0000002E">
      <w:pPr>
        <w:spacing w:after="240" w:before="2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Symptom-Based Triggers by Acuity Level and Clinical System</w:t>
      </w:r>
    </w:p>
    <w:tbl>
      <w:tblPr>
        <w:tblStyle w:val="Table2"/>
        <w:tblW w:w="8820.0" w:type="dxa"/>
        <w:jc w:val="left"/>
        <w:tblLayout w:type="fixed"/>
        <w:tblLook w:val="0600"/>
      </w:tblPr>
      <w:tblGrid>
        <w:gridCol w:w="1395"/>
        <w:gridCol w:w="2760"/>
        <w:gridCol w:w="2940"/>
        <w:gridCol w:w="1725"/>
        <w:tblGridChange w:id="0">
          <w:tblGrid>
            <w:gridCol w:w="1395"/>
            <w:gridCol w:w="2760"/>
            <w:gridCol w:w="2940"/>
            <w:gridCol w:w="172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ABCDE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 – 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Orange – Acute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Yellow – Subacute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 Airway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Stridor</w:t>
              <w:br w:type="textWrapping"/>
              <w:t xml:space="preserve">Swelling in airway</w:t>
              <w:br w:type="textWrapping"/>
              <w:t xml:space="preserve">Potentially threatened airway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Breathing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Severe dyspnea</w:t>
              <w:br w:type="textWrapping"/>
              <w:t xml:space="preserve">Respiratory depression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Dyspnea at rest</w:t>
              <w:br w:type="textWrapping"/>
              <w:t xml:space="preserve">Smoke inhalation in enclosed space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Dyspnea on exertion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 Circulation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trauma</w:t>
              <w:br w:type="textWrapping"/>
              <w:t xml:space="preserve">Severe/non-compressible bleeding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 pain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Slow/compressible bleeding</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 Disability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Severe pain</w:t>
              <w:br w:type="textWrapping"/>
              <w:t xml:space="preserve">Acute neurological deficit</w:t>
              <w:br w:type="textWrapping"/>
              <w:t xml:space="preserve">Unconsciousness</w:t>
              <w:br w:type="textWrapping"/>
              <w:t xml:space="preserve">Ongoing seizures</w:t>
              <w:br w:type="textWrapping"/>
              <w:t xml:space="preserve">Hyperacute headache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pain</w:t>
              <w:br w:type="textWrapping"/>
              <w:t xml:space="preserve">Head trauma with anticoagulation</w:t>
              <w:br w:type="textWrapping"/>
              <w:t xml:space="preserve">Neurological symptoms (onset 12–24h)</w:t>
              <w:br w:type="textWrapping"/>
              <w:t xml:space="preserve">Altered mental status</w:t>
              <w:br w:type="textWrapping"/>
              <w:t xml:space="preserve">Repeated syncope</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Selfdestructive behaviour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pain</w:t>
              <w:br w:type="textWrapping"/>
              <w:t xml:space="preserve">Syncope or near-syncope</w:t>
              <w:br w:type="textWrapping"/>
              <w:t xml:space="preserve">Resolved seizures in known epilepsy</w:t>
            </w:r>
          </w:p>
        </w:tc>
      </w:tr>
      <w:tr>
        <w:trPr>
          <w:cantSplit w:val="0"/>
          <w:trHeight w:val="13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 Exposure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Suspected hypothermia</w:t>
              <w:br w:type="textWrapping"/>
              <w:t xml:space="preserve">Suspected sepsis (NEWS ≥5 or PEWS ≥4 + infection)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Threatened distal neurovascular status</w:t>
              <w:br w:type="textWrapping"/>
              <w:t xml:space="preserve">Poisoning or hazardous exposure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9">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vvdg1h1kljm5" w:id="6"/>
      <w:bookmarkEnd w:id="6"/>
      <w:r w:rsidDel="00000000" w:rsidR="00000000" w:rsidRPr="00000000">
        <w:rPr>
          <w:rFonts w:ascii="Times New Roman" w:cs="Times New Roman" w:eastAsia="Times New Roman" w:hAnsi="Times New Roman"/>
          <w:b w:val="1"/>
          <w:color w:val="000000"/>
          <w:rtl w:val="0"/>
        </w:rPr>
        <w:t xml:space="preserve">5. Discretionary Escalation</w:t>
      </w:r>
    </w:p>
    <w:p w:rsidR="00000000" w:rsidDel="00000000" w:rsidP="00000000" w:rsidRDefault="00000000" w:rsidRPr="00000000" w14:paraId="0000004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may override the algorithmically assigned triage level when clinical judgment indicates a higher level of concern. All justifications for such overrides must be documented in the ED trackboard.</w:t>
      </w:r>
    </w:p>
    <w:p w:rsidR="00000000" w:rsidDel="00000000" w:rsidP="00000000" w:rsidRDefault="00000000" w:rsidRPr="00000000" w14:paraId="0000004B">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qi5znqcblciy" w:id="7"/>
      <w:bookmarkEnd w:id="7"/>
      <w:r w:rsidDel="00000000" w:rsidR="00000000" w:rsidRPr="00000000">
        <w:rPr>
          <w:rFonts w:ascii="Times New Roman" w:cs="Times New Roman" w:eastAsia="Times New Roman" w:hAnsi="Times New Roman"/>
          <w:b w:val="1"/>
          <w:color w:val="000000"/>
          <w:rtl w:val="0"/>
        </w:rPr>
        <w:t xml:space="preserve">6. Physician Reassessment – ADJUST Layer</w:t>
      </w:r>
    </w:p>
    <w:p w:rsidR="00000000" w:rsidDel="00000000" w:rsidP="00000000" w:rsidRDefault="00000000" w:rsidRPr="00000000" w14:paraId="0000004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Adaptive Judgment of Urgency and Streaming (ADJUST) layer introduces physician-led reassessment following ACT intake. Clinicians may confirm or revise the assigned acuity based on a broader clinical picture, including:</w:t>
      </w:r>
    </w:p>
    <w:p w:rsidR="00000000" w:rsidDel="00000000" w:rsidP="00000000" w:rsidRDefault="00000000" w:rsidRPr="00000000" w14:paraId="0000004D">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Focused history and physical examination</w:t>
      </w:r>
    </w:p>
    <w:p w:rsidR="00000000" w:rsidDel="00000000" w:rsidP="00000000" w:rsidRDefault="00000000" w:rsidRPr="00000000" w14:paraId="0000004E">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response and evolving symptoms</w:t>
      </w:r>
    </w:p>
    <w:p w:rsidR="00000000" w:rsidDel="00000000" w:rsidP="00000000" w:rsidRDefault="00000000" w:rsidRPr="00000000" w14:paraId="0000004F">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goals and system-level constraints (e.g., staffing, bed capacity)</w:t>
      </w:r>
    </w:p>
    <w:p w:rsidR="00000000" w:rsidDel="00000000" w:rsidP="00000000" w:rsidRDefault="00000000" w:rsidRPr="00000000" w14:paraId="00000050">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of deterioration or diagnostic uncertainty</w:t>
      </w:r>
    </w:p>
    <w:p w:rsidR="00000000" w:rsidDel="00000000" w:rsidP="00000000" w:rsidRDefault="00000000" w:rsidRPr="00000000" w14:paraId="0000005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Reassessment may result in escalation or de-escalation of acuity. A lower response level may be appropriate when abnormalities are habitual, resolving, or clinically irrelevant. ADJUST uses the same four-level scale as ACT to maintain consistency in acuity classification, monitoring frequency and patient placement. This alignment supports structured communication and coordinated care throughout the department.</w:t>
      </w:r>
    </w:p>
    <w:p w:rsidR="00000000" w:rsidDel="00000000" w:rsidP="00000000" w:rsidRDefault="00000000" w:rsidRPr="00000000" w14:paraId="0000005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may be applied sequentially or concurrently with ACT, depending on workflow. Reclassification—especially downgrades—serves a critical role in preventing over-triage. By safely reclassifying patients to lower-acuity zones when appropriate, ADJUST reduces unnecessary monitoring, alleviates pressure on high-resource areas, and enhances the availability of critical care capacity. This targeted de-escalation promotes both patient safety and operational efficiency within the emergency department.</w:t>
      </w:r>
    </w:p>
    <w:p w:rsidR="00000000" w:rsidDel="00000000" w:rsidP="00000000" w:rsidRDefault="00000000" w:rsidRPr="00000000" w14:paraId="00000053">
      <w:pPr>
        <w:pStyle w:val="Heading4"/>
        <w:keepNext w:val="0"/>
        <w:keepLines w:val="0"/>
        <w:spacing w:after="40" w:before="240" w:line="480" w:lineRule="auto"/>
        <w:rPr>
          <w:rFonts w:ascii="Times New Roman" w:cs="Times New Roman" w:eastAsia="Times New Roman" w:hAnsi="Times New Roman"/>
          <w:b w:val="1"/>
          <w:color w:val="000000"/>
        </w:rPr>
      </w:pPr>
      <w:bookmarkStart w:colFirst="0" w:colLast="0" w:name="_e3w46e8l22se" w:id="8"/>
      <w:bookmarkEnd w:id="8"/>
      <w:r w:rsidDel="00000000" w:rsidR="00000000" w:rsidRPr="00000000">
        <w:rPr>
          <w:rFonts w:ascii="Times New Roman" w:cs="Times New Roman" w:eastAsia="Times New Roman" w:hAnsi="Times New Roman"/>
          <w:b w:val="1"/>
          <w:color w:val="000000"/>
          <w:rtl w:val="0"/>
        </w:rPr>
        <w:t xml:space="preserve">7. Documentation</w:t>
      </w:r>
    </w:p>
    <w:p w:rsidR="00000000" w:rsidDel="00000000" w:rsidP="00000000" w:rsidRDefault="00000000" w:rsidRPr="00000000" w14:paraId="00000054">
      <w:pPr>
        <w:spacing w:after="240" w:before="240" w:line="480" w:lineRule="auto"/>
        <w:rPr/>
      </w:pPr>
      <w:r w:rsidDel="00000000" w:rsidR="00000000" w:rsidRPr="00000000">
        <w:rPr>
          <w:rFonts w:ascii="Times New Roman" w:cs="Times New Roman" w:eastAsia="Times New Roman" w:hAnsi="Times New Roman"/>
          <w:sz w:val="24"/>
          <w:szCs w:val="24"/>
          <w:rtl w:val="0"/>
        </w:rPr>
        <w:t xml:space="preserve">Triage decisions must be documented in the ED trackboard as early as feasible. In high-acuity scenarios (e.g., cardiac arrest), documentation may be delayed due to immediate clinical priorities, but retrospective entry is required.</w:t>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Nuni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5">
      <w:pPr>
        <w:spacing w:line="240" w:lineRule="auto"/>
        <w:rPr>
          <w:rFonts w:ascii="Nunito Light" w:cs="Nunito Light" w:eastAsia="Nunito Light" w:hAnsi="Nunito Light"/>
        </w:rPr>
      </w:pPr>
      <w:r w:rsidDel="00000000" w:rsidR="00000000" w:rsidRPr="00000000">
        <w:rPr>
          <w:rStyle w:val="FootnoteReference"/>
          <w:vertAlign w:val="superscript"/>
        </w:rPr>
        <w:footnoteRef/>
      </w:r>
      <w:r w:rsidDel="00000000" w:rsidR="00000000" w:rsidRPr="00000000">
        <w:rPr>
          <w:rFonts w:ascii="Nunito Light" w:cs="Nunito Light" w:eastAsia="Nunito Light" w:hAnsi="Nunito Light"/>
          <w:sz w:val="20"/>
          <w:szCs w:val="20"/>
          <w:rtl w:val="0"/>
        </w:rPr>
        <w:t xml:space="preserve"> </w:t>
      </w:r>
      <w:r w:rsidDel="00000000" w:rsidR="00000000" w:rsidRPr="00000000">
        <w:rPr>
          <w:rFonts w:ascii="Nunito Light" w:cs="Nunito Light" w:eastAsia="Nunito Light" w:hAnsi="Nunito Light"/>
          <w:rtl w:val="0"/>
        </w:rPr>
        <w:t xml:space="preserve">Available from: Akuttveileder i pediatri – 1.14: Pediatrisk tidlig varslingsskår, triage og kommunikasjon. Helsebiblioteket.no. Norwegian Paediatric Association; 2022. Available from: </w:t>
      </w:r>
      <w:hyperlink r:id="rId1">
        <w:r w:rsidDel="00000000" w:rsidR="00000000" w:rsidRPr="00000000">
          <w:rPr>
            <w:rFonts w:ascii="Nunito Light" w:cs="Nunito Light" w:eastAsia="Nunito Light" w:hAnsi="Nunito Light"/>
            <w:color w:val="1155cc"/>
            <w:u w:val="single"/>
            <w:rtl w:val="0"/>
          </w:rPr>
          <w:t xml:space="preserve">https://www.helsebiblioteket.no/innhold/retningslinjer/pediatri/akuttveileder-i-pediatri/1.akutte-prosedyrer-og-tilstander-inkludert-ulykker/1.14-pediatrisk-tidlig-varslingsskar-triage-og-kommunikasjon</w:t>
        </w:r>
      </w:hyperlink>
      <w:r w:rsidDel="00000000" w:rsidR="00000000" w:rsidRPr="00000000">
        <w:rPr>
          <w:rFonts w:ascii="Nunito Light" w:cs="Nunito Light" w:eastAsia="Nunito Light" w:hAnsi="Nunito Light"/>
          <w:rtl w:val="0"/>
        </w:rPr>
        <w:t xml:space="preserve">. Accessed 16 May 2025.</w:t>
      </w:r>
    </w:p>
    <w:p w:rsidR="00000000" w:rsidDel="00000000" w:rsidP="00000000" w:rsidRDefault="00000000" w:rsidRPr="00000000" w14:paraId="00000056">
      <w:pPr>
        <w:spacing w:line="240" w:lineRule="auto"/>
        <w:rPr>
          <w:rFonts w:ascii="Nunito Light" w:cs="Nunito Light" w:eastAsia="Nunito Light" w:hAnsi="Nunito Light"/>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Light-regular.ttf"/><Relationship Id="rId2" Type="http://schemas.openxmlformats.org/officeDocument/2006/relationships/font" Target="fonts/NunitoLight-bold.ttf"/><Relationship Id="rId3" Type="http://schemas.openxmlformats.org/officeDocument/2006/relationships/font" Target="fonts/NunitoLight-italic.ttf"/><Relationship Id="rId4" Type="http://schemas.openxmlformats.org/officeDocument/2006/relationships/font" Target="fonts/Nunito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helsebiblioteket.no/innhold/retningslinjer/pediatri/akuttveileder-i-pediatri/1.akutte-prosedyrer-og-tilstander-inkludert-ulykker/1.14-pediatrisk-tidlig-varslingsskar-triage-og-kommunikasj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