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386BC" w14:textId="1885668B" w:rsidR="0073737B" w:rsidRPr="00102B6C" w:rsidRDefault="00000000">
      <w:pPr>
        <w:pStyle w:val="Ttul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102B6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Supplementary </w:t>
      </w:r>
      <w:r w:rsidR="008E5C5F" w:rsidRPr="00102B6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Material</w:t>
      </w:r>
    </w:p>
    <w:p w14:paraId="4C75569D" w14:textId="77777777" w:rsidR="00B31C88" w:rsidRPr="00102B6C" w:rsidRDefault="00B31C88" w:rsidP="00B31C88">
      <w:pPr>
        <w:rPr>
          <w:rFonts w:ascii="Times New Roman" w:hAnsi="Times New Roman" w:cs="Times New Roman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val="pt-BR"/>
        </w:rPr>
        <w:id w:val="-38372258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noProof/>
          <w:lang w:val="en-US"/>
        </w:rPr>
      </w:sdtEndPr>
      <w:sdtContent>
        <w:p w14:paraId="0846D47C" w14:textId="3E954AAD" w:rsidR="00B31C88" w:rsidRPr="00102B6C" w:rsidRDefault="00B31C88">
          <w:pPr>
            <w:pStyle w:val="CabealhodoSumrio"/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</w:pPr>
          <w:proofErr w:type="spellStart"/>
          <w:r w:rsidRPr="00102B6C">
            <w:rPr>
              <w:rFonts w:ascii="Times New Roman" w:hAnsi="Times New Roman" w:cs="Times New Roman"/>
              <w:color w:val="000000" w:themeColor="text1"/>
              <w:sz w:val="20"/>
              <w:szCs w:val="20"/>
              <w:lang w:val="pt-BR"/>
            </w:rPr>
            <w:t>Summary</w:t>
          </w:r>
          <w:proofErr w:type="spellEnd"/>
          <w:r w:rsidRPr="00102B6C">
            <w:rPr>
              <w:rFonts w:ascii="Times New Roman" w:hAnsi="Times New Roman" w:cs="Times New Roman"/>
              <w:color w:val="000000" w:themeColor="text1"/>
              <w:sz w:val="20"/>
              <w:szCs w:val="20"/>
              <w:lang w:val="pt-BR"/>
            </w:rPr>
            <w:t xml:space="preserve"> </w:t>
          </w:r>
        </w:p>
        <w:p w14:paraId="7FAC96F6" w14:textId="6D0B45F0" w:rsidR="00ED544F" w:rsidRPr="00102B6C" w:rsidRDefault="00B31C88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color w:val="auto"/>
              <w:kern w:val="2"/>
              <w:sz w:val="20"/>
              <w:szCs w:val="20"/>
              <w:lang w:val="pt-BR" w:eastAsia="pt-BR"/>
              <w14:ligatures w14:val="standardContextual"/>
            </w:rPr>
          </w:pPr>
          <w:r w:rsidRPr="00102B6C">
            <w:rPr>
              <w:rFonts w:ascii="Times New Roman" w:hAnsi="Times New Roman" w:cs="Times New Roman"/>
              <w:b w:val="0"/>
              <w:bCs w:val="0"/>
              <w:noProof w:val="0"/>
              <w:sz w:val="20"/>
              <w:szCs w:val="20"/>
            </w:rPr>
            <w:fldChar w:fldCharType="begin"/>
          </w:r>
          <w:r w:rsidRPr="00102B6C">
            <w:rPr>
              <w:rFonts w:ascii="Times New Roman" w:hAnsi="Times New Roman" w:cs="Times New Roman"/>
              <w:b w:val="0"/>
              <w:bCs w:val="0"/>
              <w:sz w:val="20"/>
              <w:szCs w:val="20"/>
            </w:rPr>
            <w:instrText>TOC \o "1-3" \h \z \u</w:instrText>
          </w:r>
          <w:r w:rsidRPr="00102B6C">
            <w:rPr>
              <w:rFonts w:ascii="Times New Roman" w:hAnsi="Times New Roman" w:cs="Times New Roman"/>
              <w:b w:val="0"/>
              <w:bCs w:val="0"/>
              <w:noProof w:val="0"/>
              <w:sz w:val="20"/>
              <w:szCs w:val="20"/>
            </w:rPr>
            <w:fldChar w:fldCharType="separate"/>
          </w:r>
          <w:hyperlink w:anchor="_Toc198307286" w:history="1">
            <w:r w:rsidR="00ED544F"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Supplementary Table S1 – Search Strategy</w:t>
            </w:r>
            <w:r w:rsidR="00ED544F"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="00ED544F"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="00ED544F"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_Toc198307286 \h </w:instrText>
            </w:r>
            <w:r w:rsidR="00ED544F"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="00ED544F"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="00ED544F"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2</w:t>
            </w:r>
            <w:r w:rsidR="00ED544F"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1B286503" w14:textId="7E0166BE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color w:val="auto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87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Supplementary Table S2 – Risk of Bias Assessment (RoB 2 Tool)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_Toc198307287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3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77B7F17D" w14:textId="7D8D1521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color w:val="auto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88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Supplementary Table S3 – Summary of Included Studies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_Toc198307288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4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66B83A99" w14:textId="7F29D768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color w:val="auto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89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Supplementary Table S4 – GRADE Assessment of Certainty of Evidence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_Toc198307289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5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44ACF8E4" w14:textId="0B31BEEF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color w:val="auto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90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Supplementary Figure S1. Funnel plot assessing publication bias for the outcome of adequate antimicrobial therapy.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_Toc198307290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6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3AD51F97" w14:textId="37A5900C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color w:val="auto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91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Supplementary Figure S2. Funnel </w:t>
            </w:r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</w:t>
            </w:r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lot for the outcome of time to targeted therapy.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_Toc198307291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8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1D29B8C0" w14:textId="32A6EF60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color w:val="auto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92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Supplementary Figure S3. Sensitivity Analysis for antibiotic adequacy without inhale WP3.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_Toc198307292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9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64A16FDF" w14:textId="3DD8C6BD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color w:val="auto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93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Supplementary Figure S4. Sensitivity analysis for antibiotic adequacy without the FLAGSHIP II trial.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_Toc198307293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10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204D9ADA" w14:textId="15EA3746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94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Supplementary Figure S5. Sensitivity analysis for antibiotic adequacy without the Poole study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_Toc198307294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11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5C3A52B1" w14:textId="02BB3471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95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Supplementary Figure S6. Sensitivity analysis for time to effective therapy  without the INHALE WP3 study.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_Toc198307295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12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448344AA" w14:textId="6A3451D8" w:rsidR="00ED544F" w:rsidRPr="00102B6C" w:rsidRDefault="00ED544F" w:rsidP="00ED544F">
          <w:pPr>
            <w:pStyle w:val="Sumrio1"/>
            <w:rPr>
              <w:rFonts w:ascii="Times New Roman" w:hAnsi="Times New Roman" w:cs="Times New Roman"/>
              <w:b w:val="0"/>
              <w:bCs w:val="0"/>
              <w:kern w:val="2"/>
              <w:sz w:val="20"/>
              <w:szCs w:val="20"/>
              <w:lang w:val="pt-BR" w:eastAsia="pt-BR"/>
              <w14:ligatures w14:val="standardContextual"/>
            </w:rPr>
          </w:pPr>
          <w:hyperlink w:anchor="_Toc198307296" w:history="1">
            <w:r w:rsidRPr="00102B6C">
              <w:rPr>
                <w:rStyle w:val="Hyperlink"/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Supplementary Figure S7. Sensitivity analysis for time to effective therapy without the Virk et al trial.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ab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begin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instrText xml:space="preserve"> PAGEREF _Toc198307296 \h </w:instrTex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separate"/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t>13</w:t>
            </w:r>
            <w:r w:rsidRPr="00102B6C">
              <w:rPr>
                <w:rFonts w:ascii="Times New Roman" w:hAnsi="Times New Roman" w:cs="Times New Roman"/>
                <w:b w:val="0"/>
                <w:bCs w:val="0"/>
                <w:webHidden/>
                <w:sz w:val="20"/>
                <w:szCs w:val="20"/>
              </w:rPr>
              <w:fldChar w:fldCharType="end"/>
            </w:r>
          </w:hyperlink>
        </w:p>
        <w:p w14:paraId="205246E8" w14:textId="7AEE0AF7" w:rsidR="00B31C88" w:rsidRDefault="00B31C88">
          <w:r w:rsidRPr="00102B6C">
            <w:rPr>
              <w:rFonts w:ascii="Times New Roman" w:hAnsi="Times New Roman" w:cs="Times New Roman"/>
              <w:noProof/>
              <w:sz w:val="20"/>
              <w:szCs w:val="20"/>
            </w:rPr>
            <w:fldChar w:fldCharType="end"/>
          </w:r>
        </w:p>
      </w:sdtContent>
    </w:sdt>
    <w:p w14:paraId="37D12BAE" w14:textId="0E5E8A4B" w:rsidR="00B31C88" w:rsidRDefault="00B31C88" w:rsidP="00B31C88">
      <w:pPr>
        <w:pStyle w:val="Ttulo1"/>
      </w:pPr>
      <w:r>
        <w:br w:type="page"/>
      </w:r>
    </w:p>
    <w:tbl>
      <w:tblPr>
        <w:tblStyle w:val="Tabelacomgrade"/>
        <w:tblpPr w:leftFromText="180" w:rightFromText="180" w:vertAnchor="page" w:horzAnchor="margin" w:tblpY="2896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B31C88" w14:paraId="58246F65" w14:textId="77777777" w:rsidTr="00102B6C">
        <w:tc>
          <w:tcPr>
            <w:tcW w:w="1980" w:type="dxa"/>
            <w:shd w:val="clear" w:color="auto" w:fill="DDD9C3" w:themeFill="background2" w:themeFillShade="E6"/>
            <w:vAlign w:val="center"/>
          </w:tcPr>
          <w:p w14:paraId="0DBED08B" w14:textId="77777777" w:rsidR="00B31C88" w:rsidRPr="00E54C04" w:rsidRDefault="00B31C88" w:rsidP="00102B6C">
            <w:pPr>
              <w:jc w:val="center"/>
              <w:rPr>
                <w:rFonts w:ascii="Arial" w:hAnsi="Arial" w:cs="Arial"/>
                <w:b/>
                <w:bCs/>
                <w:lang w:val="pt-BR"/>
              </w:rPr>
            </w:pPr>
            <w:proofErr w:type="spellStart"/>
            <w:r w:rsidRPr="00E54C04">
              <w:rPr>
                <w:rFonts w:ascii="Arial" w:hAnsi="Arial" w:cs="Arial"/>
                <w:b/>
                <w:bCs/>
                <w:lang w:val="pt-BR"/>
              </w:rPr>
              <w:lastRenderedPageBreak/>
              <w:t>Pubmed</w:t>
            </w:r>
            <w:proofErr w:type="spellEnd"/>
          </w:p>
        </w:tc>
        <w:tc>
          <w:tcPr>
            <w:tcW w:w="6514" w:type="dxa"/>
          </w:tcPr>
          <w:p w14:paraId="6C531067" w14:textId="77777777" w:rsidR="00B31C88" w:rsidRDefault="00B31C88" w:rsidP="005C13CA">
            <w:r>
              <w:t>("Pneumonia"[Mesh] OR pneumonia[</w:t>
            </w:r>
            <w:proofErr w:type="spellStart"/>
            <w:r>
              <w:t>tiab</w:t>
            </w:r>
            <w:proofErr w:type="spellEnd"/>
            <w:r>
              <w:t>] OR "ventilator-associated pneumonia"[</w:t>
            </w:r>
            <w:proofErr w:type="spellStart"/>
            <w:r>
              <w:t>tiab</w:t>
            </w:r>
            <w:proofErr w:type="spellEnd"/>
            <w:r>
              <w:t>] OR VAP[</w:t>
            </w:r>
            <w:proofErr w:type="spellStart"/>
            <w:r>
              <w:t>tiab</w:t>
            </w:r>
            <w:proofErr w:type="spellEnd"/>
            <w:r>
              <w:t>] OR "hospital-acquired pneumonia"[</w:t>
            </w:r>
            <w:proofErr w:type="spellStart"/>
            <w:r>
              <w:t>tiab</w:t>
            </w:r>
            <w:proofErr w:type="spellEnd"/>
            <w:r>
              <w:t>] OR "nosocomial pneumonia"[</w:t>
            </w:r>
            <w:proofErr w:type="spellStart"/>
            <w:r>
              <w:t>tiab</w:t>
            </w:r>
            <w:proofErr w:type="spellEnd"/>
            <w:r>
              <w:t>])</w:t>
            </w:r>
          </w:p>
          <w:p w14:paraId="49A92A31" w14:textId="77777777" w:rsidR="00B31C88" w:rsidRDefault="00B31C88" w:rsidP="005C13CA">
            <w:r>
              <w:t>AND</w:t>
            </w:r>
          </w:p>
          <w:p w14:paraId="79C46D7E" w14:textId="77777777" w:rsidR="00B31C88" w:rsidRDefault="00B31C88" w:rsidP="005C13CA">
            <w:r>
              <w:t>("Intensive Care Units"[Mesh] OR "Critical Care"[Mesh] OR ICU[</w:t>
            </w:r>
            <w:proofErr w:type="spellStart"/>
            <w:r>
              <w:t>tiab</w:t>
            </w:r>
            <w:proofErr w:type="spellEnd"/>
            <w:r>
              <w:t>] OR "intensive care"[</w:t>
            </w:r>
            <w:proofErr w:type="spellStart"/>
            <w:r>
              <w:t>tiab</w:t>
            </w:r>
            <w:proofErr w:type="spellEnd"/>
            <w:r>
              <w:t>] OR "critical care"[</w:t>
            </w:r>
            <w:proofErr w:type="spellStart"/>
            <w:r>
              <w:t>tiab</w:t>
            </w:r>
            <w:proofErr w:type="spellEnd"/>
            <w:r>
              <w:t>])</w:t>
            </w:r>
          </w:p>
          <w:p w14:paraId="7FA976DA" w14:textId="77777777" w:rsidR="00B31C88" w:rsidRDefault="00B31C88" w:rsidP="005C13CA">
            <w:r>
              <w:t>AND</w:t>
            </w:r>
          </w:p>
          <w:p w14:paraId="2341819B" w14:textId="77777777" w:rsidR="00B31C88" w:rsidRDefault="00B31C88" w:rsidP="005C13CA">
            <w:r>
              <w:t>("Polymerase Chain Reaction"[Mesh] OR PCR[</w:t>
            </w:r>
            <w:proofErr w:type="spellStart"/>
            <w:r>
              <w:t>tiab</w:t>
            </w:r>
            <w:proofErr w:type="spellEnd"/>
            <w:r>
              <w:t>] OR "multiplex PCR"[</w:t>
            </w:r>
            <w:proofErr w:type="spellStart"/>
            <w:r>
              <w:t>tiab</w:t>
            </w:r>
            <w:proofErr w:type="spellEnd"/>
            <w:r>
              <w:t>] OR "syndromic PCR"[</w:t>
            </w:r>
            <w:proofErr w:type="spellStart"/>
            <w:r>
              <w:t>tiab</w:t>
            </w:r>
            <w:proofErr w:type="spellEnd"/>
            <w:r>
              <w:t>] OR "rapid molecular diagnostics"[</w:t>
            </w:r>
            <w:proofErr w:type="spellStart"/>
            <w:r>
              <w:t>tiab</w:t>
            </w:r>
            <w:proofErr w:type="spellEnd"/>
            <w:r>
              <w:t>] OR "molecular testing"[</w:t>
            </w:r>
            <w:proofErr w:type="spellStart"/>
            <w:r>
              <w:t>tiab</w:t>
            </w:r>
            <w:proofErr w:type="spellEnd"/>
            <w:r>
              <w:t>] OR "nucleic acid amplification"[</w:t>
            </w:r>
            <w:proofErr w:type="spellStart"/>
            <w:r>
              <w:t>tiab</w:t>
            </w:r>
            <w:proofErr w:type="spellEnd"/>
            <w:r>
              <w:t>] OR "panel testing"[</w:t>
            </w:r>
            <w:proofErr w:type="spellStart"/>
            <w:r>
              <w:t>tiab</w:t>
            </w:r>
            <w:proofErr w:type="spellEnd"/>
            <w:r>
              <w:t>])</w:t>
            </w:r>
          </w:p>
          <w:p w14:paraId="2315ED41" w14:textId="77777777" w:rsidR="00B31C88" w:rsidRDefault="00B31C88" w:rsidP="005C13CA">
            <w:r>
              <w:t>AND</w:t>
            </w:r>
          </w:p>
          <w:p w14:paraId="1B3B9734" w14:textId="77777777" w:rsidR="00B31C88" w:rsidRPr="00B63FEC" w:rsidRDefault="00B31C88" w:rsidP="005C13CA">
            <w:r>
              <w:t>(randomized[</w:t>
            </w:r>
            <w:proofErr w:type="spellStart"/>
            <w:r>
              <w:t>tiab</w:t>
            </w:r>
            <w:proofErr w:type="spellEnd"/>
            <w:r>
              <w:t xml:space="preserve">] OR </w:t>
            </w:r>
            <w:proofErr w:type="spellStart"/>
            <w:r>
              <w:t>randomised</w:t>
            </w:r>
            <w:proofErr w:type="spellEnd"/>
            <w:r>
              <w:t>[</w:t>
            </w:r>
            <w:proofErr w:type="spellStart"/>
            <w:r>
              <w:t>tiab</w:t>
            </w:r>
            <w:proofErr w:type="spellEnd"/>
            <w:r>
              <w:t>] OR RCT[</w:t>
            </w:r>
            <w:proofErr w:type="spellStart"/>
            <w:r>
              <w:t>tiab</w:t>
            </w:r>
            <w:proofErr w:type="spellEnd"/>
            <w:r>
              <w:t>] OR "randomized trial"[</w:t>
            </w:r>
            <w:proofErr w:type="spellStart"/>
            <w:r>
              <w:t>tiab</w:t>
            </w:r>
            <w:proofErr w:type="spellEnd"/>
            <w:r>
              <w:t>] OR "</w:t>
            </w:r>
            <w:proofErr w:type="spellStart"/>
            <w:r>
              <w:t>randomised</w:t>
            </w:r>
            <w:proofErr w:type="spellEnd"/>
            <w:r>
              <w:t xml:space="preserve"> trial"[</w:t>
            </w:r>
            <w:proofErr w:type="spellStart"/>
            <w:r>
              <w:t>tiab</w:t>
            </w:r>
            <w:proofErr w:type="spellEnd"/>
            <w:r>
              <w:t>] OR "clinical trial"[</w:t>
            </w:r>
            <w:proofErr w:type="spellStart"/>
            <w:r>
              <w:t>tiab</w:t>
            </w:r>
            <w:proofErr w:type="spellEnd"/>
            <w:r>
              <w:t>] OR multicenter[</w:t>
            </w:r>
            <w:proofErr w:type="spellStart"/>
            <w:r>
              <w:t>tiab</w:t>
            </w:r>
            <w:proofErr w:type="spellEnd"/>
            <w:r>
              <w:t>])</w:t>
            </w:r>
          </w:p>
        </w:tc>
      </w:tr>
      <w:tr w:rsidR="00B31C88" w14:paraId="4ED2860C" w14:textId="77777777" w:rsidTr="00102B6C">
        <w:tc>
          <w:tcPr>
            <w:tcW w:w="1980" w:type="dxa"/>
            <w:shd w:val="clear" w:color="auto" w:fill="DDD9C3" w:themeFill="background2" w:themeFillShade="E6"/>
            <w:vAlign w:val="center"/>
          </w:tcPr>
          <w:p w14:paraId="08D256CD" w14:textId="77777777" w:rsidR="00B31C88" w:rsidRPr="00E54C04" w:rsidRDefault="00B31C88" w:rsidP="00102B6C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bCs/>
                <w:lang w:val="pt-BR"/>
              </w:rPr>
            </w:pPr>
            <w:r w:rsidRPr="00E54C04">
              <w:rPr>
                <w:rFonts w:ascii="Arial" w:hAnsi="Arial" w:cs="Arial"/>
                <w:b/>
                <w:bCs/>
                <w:lang w:val="pt-BR"/>
              </w:rPr>
              <w:t>EMBASE</w:t>
            </w:r>
          </w:p>
        </w:tc>
        <w:tc>
          <w:tcPr>
            <w:tcW w:w="6514" w:type="dxa"/>
          </w:tcPr>
          <w:p w14:paraId="0858B98A" w14:textId="77777777" w:rsidR="00B31C88" w:rsidRPr="00FD54D4" w:rsidRDefault="00B31C88" w:rsidP="005C13CA">
            <w:pPr>
              <w:rPr>
                <w:rFonts w:cstheme="minorHAnsi"/>
                <w:lang w:val="pt-BR"/>
              </w:rPr>
            </w:pPr>
            <w:r w:rsidRPr="00FD54D4">
              <w:rPr>
                <w:rFonts w:cstheme="minorHAnsi"/>
                <w:color w:val="2E2E2E"/>
                <w:shd w:val="clear" w:color="auto" w:fill="FFFFFF"/>
              </w:rPr>
              <w:t>('pneumonia'/exp OR 'pneumonia':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'ventilator-associated pneumonia':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vap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'hospital-acquired pneumonia':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'nosocomial pneumonia':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) AND ('intensive care unit'/exp OR 'intensive care'/exp OR '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icu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'intensive care':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'critical care':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) AND ('polymerase chain reaction'/exp OR '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pcr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'multiplex 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pcr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'syndromic 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pcr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'rapid molecular diagnostics':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'molecular testing':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'nucleic acid amplification':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'panel testing':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) AND ('randomized':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randomised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rct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'randomized trial':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randomised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trial':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'clinical trial':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 xml:space="preserve"> OR 'multicenter':</w:t>
            </w:r>
            <w:proofErr w:type="spellStart"/>
            <w:r w:rsidRPr="00FD54D4">
              <w:rPr>
                <w:rFonts w:cstheme="minorHAnsi"/>
                <w:color w:val="2E2E2E"/>
                <w:shd w:val="clear" w:color="auto" w:fill="FFFFFF"/>
              </w:rPr>
              <w:t>ti,ab,kw</w:t>
            </w:r>
            <w:proofErr w:type="spellEnd"/>
            <w:r w:rsidRPr="00FD54D4">
              <w:rPr>
                <w:rFonts w:cstheme="minorHAnsi"/>
                <w:color w:val="2E2E2E"/>
                <w:shd w:val="clear" w:color="auto" w:fill="FFFFFF"/>
              </w:rPr>
              <w:t>)</w:t>
            </w:r>
          </w:p>
        </w:tc>
      </w:tr>
      <w:tr w:rsidR="00B31C88" w14:paraId="6952F9C8" w14:textId="77777777" w:rsidTr="00102B6C">
        <w:tc>
          <w:tcPr>
            <w:tcW w:w="1980" w:type="dxa"/>
            <w:shd w:val="clear" w:color="auto" w:fill="DDD9C3" w:themeFill="background2" w:themeFillShade="E6"/>
            <w:vAlign w:val="center"/>
          </w:tcPr>
          <w:p w14:paraId="7D6D6CEC" w14:textId="77777777" w:rsidR="00B31C88" w:rsidRPr="00E54C04" w:rsidRDefault="00B31C88" w:rsidP="00102B6C">
            <w:pPr>
              <w:jc w:val="center"/>
              <w:rPr>
                <w:rFonts w:ascii="Arial" w:hAnsi="Arial" w:cs="Arial"/>
                <w:b/>
                <w:bCs/>
                <w:lang w:val="pt-BR"/>
              </w:rPr>
            </w:pPr>
            <w:r w:rsidRPr="00E54C04">
              <w:rPr>
                <w:rFonts w:ascii="Arial" w:hAnsi="Arial" w:cs="Arial"/>
                <w:b/>
                <w:bCs/>
                <w:lang w:val="pt-BR"/>
              </w:rPr>
              <w:t>Cochrane Library</w:t>
            </w:r>
          </w:p>
        </w:tc>
        <w:tc>
          <w:tcPr>
            <w:tcW w:w="6514" w:type="dxa"/>
          </w:tcPr>
          <w:p w14:paraId="69F88F85" w14:textId="77777777" w:rsidR="00B31C88" w:rsidRPr="000E45B2" w:rsidRDefault="00B31C88" w:rsidP="005C13CA">
            <w:pPr>
              <w:rPr>
                <w:rFonts w:ascii="Arial" w:hAnsi="Arial" w:cs="Arial"/>
                <w:lang w:val="pt-BR"/>
              </w:rPr>
            </w:pPr>
            <w:r w:rsidRPr="000E45B2">
              <w:rPr>
                <w:rFonts w:ascii="Arial" w:hAnsi="Arial" w:cs="Arial"/>
                <w:lang w:val="pt-BR"/>
              </w:rPr>
              <w:t>(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pneumonia:</w:t>
            </w:r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ventilator-associated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pneumonia":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vap:</w:t>
            </w:r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"hospital-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acquired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pneumonia":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"nosocomial pneumonia":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)</w:t>
            </w:r>
          </w:p>
          <w:p w14:paraId="7FA6CFD5" w14:textId="77777777" w:rsidR="00B31C88" w:rsidRPr="000E45B2" w:rsidRDefault="00B31C88" w:rsidP="005C13CA">
            <w:pPr>
              <w:rPr>
                <w:rFonts w:ascii="Arial" w:hAnsi="Arial" w:cs="Arial"/>
                <w:lang w:val="pt-BR"/>
              </w:rPr>
            </w:pPr>
            <w:r w:rsidRPr="000E45B2">
              <w:rPr>
                <w:rFonts w:ascii="Arial" w:hAnsi="Arial" w:cs="Arial"/>
                <w:lang w:val="pt-BR"/>
              </w:rPr>
              <w:t>AND</w:t>
            </w:r>
          </w:p>
          <w:p w14:paraId="3D801B82" w14:textId="77777777" w:rsidR="00B31C88" w:rsidRPr="000E45B2" w:rsidRDefault="00B31C88" w:rsidP="005C13CA">
            <w:pPr>
              <w:rPr>
                <w:rFonts w:ascii="Arial" w:hAnsi="Arial" w:cs="Arial"/>
                <w:lang w:val="pt-BR"/>
              </w:rPr>
            </w:pPr>
            <w:r w:rsidRPr="000E45B2">
              <w:rPr>
                <w:rFonts w:ascii="Arial" w:hAnsi="Arial" w:cs="Arial"/>
                <w:lang w:val="pt-BR"/>
              </w:rPr>
              <w:t>("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intensive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care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critical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care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icu:</w:t>
            </w:r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)</w:t>
            </w:r>
          </w:p>
          <w:p w14:paraId="76AC311A" w14:textId="77777777" w:rsidR="00B31C88" w:rsidRPr="000E45B2" w:rsidRDefault="00B31C88" w:rsidP="005C13CA">
            <w:pPr>
              <w:rPr>
                <w:rFonts w:ascii="Arial" w:hAnsi="Arial" w:cs="Arial"/>
                <w:lang w:val="pt-BR"/>
              </w:rPr>
            </w:pPr>
            <w:r w:rsidRPr="000E45B2">
              <w:rPr>
                <w:rFonts w:ascii="Arial" w:hAnsi="Arial" w:cs="Arial"/>
                <w:lang w:val="pt-BR"/>
              </w:rPr>
              <w:t>AND</w:t>
            </w:r>
          </w:p>
          <w:p w14:paraId="46E49B58" w14:textId="77777777" w:rsidR="00B31C88" w:rsidRPr="000E45B2" w:rsidRDefault="00B31C88" w:rsidP="005C13CA">
            <w:pPr>
              <w:rPr>
                <w:rFonts w:ascii="Arial" w:hAnsi="Arial" w:cs="Arial"/>
                <w:lang w:val="pt-BR"/>
              </w:rPr>
            </w:pPr>
            <w:r w:rsidRPr="000E45B2">
              <w:rPr>
                <w:rFonts w:ascii="Arial" w:hAnsi="Arial" w:cs="Arial"/>
                <w:lang w:val="pt-BR"/>
              </w:rPr>
              <w:t>("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polymerase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chain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reaction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pcr:</w:t>
            </w:r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"multiplex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pcr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syndromic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pcr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rapid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molecular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diagnostics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"molecular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testing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nucleic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acid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amplification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panel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testing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)</w:t>
            </w:r>
          </w:p>
          <w:p w14:paraId="4B286432" w14:textId="77777777" w:rsidR="00B31C88" w:rsidRPr="000E45B2" w:rsidRDefault="00B31C88" w:rsidP="005C13CA">
            <w:pPr>
              <w:rPr>
                <w:rFonts w:ascii="Arial" w:hAnsi="Arial" w:cs="Arial"/>
                <w:lang w:val="pt-BR"/>
              </w:rPr>
            </w:pPr>
            <w:r w:rsidRPr="000E45B2">
              <w:rPr>
                <w:rFonts w:ascii="Arial" w:hAnsi="Arial" w:cs="Arial"/>
                <w:lang w:val="pt-BR"/>
              </w:rPr>
              <w:t>AND</w:t>
            </w:r>
          </w:p>
          <w:p w14:paraId="6798BB36" w14:textId="77777777" w:rsidR="00B31C88" w:rsidRPr="00E54C04" w:rsidRDefault="00B31C88" w:rsidP="005C13CA">
            <w:pPr>
              <w:rPr>
                <w:rFonts w:ascii="Arial" w:hAnsi="Arial" w:cs="Arial"/>
                <w:lang w:val="pt-BR"/>
              </w:rPr>
            </w:pPr>
            <w:r w:rsidRPr="000E45B2">
              <w:rPr>
                <w:rFonts w:ascii="Arial" w:hAnsi="Arial" w:cs="Arial"/>
                <w:lang w:val="pt-BR"/>
              </w:rPr>
              <w:t>(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randomized:</w:t>
            </w:r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randomised:</w:t>
            </w:r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rct:</w:t>
            </w:r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randomized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trial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randomised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trial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"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clinical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trial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":</w:t>
            </w:r>
            <w:proofErr w:type="spellStart"/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 xml:space="preserve"> OR </w:t>
            </w:r>
            <w:proofErr w:type="spellStart"/>
            <w:r w:rsidRPr="000E45B2">
              <w:rPr>
                <w:rFonts w:ascii="Arial" w:hAnsi="Arial" w:cs="Arial"/>
                <w:lang w:val="pt-BR"/>
              </w:rPr>
              <w:t>multicenter:</w:t>
            </w:r>
            <w:proofErr w:type="gramStart"/>
            <w:r w:rsidRPr="000E45B2">
              <w:rPr>
                <w:rFonts w:ascii="Arial" w:hAnsi="Arial" w:cs="Arial"/>
                <w:lang w:val="pt-BR"/>
              </w:rPr>
              <w:t>ti,ab</w:t>
            </w:r>
            <w:proofErr w:type="gramEnd"/>
            <w:r w:rsidRPr="000E45B2">
              <w:rPr>
                <w:rFonts w:ascii="Arial" w:hAnsi="Arial" w:cs="Arial"/>
                <w:lang w:val="pt-BR"/>
              </w:rPr>
              <w:t>,kw</w:t>
            </w:r>
            <w:proofErr w:type="spellEnd"/>
            <w:r w:rsidRPr="000E45B2">
              <w:rPr>
                <w:rFonts w:ascii="Arial" w:hAnsi="Arial" w:cs="Arial"/>
                <w:lang w:val="pt-BR"/>
              </w:rPr>
              <w:t>)</w:t>
            </w:r>
          </w:p>
        </w:tc>
      </w:tr>
    </w:tbl>
    <w:p w14:paraId="5BEC27C6" w14:textId="77777777" w:rsidR="00B31C88" w:rsidRDefault="00B31C88" w:rsidP="00B31C88"/>
    <w:p w14:paraId="44FC6F1E" w14:textId="2B070F80" w:rsidR="00B31C88" w:rsidRPr="00102B6C" w:rsidRDefault="00B31C88" w:rsidP="00B31C88">
      <w:pPr>
        <w:pStyle w:val="Ttulo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Toc198307286"/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Table </w:t>
      </w:r>
      <w:r w:rsidR="00257AC4"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1 – Search Strategy</w:t>
      </w:r>
      <w:bookmarkEnd w:id="0"/>
    </w:p>
    <w:p w14:paraId="344B89DC" w14:textId="48A88E8F" w:rsidR="00B31C88" w:rsidRDefault="00B31C88" w:rsidP="00B31C88">
      <w:pPr>
        <w:sectPr w:rsidR="00B31C88" w:rsidSect="000346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F32B556" w14:textId="77777777" w:rsidR="00B31C88" w:rsidRPr="00102B6C" w:rsidRDefault="00B31C88" w:rsidP="00B31C88">
      <w:pPr>
        <w:rPr>
          <w:rFonts w:ascii="Times New Roman" w:hAnsi="Times New Roman" w:cs="Times New Roman"/>
        </w:rPr>
      </w:pPr>
    </w:p>
    <w:p w14:paraId="3CC97742" w14:textId="48EA7472" w:rsidR="0073737B" w:rsidRDefault="00000000">
      <w:pPr>
        <w:pStyle w:val="Ttulo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198307287"/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Table </w:t>
      </w:r>
      <w:r w:rsidR="00257AC4"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2 – Risk of Bias Assessment (RoB 2 Tool)</w:t>
      </w:r>
      <w:bookmarkEnd w:id="1"/>
    </w:p>
    <w:p w14:paraId="734F36E2" w14:textId="77777777" w:rsidR="00102B6C" w:rsidRPr="00102B6C" w:rsidRDefault="00102B6C" w:rsidP="00102B6C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34"/>
        <w:gridCol w:w="1765"/>
        <w:gridCol w:w="1620"/>
        <w:gridCol w:w="1910"/>
        <w:gridCol w:w="1614"/>
        <w:gridCol w:w="1165"/>
        <w:gridCol w:w="1701"/>
      </w:tblGrid>
      <w:tr w:rsidR="0073737B" w14:paraId="3CF21BB3" w14:textId="77777777" w:rsidTr="00B31C88">
        <w:tc>
          <w:tcPr>
            <w:tcW w:w="1234" w:type="dxa"/>
            <w:vAlign w:val="center"/>
          </w:tcPr>
          <w:p w14:paraId="17F0E530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Study</w:t>
            </w:r>
          </w:p>
        </w:tc>
        <w:tc>
          <w:tcPr>
            <w:tcW w:w="1649" w:type="dxa"/>
            <w:vAlign w:val="center"/>
          </w:tcPr>
          <w:p w14:paraId="0F951D7C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Randomization Process</w:t>
            </w:r>
          </w:p>
        </w:tc>
        <w:tc>
          <w:tcPr>
            <w:tcW w:w="1620" w:type="dxa"/>
            <w:vAlign w:val="center"/>
          </w:tcPr>
          <w:p w14:paraId="6698D69E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Deviations from Intended Interventions</w:t>
            </w:r>
          </w:p>
        </w:tc>
        <w:tc>
          <w:tcPr>
            <w:tcW w:w="1910" w:type="dxa"/>
            <w:vAlign w:val="center"/>
          </w:tcPr>
          <w:p w14:paraId="106E4A90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Missing Outcome Data</w:t>
            </w:r>
          </w:p>
        </w:tc>
        <w:tc>
          <w:tcPr>
            <w:tcW w:w="1559" w:type="dxa"/>
            <w:vAlign w:val="center"/>
          </w:tcPr>
          <w:p w14:paraId="722F1DA6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Measurement of the Outcome</w:t>
            </w:r>
          </w:p>
        </w:tc>
        <w:tc>
          <w:tcPr>
            <w:tcW w:w="1134" w:type="dxa"/>
            <w:vAlign w:val="center"/>
          </w:tcPr>
          <w:p w14:paraId="14915102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Selection of the Reported Result</w:t>
            </w:r>
          </w:p>
        </w:tc>
        <w:tc>
          <w:tcPr>
            <w:tcW w:w="1701" w:type="dxa"/>
            <w:vAlign w:val="center"/>
          </w:tcPr>
          <w:p w14:paraId="25DD7C31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Overall Risk of Bias</w:t>
            </w:r>
          </w:p>
        </w:tc>
      </w:tr>
      <w:tr w:rsidR="0073737B" w14:paraId="54074626" w14:textId="77777777" w:rsidTr="00B31C88">
        <w:tc>
          <w:tcPr>
            <w:tcW w:w="1234" w:type="dxa"/>
            <w:vAlign w:val="center"/>
          </w:tcPr>
          <w:p w14:paraId="2F1D68D6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INHALE WP3 (2025)</w:t>
            </w:r>
          </w:p>
        </w:tc>
        <w:tc>
          <w:tcPr>
            <w:tcW w:w="1649" w:type="dxa"/>
            <w:vAlign w:val="center"/>
          </w:tcPr>
          <w:p w14:paraId="164BA62C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620" w:type="dxa"/>
            <w:vAlign w:val="center"/>
          </w:tcPr>
          <w:p w14:paraId="6F32A3F3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910" w:type="dxa"/>
            <w:vAlign w:val="center"/>
          </w:tcPr>
          <w:p w14:paraId="04C88370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559" w:type="dxa"/>
            <w:vAlign w:val="center"/>
          </w:tcPr>
          <w:p w14:paraId="1B671138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134" w:type="dxa"/>
            <w:vAlign w:val="center"/>
          </w:tcPr>
          <w:p w14:paraId="5C0C474A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701" w:type="dxa"/>
            <w:vAlign w:val="center"/>
          </w:tcPr>
          <w:p w14:paraId="5E17D9B1" w14:textId="77777777" w:rsidR="0073737B" w:rsidRDefault="00000000" w:rsidP="00B31C88">
            <w:pPr>
              <w:jc w:val="center"/>
            </w:pPr>
            <w:r>
              <w:t>Low</w:t>
            </w:r>
          </w:p>
        </w:tc>
      </w:tr>
      <w:tr w:rsidR="0073737B" w14:paraId="4B4D542C" w14:textId="77777777" w:rsidTr="00B31C88">
        <w:tc>
          <w:tcPr>
            <w:tcW w:w="1234" w:type="dxa"/>
            <w:vAlign w:val="center"/>
          </w:tcPr>
          <w:p w14:paraId="361AFA65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FLAGSHIP II (2022)</w:t>
            </w:r>
          </w:p>
        </w:tc>
        <w:tc>
          <w:tcPr>
            <w:tcW w:w="1649" w:type="dxa"/>
            <w:vAlign w:val="center"/>
          </w:tcPr>
          <w:p w14:paraId="4404BF52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620" w:type="dxa"/>
            <w:vAlign w:val="center"/>
          </w:tcPr>
          <w:p w14:paraId="052C8356" w14:textId="77777777" w:rsidR="0073737B" w:rsidRDefault="00000000" w:rsidP="00B31C88">
            <w:pPr>
              <w:jc w:val="center"/>
            </w:pPr>
            <w:r>
              <w:t>Some concerns</w:t>
            </w:r>
          </w:p>
        </w:tc>
        <w:tc>
          <w:tcPr>
            <w:tcW w:w="1910" w:type="dxa"/>
            <w:vAlign w:val="center"/>
          </w:tcPr>
          <w:p w14:paraId="17B725DA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559" w:type="dxa"/>
            <w:vAlign w:val="center"/>
          </w:tcPr>
          <w:p w14:paraId="6833EB18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134" w:type="dxa"/>
            <w:vAlign w:val="center"/>
          </w:tcPr>
          <w:p w14:paraId="2ACEDBD3" w14:textId="77777777" w:rsidR="0073737B" w:rsidRDefault="00000000" w:rsidP="00B31C88">
            <w:pPr>
              <w:jc w:val="center"/>
            </w:pPr>
            <w:r>
              <w:t>Some concerns</w:t>
            </w:r>
          </w:p>
        </w:tc>
        <w:tc>
          <w:tcPr>
            <w:tcW w:w="1701" w:type="dxa"/>
            <w:vAlign w:val="center"/>
          </w:tcPr>
          <w:p w14:paraId="5CD3FAE7" w14:textId="77777777" w:rsidR="0073737B" w:rsidRDefault="00000000" w:rsidP="00B31C88">
            <w:pPr>
              <w:jc w:val="center"/>
            </w:pPr>
            <w:r>
              <w:t>Some concerns</w:t>
            </w:r>
          </w:p>
        </w:tc>
      </w:tr>
      <w:tr w:rsidR="0073737B" w14:paraId="5CC49D54" w14:textId="77777777" w:rsidTr="00B31C88">
        <w:tc>
          <w:tcPr>
            <w:tcW w:w="1234" w:type="dxa"/>
            <w:vAlign w:val="center"/>
          </w:tcPr>
          <w:p w14:paraId="70A2F72B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Virk et al. (2024)</w:t>
            </w:r>
          </w:p>
        </w:tc>
        <w:tc>
          <w:tcPr>
            <w:tcW w:w="1649" w:type="dxa"/>
            <w:vAlign w:val="center"/>
          </w:tcPr>
          <w:p w14:paraId="36F12EFF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620" w:type="dxa"/>
            <w:vAlign w:val="center"/>
          </w:tcPr>
          <w:p w14:paraId="5DA4C892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910" w:type="dxa"/>
            <w:vAlign w:val="center"/>
          </w:tcPr>
          <w:p w14:paraId="15AF8460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559" w:type="dxa"/>
            <w:vAlign w:val="center"/>
          </w:tcPr>
          <w:p w14:paraId="0976099B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134" w:type="dxa"/>
            <w:vAlign w:val="center"/>
          </w:tcPr>
          <w:p w14:paraId="105B31AA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701" w:type="dxa"/>
            <w:vAlign w:val="center"/>
          </w:tcPr>
          <w:p w14:paraId="158CFCA2" w14:textId="77777777" w:rsidR="0073737B" w:rsidRDefault="00000000" w:rsidP="00B31C88">
            <w:pPr>
              <w:jc w:val="center"/>
            </w:pPr>
            <w:r>
              <w:t>Low</w:t>
            </w:r>
          </w:p>
        </w:tc>
      </w:tr>
      <w:tr w:rsidR="0073737B" w14:paraId="2D95B330" w14:textId="77777777" w:rsidTr="00B31C88">
        <w:tc>
          <w:tcPr>
            <w:tcW w:w="1234" w:type="dxa"/>
            <w:vAlign w:val="center"/>
          </w:tcPr>
          <w:p w14:paraId="7DD48E7B" w14:textId="77777777" w:rsidR="0073737B" w:rsidRPr="00B31C88" w:rsidRDefault="00000000" w:rsidP="00B31C88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Poole et al. (2022)</w:t>
            </w:r>
          </w:p>
        </w:tc>
        <w:tc>
          <w:tcPr>
            <w:tcW w:w="1649" w:type="dxa"/>
            <w:vAlign w:val="center"/>
          </w:tcPr>
          <w:p w14:paraId="5E6B0542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620" w:type="dxa"/>
            <w:vAlign w:val="center"/>
          </w:tcPr>
          <w:p w14:paraId="4AB5A97D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910" w:type="dxa"/>
            <w:vAlign w:val="center"/>
          </w:tcPr>
          <w:p w14:paraId="36340B8F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559" w:type="dxa"/>
            <w:vAlign w:val="center"/>
          </w:tcPr>
          <w:p w14:paraId="05AC3D0D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134" w:type="dxa"/>
            <w:vAlign w:val="center"/>
          </w:tcPr>
          <w:p w14:paraId="3BAED5DE" w14:textId="77777777" w:rsidR="0073737B" w:rsidRDefault="00000000" w:rsidP="00B31C88">
            <w:pPr>
              <w:jc w:val="center"/>
            </w:pPr>
            <w:r>
              <w:t>Low</w:t>
            </w:r>
          </w:p>
        </w:tc>
        <w:tc>
          <w:tcPr>
            <w:tcW w:w="1701" w:type="dxa"/>
            <w:vAlign w:val="center"/>
          </w:tcPr>
          <w:p w14:paraId="3D4F7DB1" w14:textId="77777777" w:rsidR="0073737B" w:rsidRDefault="00000000" w:rsidP="00B31C88">
            <w:pPr>
              <w:jc w:val="center"/>
            </w:pPr>
            <w:r>
              <w:t>Low</w:t>
            </w:r>
          </w:p>
        </w:tc>
      </w:tr>
    </w:tbl>
    <w:p w14:paraId="7CA1ED90" w14:textId="77777777" w:rsidR="00B31C88" w:rsidRDefault="00B31C88">
      <w:pPr>
        <w:pStyle w:val="Ttulo1"/>
      </w:pPr>
    </w:p>
    <w:p w14:paraId="51C77E14" w14:textId="77777777" w:rsidR="00B31C88" w:rsidRDefault="00B31C88">
      <w:pPr>
        <w:pStyle w:val="Ttulo1"/>
      </w:pPr>
    </w:p>
    <w:p w14:paraId="4D487718" w14:textId="77777777" w:rsidR="00B31C88" w:rsidRDefault="00B31C88">
      <w:pPr>
        <w:pStyle w:val="Ttulo1"/>
      </w:pPr>
    </w:p>
    <w:p w14:paraId="50F4957D" w14:textId="70FCDAD6" w:rsidR="00B31C88" w:rsidRDefault="00B31C88">
      <w:pPr>
        <w:pStyle w:val="Ttulo1"/>
        <w:sectPr w:rsidR="00B31C88" w:rsidSect="00B31C88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3C520FEB" w14:textId="77777777" w:rsidR="00B31C88" w:rsidRPr="00B31C88" w:rsidRDefault="00B31C88" w:rsidP="00B31C88"/>
    <w:p w14:paraId="06CB1D4B" w14:textId="77777777" w:rsidR="00B31C88" w:rsidRDefault="00B31C88">
      <w:pPr>
        <w:pStyle w:val="Ttulo1"/>
      </w:pPr>
    </w:p>
    <w:p w14:paraId="630801A4" w14:textId="6582162C" w:rsidR="0073737B" w:rsidRDefault="00000000">
      <w:pPr>
        <w:pStyle w:val="Ttulo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198307288"/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Table </w:t>
      </w:r>
      <w:r w:rsidR="00257AC4"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3 – Summary of Included Studies</w:t>
      </w:r>
      <w:bookmarkEnd w:id="2"/>
    </w:p>
    <w:p w14:paraId="74F52CAF" w14:textId="77777777" w:rsidR="00102B6C" w:rsidRPr="00102B6C" w:rsidRDefault="00102B6C" w:rsidP="00102B6C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34"/>
        <w:gridCol w:w="1342"/>
        <w:gridCol w:w="1673"/>
        <w:gridCol w:w="1361"/>
        <w:gridCol w:w="1373"/>
        <w:gridCol w:w="1489"/>
        <w:gridCol w:w="2835"/>
      </w:tblGrid>
      <w:tr w:rsidR="0073737B" w14:paraId="58A9E3F5" w14:textId="77777777" w:rsidTr="00257AC4">
        <w:tc>
          <w:tcPr>
            <w:tcW w:w="1234" w:type="dxa"/>
            <w:vAlign w:val="center"/>
          </w:tcPr>
          <w:p w14:paraId="4533DC2D" w14:textId="77777777" w:rsidR="0073737B" w:rsidRPr="00B31C88" w:rsidRDefault="00000000" w:rsidP="00257AC4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Study</w:t>
            </w:r>
          </w:p>
        </w:tc>
        <w:tc>
          <w:tcPr>
            <w:tcW w:w="1342" w:type="dxa"/>
            <w:vAlign w:val="center"/>
          </w:tcPr>
          <w:p w14:paraId="71927DE4" w14:textId="77777777" w:rsidR="0073737B" w:rsidRPr="00B31C88" w:rsidRDefault="00000000" w:rsidP="00257AC4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Country</w:t>
            </w:r>
          </w:p>
        </w:tc>
        <w:tc>
          <w:tcPr>
            <w:tcW w:w="1673" w:type="dxa"/>
            <w:vAlign w:val="center"/>
          </w:tcPr>
          <w:p w14:paraId="1BF481FA" w14:textId="77777777" w:rsidR="0073737B" w:rsidRPr="00B31C88" w:rsidRDefault="00000000" w:rsidP="00257AC4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Sample Size (PCR/Control)</w:t>
            </w:r>
          </w:p>
        </w:tc>
        <w:tc>
          <w:tcPr>
            <w:tcW w:w="1361" w:type="dxa"/>
            <w:vAlign w:val="center"/>
          </w:tcPr>
          <w:p w14:paraId="0E2B07C0" w14:textId="77777777" w:rsidR="0073737B" w:rsidRPr="00B31C88" w:rsidRDefault="00000000" w:rsidP="00257AC4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PCR Platform</w:t>
            </w:r>
          </w:p>
        </w:tc>
        <w:tc>
          <w:tcPr>
            <w:tcW w:w="1373" w:type="dxa"/>
            <w:vAlign w:val="center"/>
          </w:tcPr>
          <w:p w14:paraId="23D4FF82" w14:textId="77777777" w:rsidR="0073737B" w:rsidRPr="00B31C88" w:rsidRDefault="00000000" w:rsidP="00257AC4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Pneumonia Type</w:t>
            </w:r>
          </w:p>
        </w:tc>
        <w:tc>
          <w:tcPr>
            <w:tcW w:w="1489" w:type="dxa"/>
            <w:vAlign w:val="center"/>
          </w:tcPr>
          <w:p w14:paraId="3D5ADEE4" w14:textId="77777777" w:rsidR="0073737B" w:rsidRPr="00B31C88" w:rsidRDefault="00000000" w:rsidP="00257AC4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Follow-up Duration</w:t>
            </w:r>
          </w:p>
        </w:tc>
        <w:tc>
          <w:tcPr>
            <w:tcW w:w="2835" w:type="dxa"/>
            <w:vAlign w:val="center"/>
          </w:tcPr>
          <w:p w14:paraId="6225A14D" w14:textId="77777777" w:rsidR="0073737B" w:rsidRPr="00B31C88" w:rsidRDefault="00000000" w:rsidP="00257AC4">
            <w:pPr>
              <w:jc w:val="center"/>
              <w:rPr>
                <w:b/>
                <w:bCs/>
              </w:rPr>
            </w:pPr>
            <w:r w:rsidRPr="00B31C88">
              <w:rPr>
                <w:b/>
                <w:bCs/>
              </w:rPr>
              <w:t>Main Outcomes Assessed</w:t>
            </w:r>
          </w:p>
        </w:tc>
      </w:tr>
      <w:tr w:rsidR="0073737B" w14:paraId="5E1E5ABE" w14:textId="77777777" w:rsidTr="00257AC4">
        <w:tc>
          <w:tcPr>
            <w:tcW w:w="1234" w:type="dxa"/>
            <w:vAlign w:val="center"/>
          </w:tcPr>
          <w:p w14:paraId="089B17CE" w14:textId="77777777" w:rsidR="0073737B" w:rsidRPr="00257AC4" w:rsidRDefault="00000000" w:rsidP="00257AC4">
            <w:pPr>
              <w:jc w:val="center"/>
              <w:rPr>
                <w:b/>
                <w:bCs/>
              </w:rPr>
            </w:pPr>
            <w:r w:rsidRPr="00257AC4">
              <w:rPr>
                <w:b/>
                <w:bCs/>
              </w:rPr>
              <w:t>INHALE WP3 (2025)</w:t>
            </w:r>
          </w:p>
        </w:tc>
        <w:tc>
          <w:tcPr>
            <w:tcW w:w="1342" w:type="dxa"/>
            <w:vAlign w:val="center"/>
          </w:tcPr>
          <w:p w14:paraId="40ECFF98" w14:textId="77777777" w:rsidR="0073737B" w:rsidRDefault="00000000" w:rsidP="00257AC4">
            <w:pPr>
              <w:jc w:val="center"/>
            </w:pPr>
            <w:r>
              <w:t>UK</w:t>
            </w:r>
          </w:p>
        </w:tc>
        <w:tc>
          <w:tcPr>
            <w:tcW w:w="1673" w:type="dxa"/>
            <w:vAlign w:val="center"/>
          </w:tcPr>
          <w:p w14:paraId="5F16482D" w14:textId="77777777" w:rsidR="0073737B" w:rsidRDefault="00000000" w:rsidP="00257AC4">
            <w:pPr>
              <w:jc w:val="center"/>
            </w:pPr>
            <w:r>
              <w:t>223 / 219</w:t>
            </w:r>
          </w:p>
        </w:tc>
        <w:tc>
          <w:tcPr>
            <w:tcW w:w="1361" w:type="dxa"/>
            <w:vAlign w:val="center"/>
          </w:tcPr>
          <w:p w14:paraId="74DBDE01" w14:textId="77777777" w:rsidR="0073737B" w:rsidRDefault="00000000" w:rsidP="00257AC4">
            <w:pPr>
              <w:jc w:val="center"/>
            </w:pPr>
            <w:r>
              <w:t>FilmArray</w:t>
            </w:r>
          </w:p>
        </w:tc>
        <w:tc>
          <w:tcPr>
            <w:tcW w:w="1373" w:type="dxa"/>
            <w:vAlign w:val="center"/>
          </w:tcPr>
          <w:p w14:paraId="31E0CFA4" w14:textId="77777777" w:rsidR="0073737B" w:rsidRDefault="00000000" w:rsidP="00257AC4">
            <w:pPr>
              <w:jc w:val="center"/>
            </w:pPr>
            <w:r>
              <w:t>HAP, VAP</w:t>
            </w:r>
          </w:p>
        </w:tc>
        <w:tc>
          <w:tcPr>
            <w:tcW w:w="1489" w:type="dxa"/>
            <w:vAlign w:val="center"/>
          </w:tcPr>
          <w:p w14:paraId="188A830C" w14:textId="77777777" w:rsidR="0073737B" w:rsidRDefault="00000000" w:rsidP="00257AC4">
            <w:pPr>
              <w:jc w:val="center"/>
            </w:pPr>
            <w:r>
              <w:t>28 days</w:t>
            </w:r>
          </w:p>
        </w:tc>
        <w:tc>
          <w:tcPr>
            <w:tcW w:w="2835" w:type="dxa"/>
            <w:vAlign w:val="center"/>
          </w:tcPr>
          <w:p w14:paraId="14D22D3E" w14:textId="77777777" w:rsidR="0073737B" w:rsidRDefault="00000000" w:rsidP="00257AC4">
            <w:pPr>
              <w:jc w:val="center"/>
            </w:pPr>
            <w:r>
              <w:t>Antibiotic adequacy, mortality</w:t>
            </w:r>
          </w:p>
        </w:tc>
      </w:tr>
      <w:tr w:rsidR="0073737B" w14:paraId="39AC5D51" w14:textId="77777777" w:rsidTr="00257AC4">
        <w:tc>
          <w:tcPr>
            <w:tcW w:w="1234" w:type="dxa"/>
            <w:vAlign w:val="center"/>
          </w:tcPr>
          <w:p w14:paraId="4D8C2634" w14:textId="77777777" w:rsidR="0073737B" w:rsidRPr="00257AC4" w:rsidRDefault="00000000" w:rsidP="00257AC4">
            <w:pPr>
              <w:jc w:val="center"/>
              <w:rPr>
                <w:b/>
                <w:bCs/>
              </w:rPr>
            </w:pPr>
            <w:r w:rsidRPr="00257AC4">
              <w:rPr>
                <w:b/>
                <w:bCs/>
              </w:rPr>
              <w:t>FLAGSHIP II (2022)</w:t>
            </w:r>
          </w:p>
        </w:tc>
        <w:tc>
          <w:tcPr>
            <w:tcW w:w="1342" w:type="dxa"/>
            <w:vAlign w:val="center"/>
          </w:tcPr>
          <w:p w14:paraId="14A28A69" w14:textId="77777777" w:rsidR="0073737B" w:rsidRDefault="00000000" w:rsidP="00257AC4">
            <w:pPr>
              <w:jc w:val="center"/>
            </w:pPr>
            <w:r>
              <w:t>Switzerland</w:t>
            </w:r>
          </w:p>
        </w:tc>
        <w:tc>
          <w:tcPr>
            <w:tcW w:w="1673" w:type="dxa"/>
            <w:vAlign w:val="center"/>
          </w:tcPr>
          <w:p w14:paraId="3AA498BD" w14:textId="77777777" w:rsidR="0073737B" w:rsidRDefault="00000000" w:rsidP="00257AC4">
            <w:pPr>
              <w:jc w:val="center"/>
            </w:pPr>
            <w:r>
              <w:t>71 / 59</w:t>
            </w:r>
          </w:p>
        </w:tc>
        <w:tc>
          <w:tcPr>
            <w:tcW w:w="1361" w:type="dxa"/>
            <w:vAlign w:val="center"/>
          </w:tcPr>
          <w:p w14:paraId="57846626" w14:textId="77777777" w:rsidR="0073737B" w:rsidRDefault="00000000" w:rsidP="00257AC4">
            <w:pPr>
              <w:jc w:val="center"/>
            </w:pPr>
            <w:r>
              <w:t>Seegene, RespiFinder</w:t>
            </w:r>
          </w:p>
        </w:tc>
        <w:tc>
          <w:tcPr>
            <w:tcW w:w="1373" w:type="dxa"/>
            <w:vAlign w:val="center"/>
          </w:tcPr>
          <w:p w14:paraId="0D4F9155" w14:textId="77777777" w:rsidR="0073737B" w:rsidRDefault="00000000" w:rsidP="00257AC4">
            <w:pPr>
              <w:jc w:val="center"/>
            </w:pPr>
            <w:r>
              <w:t>CAP, HAP</w:t>
            </w:r>
          </w:p>
        </w:tc>
        <w:tc>
          <w:tcPr>
            <w:tcW w:w="1489" w:type="dxa"/>
            <w:vAlign w:val="center"/>
          </w:tcPr>
          <w:p w14:paraId="40870EF8" w14:textId="77777777" w:rsidR="0073737B" w:rsidRDefault="00000000" w:rsidP="00257AC4">
            <w:pPr>
              <w:jc w:val="center"/>
            </w:pPr>
            <w:r>
              <w:t>30 days</w:t>
            </w:r>
          </w:p>
        </w:tc>
        <w:tc>
          <w:tcPr>
            <w:tcW w:w="2835" w:type="dxa"/>
            <w:vAlign w:val="center"/>
          </w:tcPr>
          <w:p w14:paraId="18561690" w14:textId="77777777" w:rsidR="0073737B" w:rsidRDefault="00000000" w:rsidP="00257AC4">
            <w:pPr>
              <w:jc w:val="center"/>
            </w:pPr>
            <w:r>
              <w:t>Time to therapy, de-escalation</w:t>
            </w:r>
          </w:p>
        </w:tc>
      </w:tr>
      <w:tr w:rsidR="0073737B" w14:paraId="2970F4FC" w14:textId="77777777" w:rsidTr="00257AC4">
        <w:tc>
          <w:tcPr>
            <w:tcW w:w="1234" w:type="dxa"/>
            <w:vAlign w:val="center"/>
          </w:tcPr>
          <w:p w14:paraId="2484BF73" w14:textId="77777777" w:rsidR="0073737B" w:rsidRPr="00257AC4" w:rsidRDefault="00000000" w:rsidP="00257AC4">
            <w:pPr>
              <w:jc w:val="center"/>
              <w:rPr>
                <w:b/>
                <w:bCs/>
              </w:rPr>
            </w:pPr>
            <w:r w:rsidRPr="00257AC4">
              <w:rPr>
                <w:b/>
                <w:bCs/>
              </w:rPr>
              <w:t>Virk et al. (2024)</w:t>
            </w:r>
          </w:p>
        </w:tc>
        <w:tc>
          <w:tcPr>
            <w:tcW w:w="1342" w:type="dxa"/>
            <w:vAlign w:val="center"/>
          </w:tcPr>
          <w:p w14:paraId="13B15C26" w14:textId="77777777" w:rsidR="0073737B" w:rsidRDefault="00000000" w:rsidP="00257AC4">
            <w:pPr>
              <w:jc w:val="center"/>
            </w:pPr>
            <w:r>
              <w:t>USA</w:t>
            </w:r>
          </w:p>
        </w:tc>
        <w:tc>
          <w:tcPr>
            <w:tcW w:w="1673" w:type="dxa"/>
            <w:vAlign w:val="center"/>
          </w:tcPr>
          <w:p w14:paraId="1628C838" w14:textId="77777777" w:rsidR="0073737B" w:rsidRDefault="00000000" w:rsidP="00257AC4">
            <w:pPr>
              <w:jc w:val="center"/>
            </w:pPr>
            <w:r>
              <w:t>563 / 589</w:t>
            </w:r>
          </w:p>
        </w:tc>
        <w:tc>
          <w:tcPr>
            <w:tcW w:w="1361" w:type="dxa"/>
            <w:vAlign w:val="center"/>
          </w:tcPr>
          <w:p w14:paraId="3595B87A" w14:textId="77777777" w:rsidR="0073737B" w:rsidRDefault="00000000" w:rsidP="00257AC4">
            <w:pPr>
              <w:jc w:val="center"/>
            </w:pPr>
            <w:r>
              <w:t>FilmArray</w:t>
            </w:r>
          </w:p>
        </w:tc>
        <w:tc>
          <w:tcPr>
            <w:tcW w:w="1373" w:type="dxa"/>
            <w:vAlign w:val="center"/>
          </w:tcPr>
          <w:p w14:paraId="4BD2F9A2" w14:textId="77777777" w:rsidR="0073737B" w:rsidRDefault="00000000" w:rsidP="00257AC4">
            <w:pPr>
              <w:jc w:val="center"/>
            </w:pPr>
            <w:r>
              <w:t>HAP, VAP</w:t>
            </w:r>
          </w:p>
        </w:tc>
        <w:tc>
          <w:tcPr>
            <w:tcW w:w="1489" w:type="dxa"/>
            <w:vAlign w:val="center"/>
          </w:tcPr>
          <w:p w14:paraId="77BFA978" w14:textId="77777777" w:rsidR="0073737B" w:rsidRDefault="00000000" w:rsidP="00257AC4">
            <w:pPr>
              <w:jc w:val="center"/>
            </w:pPr>
            <w:r>
              <w:t>30 days</w:t>
            </w:r>
          </w:p>
        </w:tc>
        <w:tc>
          <w:tcPr>
            <w:tcW w:w="2835" w:type="dxa"/>
            <w:vAlign w:val="center"/>
          </w:tcPr>
          <w:p w14:paraId="0ED556D5" w14:textId="77777777" w:rsidR="0073737B" w:rsidRDefault="00000000" w:rsidP="00257AC4">
            <w:pPr>
              <w:jc w:val="center"/>
            </w:pPr>
            <w:r>
              <w:t>Antibiotic changes, mortality</w:t>
            </w:r>
          </w:p>
        </w:tc>
      </w:tr>
      <w:tr w:rsidR="0073737B" w14:paraId="79619754" w14:textId="77777777" w:rsidTr="00257AC4">
        <w:tc>
          <w:tcPr>
            <w:tcW w:w="1234" w:type="dxa"/>
            <w:vAlign w:val="center"/>
          </w:tcPr>
          <w:p w14:paraId="6D732596" w14:textId="77777777" w:rsidR="0073737B" w:rsidRPr="00257AC4" w:rsidRDefault="00000000" w:rsidP="00257AC4">
            <w:pPr>
              <w:jc w:val="center"/>
              <w:rPr>
                <w:b/>
                <w:bCs/>
              </w:rPr>
            </w:pPr>
            <w:r w:rsidRPr="00257AC4">
              <w:rPr>
                <w:b/>
                <w:bCs/>
              </w:rPr>
              <w:t>Poole et al. (2022)</w:t>
            </w:r>
          </w:p>
        </w:tc>
        <w:tc>
          <w:tcPr>
            <w:tcW w:w="1342" w:type="dxa"/>
            <w:vAlign w:val="center"/>
          </w:tcPr>
          <w:p w14:paraId="7575D49D" w14:textId="77777777" w:rsidR="0073737B" w:rsidRDefault="00000000" w:rsidP="00257AC4">
            <w:pPr>
              <w:jc w:val="center"/>
            </w:pPr>
            <w:r>
              <w:t>UK</w:t>
            </w:r>
          </w:p>
        </w:tc>
        <w:tc>
          <w:tcPr>
            <w:tcW w:w="1673" w:type="dxa"/>
            <w:vAlign w:val="center"/>
          </w:tcPr>
          <w:p w14:paraId="446A853E" w14:textId="77777777" w:rsidR="0073737B" w:rsidRDefault="00000000" w:rsidP="00257AC4">
            <w:pPr>
              <w:jc w:val="center"/>
            </w:pPr>
            <w:r>
              <w:t>100 / 100</w:t>
            </w:r>
          </w:p>
        </w:tc>
        <w:tc>
          <w:tcPr>
            <w:tcW w:w="1361" w:type="dxa"/>
            <w:vAlign w:val="center"/>
          </w:tcPr>
          <w:p w14:paraId="45867F41" w14:textId="77777777" w:rsidR="0073737B" w:rsidRDefault="00000000" w:rsidP="00257AC4">
            <w:pPr>
              <w:jc w:val="center"/>
            </w:pPr>
            <w:r>
              <w:t>FilmArray</w:t>
            </w:r>
          </w:p>
        </w:tc>
        <w:tc>
          <w:tcPr>
            <w:tcW w:w="1373" w:type="dxa"/>
            <w:vAlign w:val="center"/>
          </w:tcPr>
          <w:p w14:paraId="53CCB163" w14:textId="77777777" w:rsidR="0073737B" w:rsidRDefault="00000000" w:rsidP="00257AC4">
            <w:pPr>
              <w:jc w:val="center"/>
            </w:pPr>
            <w:r>
              <w:t>Mixed</w:t>
            </w:r>
          </w:p>
        </w:tc>
        <w:tc>
          <w:tcPr>
            <w:tcW w:w="1489" w:type="dxa"/>
            <w:vAlign w:val="center"/>
          </w:tcPr>
          <w:p w14:paraId="6EBDF575" w14:textId="77777777" w:rsidR="0073737B" w:rsidRDefault="00000000" w:rsidP="00257AC4">
            <w:pPr>
              <w:jc w:val="center"/>
            </w:pPr>
            <w:r>
              <w:t>60 days</w:t>
            </w:r>
          </w:p>
        </w:tc>
        <w:tc>
          <w:tcPr>
            <w:tcW w:w="2835" w:type="dxa"/>
            <w:vAlign w:val="center"/>
          </w:tcPr>
          <w:p w14:paraId="087E892F" w14:textId="77777777" w:rsidR="0073737B" w:rsidRDefault="00000000" w:rsidP="00257AC4">
            <w:pPr>
              <w:jc w:val="center"/>
            </w:pPr>
            <w:r>
              <w:t>Antibiotic de-escalation</w:t>
            </w:r>
          </w:p>
        </w:tc>
      </w:tr>
    </w:tbl>
    <w:p w14:paraId="7A2E1291" w14:textId="77777777" w:rsidR="00F3244F" w:rsidRDefault="00F3244F">
      <w:pPr>
        <w:sectPr w:rsidR="00F3244F" w:rsidSect="00B31C88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4338A203" w14:textId="77777777" w:rsidR="00604292" w:rsidRDefault="00604292" w:rsidP="00604292">
      <w:pPr>
        <w:pStyle w:val="Ttulo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198307289"/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Supplementary Table S4 – GRADE Assessment of Certainty of Evidence</w:t>
      </w:r>
      <w:bookmarkEnd w:id="3"/>
    </w:p>
    <w:p w14:paraId="537BAE2A" w14:textId="77777777" w:rsidR="00102B6C" w:rsidRPr="00102B6C" w:rsidRDefault="00102B6C" w:rsidP="00102B6C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6"/>
        <w:gridCol w:w="1518"/>
        <w:gridCol w:w="1488"/>
        <w:gridCol w:w="1480"/>
        <w:gridCol w:w="1439"/>
        <w:gridCol w:w="2108"/>
        <w:gridCol w:w="1162"/>
      </w:tblGrid>
      <w:tr w:rsidR="00604292" w14:paraId="2FFEF3B9" w14:textId="77777777" w:rsidTr="00604292">
        <w:tc>
          <w:tcPr>
            <w:tcW w:w="1596" w:type="dxa"/>
            <w:vAlign w:val="center"/>
          </w:tcPr>
          <w:p w14:paraId="0634B1F8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Outcome</w:t>
            </w:r>
          </w:p>
        </w:tc>
        <w:tc>
          <w:tcPr>
            <w:tcW w:w="1518" w:type="dxa"/>
            <w:vAlign w:val="center"/>
          </w:tcPr>
          <w:p w14:paraId="2E9C3BA8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Risk of Bias</w:t>
            </w:r>
          </w:p>
        </w:tc>
        <w:tc>
          <w:tcPr>
            <w:tcW w:w="1324" w:type="dxa"/>
            <w:vAlign w:val="center"/>
          </w:tcPr>
          <w:p w14:paraId="3AA9573A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Inconsistency</w:t>
            </w:r>
          </w:p>
        </w:tc>
        <w:tc>
          <w:tcPr>
            <w:tcW w:w="1480" w:type="dxa"/>
            <w:vAlign w:val="center"/>
          </w:tcPr>
          <w:p w14:paraId="0D841295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Indirectness</w:t>
            </w:r>
          </w:p>
        </w:tc>
        <w:tc>
          <w:tcPr>
            <w:tcW w:w="1439" w:type="dxa"/>
            <w:vAlign w:val="center"/>
          </w:tcPr>
          <w:p w14:paraId="1EC98EAF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Imprecision</w:t>
            </w:r>
          </w:p>
        </w:tc>
        <w:tc>
          <w:tcPr>
            <w:tcW w:w="2108" w:type="dxa"/>
            <w:vAlign w:val="center"/>
          </w:tcPr>
          <w:p w14:paraId="35739E06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Publication Bias</w:t>
            </w:r>
          </w:p>
        </w:tc>
        <w:tc>
          <w:tcPr>
            <w:tcW w:w="1162" w:type="dxa"/>
            <w:vAlign w:val="center"/>
          </w:tcPr>
          <w:p w14:paraId="2F822CD7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Overall Certainty</w:t>
            </w:r>
          </w:p>
        </w:tc>
      </w:tr>
      <w:tr w:rsidR="00604292" w14:paraId="29568C62" w14:textId="77777777" w:rsidTr="00604292">
        <w:tc>
          <w:tcPr>
            <w:tcW w:w="1596" w:type="dxa"/>
            <w:vAlign w:val="center"/>
          </w:tcPr>
          <w:p w14:paraId="62D8BBD9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Adequacy of initial antimicrobial therapy</w:t>
            </w:r>
          </w:p>
        </w:tc>
        <w:tc>
          <w:tcPr>
            <w:tcW w:w="1518" w:type="dxa"/>
            <w:vAlign w:val="center"/>
          </w:tcPr>
          <w:p w14:paraId="2FAB6427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Low to moderate</w:t>
            </w:r>
          </w:p>
        </w:tc>
        <w:tc>
          <w:tcPr>
            <w:tcW w:w="1324" w:type="dxa"/>
            <w:vAlign w:val="center"/>
          </w:tcPr>
          <w:p w14:paraId="5D2DEA5B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High (I² = 83%)</w:t>
            </w:r>
          </w:p>
        </w:tc>
        <w:tc>
          <w:tcPr>
            <w:tcW w:w="1480" w:type="dxa"/>
            <w:vAlign w:val="center"/>
          </w:tcPr>
          <w:p w14:paraId="45849C1F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1439" w:type="dxa"/>
            <w:vAlign w:val="center"/>
          </w:tcPr>
          <w:p w14:paraId="0B661CCB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Moderate (wide CI)</w:t>
            </w:r>
          </w:p>
        </w:tc>
        <w:tc>
          <w:tcPr>
            <w:tcW w:w="2108" w:type="dxa"/>
            <w:vAlign w:val="center"/>
          </w:tcPr>
          <w:p w14:paraId="676B4ED1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Possible (n=4)</w:t>
            </w:r>
          </w:p>
        </w:tc>
        <w:tc>
          <w:tcPr>
            <w:tcW w:w="1162" w:type="dxa"/>
            <w:vAlign w:val="center"/>
          </w:tcPr>
          <w:p w14:paraId="1ABB952D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Moderate</w:t>
            </w:r>
          </w:p>
        </w:tc>
      </w:tr>
      <w:tr w:rsidR="00604292" w14:paraId="2AEB336B" w14:textId="77777777" w:rsidTr="00604292">
        <w:tc>
          <w:tcPr>
            <w:tcW w:w="1596" w:type="dxa"/>
            <w:vAlign w:val="center"/>
          </w:tcPr>
          <w:p w14:paraId="78544571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Time to effective antibiotic therapy</w:t>
            </w:r>
          </w:p>
        </w:tc>
        <w:tc>
          <w:tcPr>
            <w:tcW w:w="1518" w:type="dxa"/>
            <w:vAlign w:val="center"/>
          </w:tcPr>
          <w:p w14:paraId="53F908F2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Low to moderate</w:t>
            </w:r>
          </w:p>
        </w:tc>
        <w:tc>
          <w:tcPr>
            <w:tcW w:w="1324" w:type="dxa"/>
            <w:vAlign w:val="center"/>
          </w:tcPr>
          <w:p w14:paraId="13D9005C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Very high (I² = 100%)</w:t>
            </w:r>
          </w:p>
        </w:tc>
        <w:tc>
          <w:tcPr>
            <w:tcW w:w="1480" w:type="dxa"/>
            <w:vAlign w:val="center"/>
          </w:tcPr>
          <w:p w14:paraId="06EF981A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1439" w:type="dxa"/>
            <w:vAlign w:val="center"/>
          </w:tcPr>
          <w:p w14:paraId="30AAC648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High (wide CI)</w:t>
            </w:r>
          </w:p>
        </w:tc>
        <w:tc>
          <w:tcPr>
            <w:tcW w:w="2108" w:type="dxa"/>
            <w:vAlign w:val="center"/>
          </w:tcPr>
          <w:p w14:paraId="228591C6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Possible (n=4)</w:t>
            </w:r>
          </w:p>
        </w:tc>
        <w:tc>
          <w:tcPr>
            <w:tcW w:w="1162" w:type="dxa"/>
            <w:vAlign w:val="center"/>
          </w:tcPr>
          <w:p w14:paraId="793615B2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Low</w:t>
            </w:r>
          </w:p>
        </w:tc>
      </w:tr>
      <w:tr w:rsidR="00604292" w14:paraId="51CF2E68" w14:textId="77777777" w:rsidTr="00604292">
        <w:tc>
          <w:tcPr>
            <w:tcW w:w="1596" w:type="dxa"/>
            <w:vAlign w:val="center"/>
          </w:tcPr>
          <w:p w14:paraId="1C205CFA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292">
              <w:rPr>
                <w:rFonts w:ascii="Times New Roman" w:hAnsi="Times New Roman" w:cs="Times New Roman"/>
                <w:b/>
                <w:bCs/>
              </w:rPr>
              <w:t>In-hospital mortality</w:t>
            </w:r>
          </w:p>
        </w:tc>
        <w:tc>
          <w:tcPr>
            <w:tcW w:w="1518" w:type="dxa"/>
            <w:vAlign w:val="center"/>
          </w:tcPr>
          <w:p w14:paraId="209B92C7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1324" w:type="dxa"/>
            <w:vAlign w:val="center"/>
          </w:tcPr>
          <w:p w14:paraId="0B5A995D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None (I² = 0%)</w:t>
            </w:r>
          </w:p>
        </w:tc>
        <w:tc>
          <w:tcPr>
            <w:tcW w:w="1480" w:type="dxa"/>
            <w:vAlign w:val="center"/>
          </w:tcPr>
          <w:p w14:paraId="2DBA39B0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1439" w:type="dxa"/>
            <w:vAlign w:val="center"/>
          </w:tcPr>
          <w:p w14:paraId="5C43D18E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Moderate</w:t>
            </w:r>
          </w:p>
        </w:tc>
        <w:tc>
          <w:tcPr>
            <w:tcW w:w="2108" w:type="dxa"/>
            <w:vAlign w:val="center"/>
          </w:tcPr>
          <w:p w14:paraId="30CB0C67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Unlikely</w:t>
            </w:r>
          </w:p>
        </w:tc>
        <w:tc>
          <w:tcPr>
            <w:tcW w:w="1162" w:type="dxa"/>
            <w:vAlign w:val="center"/>
          </w:tcPr>
          <w:p w14:paraId="78A7A0C2" w14:textId="77777777" w:rsidR="00604292" w:rsidRPr="00604292" w:rsidRDefault="00604292" w:rsidP="00604292">
            <w:pPr>
              <w:jc w:val="center"/>
              <w:rPr>
                <w:rFonts w:ascii="Times New Roman" w:hAnsi="Times New Roman" w:cs="Times New Roman"/>
              </w:rPr>
            </w:pPr>
            <w:r w:rsidRPr="00604292">
              <w:rPr>
                <w:rFonts w:ascii="Times New Roman" w:hAnsi="Times New Roman" w:cs="Times New Roman"/>
              </w:rPr>
              <w:t>Moderate</w:t>
            </w:r>
          </w:p>
        </w:tc>
      </w:tr>
    </w:tbl>
    <w:p w14:paraId="23179C8C" w14:textId="77777777" w:rsidR="00604292" w:rsidRDefault="00604292" w:rsidP="00F3244F">
      <w:pPr>
        <w:pStyle w:val="Ttulo1"/>
        <w:sectPr w:rsidR="00604292" w:rsidSect="00B31C88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1691C85B" w14:textId="412D2BAA" w:rsidR="00F3244F" w:rsidRPr="00102B6C" w:rsidRDefault="00F3244F" w:rsidP="00F3244F">
      <w:pPr>
        <w:pStyle w:val="Ttulo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198307290"/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Supplementary Figure S1. Funnel plot assessing publication bias for the outcome of adequate antimicrobial therapy.</w:t>
      </w:r>
      <w:bookmarkEnd w:id="4"/>
    </w:p>
    <w:p w14:paraId="4E780AE7" w14:textId="77777777" w:rsidR="00870DFE" w:rsidRPr="00102B6C" w:rsidRDefault="00870DFE" w:rsidP="00870DF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</w:pPr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The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x-axis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represents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the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odds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ratio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(log-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transformed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),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and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the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y-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axis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displays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the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standard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error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of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the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effect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size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.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Each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point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represents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a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study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,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labeled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with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its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study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name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. Visual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inspection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suggests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possible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asymmetry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,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potentially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indicative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of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publication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bias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or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small-study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effects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.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However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,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given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the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small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number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of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included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studies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(n = 4),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this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observation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should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be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interpreted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with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 xml:space="preserve"> </w:t>
      </w:r>
      <w:proofErr w:type="spellStart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caution</w:t>
      </w:r>
      <w:proofErr w:type="spellEnd"/>
      <w:r w:rsidRPr="00102B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BR" w:eastAsia="pt-BR"/>
        </w:rPr>
        <w:t>.</w:t>
      </w:r>
    </w:p>
    <w:p w14:paraId="51EAEFFE" w14:textId="77777777" w:rsidR="00216235" w:rsidRDefault="00F3244F" w:rsidP="00F3244F">
      <w:pPr>
        <w:sectPr w:rsidR="00216235" w:rsidSect="00B31C88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0F747FE" wp14:editId="4C086592">
            <wp:extent cx="6365729" cy="3995281"/>
            <wp:effectExtent l="0" t="0" r="0" b="5715"/>
            <wp:docPr id="1599010007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10007" name="Imagem 1" descr="Gráfic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049" cy="399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412C" w14:textId="77777777" w:rsidR="00216235" w:rsidRPr="00102B6C" w:rsidRDefault="00216235" w:rsidP="00216235">
      <w:pPr>
        <w:pStyle w:val="Ttulo1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bookmarkStart w:id="5" w:name="_Toc198307291"/>
      <w:r w:rsidRPr="00102B6C">
        <w:rPr>
          <w:rStyle w:val="Fort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 S2</w:t>
      </w:r>
      <w:r w:rsidRPr="00102B6C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. </w:t>
      </w: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Funnel plot for the outcome of time to targeted therapy.</w:t>
      </w:r>
      <w:bookmarkEnd w:id="5"/>
      <w:r w:rsidRPr="00102B6C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</w:p>
    <w:p w14:paraId="6C894B77" w14:textId="74FD741C" w:rsidR="00F3244F" w:rsidRPr="00102B6C" w:rsidRDefault="00216235" w:rsidP="00F3244F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102B6C">
        <w:rPr>
          <w:rFonts w:ascii="Times New Roman" w:hAnsi="Times New Roman" w:cs="Times New Roman"/>
          <w:color w:val="000000"/>
          <w:sz w:val="20"/>
          <w:szCs w:val="20"/>
        </w:rPr>
        <w:t>The plot displays mean differences in hours (x-axis) against their standard errors (y-axis). Study labels are shown adjacent to their corresponding data points. Interpretation of symmetry is limited by the small number of included studies (n = 4).</w:t>
      </w:r>
    </w:p>
    <w:p w14:paraId="6FBC2E95" w14:textId="2D79C5DF" w:rsidR="00216235" w:rsidRDefault="00216235" w:rsidP="00F3244F">
      <w:r>
        <w:rPr>
          <w:noProof/>
        </w:rPr>
        <w:drawing>
          <wp:inline distT="0" distB="0" distL="0" distR="0" wp14:anchorId="33A8CEBC" wp14:editId="67815808">
            <wp:extent cx="6588180" cy="4090670"/>
            <wp:effectExtent l="0" t="0" r="3175" b="0"/>
            <wp:docPr id="1253597161" name="Imagem 2" descr="Gráfico, Gráfico de linh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97161" name="Imagem 2" descr="Gráfico, Gráfico de linhas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3512" cy="409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ECBDB" w14:textId="16D5EDA3" w:rsidR="00816941" w:rsidRPr="00102B6C" w:rsidRDefault="00816941" w:rsidP="00816941">
      <w:pPr>
        <w:pStyle w:val="Ttulo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198307292"/>
      <w:r w:rsidRPr="00102B6C">
        <w:rPr>
          <w:rStyle w:val="Fort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 S3</w:t>
      </w: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. Sensitivity Analysis for antibiotic adequacy without inhale WP3.</w:t>
      </w:r>
      <w:bookmarkEnd w:id="6"/>
    </w:p>
    <w:p w14:paraId="57AB6914" w14:textId="65B76285" w:rsidR="00816941" w:rsidRPr="00102B6C" w:rsidRDefault="00816941" w:rsidP="00816941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102B6C">
        <w:rPr>
          <w:rFonts w:ascii="Times New Roman" w:hAnsi="Times New Roman" w:cs="Times New Roman"/>
          <w:color w:val="000000"/>
          <w:sz w:val="20"/>
          <w:szCs w:val="20"/>
        </w:rPr>
        <w:t>Pooled analysis including the FLAGSHIP II and Poole studies demonstrated a significant benefit for syndromic PCR panels (OR 7.92; 95% CI 4.83–13.00; I² = 0%).</w:t>
      </w:r>
    </w:p>
    <w:p w14:paraId="50DC7CDB" w14:textId="77777777" w:rsidR="00816941" w:rsidRDefault="00816941" w:rsidP="00816941">
      <w:pPr>
        <w:rPr>
          <w:rFonts w:ascii="-webkit-standard" w:hAnsi="-webkit-standard" w:hint="eastAsia"/>
          <w:color w:val="000000"/>
          <w:sz w:val="27"/>
          <w:szCs w:val="27"/>
        </w:rPr>
      </w:pPr>
    </w:p>
    <w:p w14:paraId="0C7C21AF" w14:textId="52251005" w:rsidR="00816941" w:rsidRDefault="00816941" w:rsidP="00816941">
      <w:r>
        <w:rPr>
          <w:noProof/>
        </w:rPr>
        <w:drawing>
          <wp:inline distT="0" distB="0" distL="0" distR="0" wp14:anchorId="72E4792A" wp14:editId="2404EF67">
            <wp:extent cx="8134350" cy="2201171"/>
            <wp:effectExtent l="0" t="0" r="0" b="0"/>
            <wp:docPr id="279286134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86134" name="Imagem 1" descr="Tabela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7204" cy="221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C08F6" w14:textId="77777777" w:rsidR="00816941" w:rsidRDefault="00816941" w:rsidP="00816941"/>
    <w:p w14:paraId="39991D0C" w14:textId="77777777" w:rsidR="00816941" w:rsidRDefault="00816941" w:rsidP="00816941"/>
    <w:p w14:paraId="0313048C" w14:textId="77777777" w:rsidR="00816941" w:rsidRDefault="00816941" w:rsidP="00816941"/>
    <w:p w14:paraId="66BE46E5" w14:textId="77777777" w:rsidR="00816941" w:rsidRDefault="00816941" w:rsidP="00816941"/>
    <w:p w14:paraId="5CC7222A" w14:textId="77777777" w:rsidR="00102B6C" w:rsidRDefault="00102B6C" w:rsidP="00816941">
      <w:pPr>
        <w:pStyle w:val="Ttulo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198307293"/>
    </w:p>
    <w:p w14:paraId="49ED1B3F" w14:textId="5CC716EB" w:rsidR="00816941" w:rsidRPr="00102B6C" w:rsidRDefault="00816941" w:rsidP="00816941">
      <w:pPr>
        <w:pStyle w:val="Ttulo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Supplementary Figure S4.</w:t>
      </w:r>
      <w:r w:rsidRPr="00102B6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Sensitivity analysis for antibiotic adequacy without the FLAGSHIP II trial.</w:t>
      </w:r>
      <w:bookmarkEnd w:id="7"/>
    </w:p>
    <w:p w14:paraId="54358E9E" w14:textId="5A172F99" w:rsidR="00816941" w:rsidRPr="00102B6C" w:rsidRDefault="00816941" w:rsidP="00816941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102B6C">
        <w:rPr>
          <w:rFonts w:ascii="Times New Roman" w:hAnsi="Times New Roman" w:cs="Times New Roman"/>
          <w:color w:val="000000"/>
          <w:sz w:val="20"/>
          <w:szCs w:val="20"/>
        </w:rPr>
        <w:t>The pooled effect including the INHALE WP3 and Poole studies remained significant (OR 5.01; 95% CI 1.42–17.69), although with substantial heterogeneity (I² = 91%).</w:t>
      </w:r>
    </w:p>
    <w:p w14:paraId="75F80788" w14:textId="5EC7031C" w:rsidR="00816941" w:rsidRDefault="00816941" w:rsidP="00816941">
      <w:r>
        <w:rPr>
          <w:noProof/>
        </w:rPr>
        <w:drawing>
          <wp:inline distT="0" distB="0" distL="0" distR="0" wp14:anchorId="13CF30BA" wp14:editId="678F4002">
            <wp:extent cx="8229600" cy="1967230"/>
            <wp:effectExtent l="0" t="0" r="0" b="1270"/>
            <wp:docPr id="667218086" name="Imagem 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18086" name="Imagem 2" descr="Tabela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A022" w14:textId="77777777" w:rsidR="00816941" w:rsidRDefault="00816941" w:rsidP="00816941"/>
    <w:p w14:paraId="59145981" w14:textId="77777777" w:rsidR="00816941" w:rsidRDefault="00816941" w:rsidP="00816941">
      <w:pPr>
        <w:sectPr w:rsidR="00816941" w:rsidSect="00B31C88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63A55756" w14:textId="0890ED74" w:rsidR="00816941" w:rsidRPr="00102B6C" w:rsidRDefault="00816941" w:rsidP="00816941">
      <w:pPr>
        <w:pStyle w:val="Ttulo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198307294"/>
      <w:r w:rsidRPr="00102B6C">
        <w:rPr>
          <w:rStyle w:val="Fort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 S5.</w:t>
      </w:r>
      <w:r w:rsidRPr="00102B6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Sensitivity analysis for antibiotic adequacy without the Poole study</w:t>
      </w:r>
      <w:bookmarkEnd w:id="8"/>
    </w:p>
    <w:p w14:paraId="1B08DC4E" w14:textId="0F4DC7C2" w:rsidR="00816941" w:rsidRDefault="00816941" w:rsidP="00816941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02B6C">
        <w:rPr>
          <w:rFonts w:ascii="Times New Roman" w:hAnsi="Times New Roman" w:cs="Times New Roman"/>
          <w:color w:val="000000" w:themeColor="text1"/>
          <w:sz w:val="20"/>
          <w:szCs w:val="20"/>
        </w:rPr>
        <w:t>Pooled effect from FLAGSHIP II and INHALE WP3 remained significant (OR 3.75; 95% CI 1.75–8.06), with moderate heterogeneity (I² = 69%).</w:t>
      </w:r>
    </w:p>
    <w:p w14:paraId="1B965861" w14:textId="77777777" w:rsidR="00102B6C" w:rsidRPr="00102B6C" w:rsidRDefault="00102B6C" w:rsidP="00816941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632C93E" w14:textId="030CB522" w:rsidR="00816941" w:rsidRDefault="00816941" w:rsidP="00816941">
      <w:pPr>
        <w:rPr>
          <w:rFonts w:ascii="-webkit-standard" w:hAnsi="-webkit-standard" w:hint="eastAsia"/>
          <w:color w:val="000000"/>
          <w:sz w:val="27"/>
          <w:szCs w:val="27"/>
        </w:rPr>
      </w:pPr>
      <w:r>
        <w:rPr>
          <w:rFonts w:ascii="-webkit-standard" w:hAnsi="-webkit-standard"/>
          <w:noProof/>
          <w:color w:val="000000"/>
          <w:sz w:val="27"/>
          <w:szCs w:val="27"/>
        </w:rPr>
        <w:drawing>
          <wp:inline distT="0" distB="0" distL="0" distR="0" wp14:anchorId="198D9200" wp14:editId="3046DE48">
            <wp:extent cx="8229600" cy="1911350"/>
            <wp:effectExtent l="0" t="0" r="0" b="6350"/>
            <wp:docPr id="1549232184" name="Imagem 3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32184" name="Imagem 3" descr="Tabela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6428" w14:textId="77777777" w:rsidR="002C7266" w:rsidRDefault="002C7266" w:rsidP="00816941">
      <w:pPr>
        <w:sectPr w:rsidR="002C7266" w:rsidSect="00B31C88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7E9F471E" w14:textId="4485EAF7" w:rsidR="00816941" w:rsidRPr="00102B6C" w:rsidRDefault="002C7266" w:rsidP="002C7266">
      <w:pPr>
        <w:pStyle w:val="Ttulo1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198307295"/>
      <w:r w:rsidRPr="00102B6C">
        <w:rPr>
          <w:rStyle w:val="Fort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Supplementary Figure S6. </w:t>
      </w: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Sensitivity analysis for time to effective therapy  without the INHALE WP3 study.</w:t>
      </w:r>
      <w:bookmarkEnd w:id="9"/>
      <w:r w:rsidRPr="00102B6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14:paraId="7F702012" w14:textId="20B76A5A" w:rsidR="002C7266" w:rsidRDefault="002C7266" w:rsidP="002C7266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102B6C">
        <w:rPr>
          <w:rFonts w:ascii="Times New Roman" w:hAnsi="Times New Roman" w:cs="Times New Roman"/>
          <w:color w:val="000000"/>
          <w:sz w:val="20"/>
          <w:szCs w:val="20"/>
        </w:rPr>
        <w:t>Results from FLAGSHIP II, Poole, and Virk trials continued to favor PCR testing, with a pooled mean difference of –26.76 hours (95% CI –47.84 to –5.68), despite high heterogeneity (I² = 100%).</w:t>
      </w:r>
    </w:p>
    <w:p w14:paraId="5BCDF9C1" w14:textId="77777777" w:rsidR="00102B6C" w:rsidRPr="00102B6C" w:rsidRDefault="00102B6C" w:rsidP="002C726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4C89B294" w14:textId="389C56E9" w:rsidR="002C7266" w:rsidRDefault="002C7266" w:rsidP="002C7266">
      <w:r>
        <w:rPr>
          <w:noProof/>
        </w:rPr>
        <w:drawing>
          <wp:inline distT="0" distB="0" distL="0" distR="0" wp14:anchorId="60BF0CD2" wp14:editId="7373D482">
            <wp:extent cx="8229600" cy="2239645"/>
            <wp:effectExtent l="0" t="0" r="0" b="0"/>
            <wp:docPr id="1655686984" name="Imagem 4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86984" name="Imagem 4" descr="Tabela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F183" w14:textId="77777777" w:rsidR="002C7266" w:rsidRDefault="002C7266" w:rsidP="002C7266">
      <w:pPr>
        <w:sectPr w:rsidR="002C7266" w:rsidSect="00B31C88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77D71595" w14:textId="1163E4B3" w:rsidR="00102B6C" w:rsidRPr="00102B6C" w:rsidRDefault="002C7266" w:rsidP="00102B6C">
      <w:pPr>
        <w:pStyle w:val="Ttulo1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bookmarkStart w:id="10" w:name="_Toc198307296"/>
      <w:r w:rsidRPr="00102B6C">
        <w:rPr>
          <w:rStyle w:val="Fort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Supplementary Figure S7. </w:t>
      </w:r>
      <w:r w:rsidRPr="00102B6C">
        <w:rPr>
          <w:rFonts w:ascii="Times New Roman" w:hAnsi="Times New Roman" w:cs="Times New Roman"/>
          <w:color w:val="000000" w:themeColor="text1"/>
          <w:sz w:val="24"/>
          <w:szCs w:val="24"/>
        </w:rPr>
        <w:t>Sensitivity analysis for time to effective therapy without the Virk et al trial.</w:t>
      </w:r>
      <w:bookmarkEnd w:id="10"/>
      <w:r w:rsidRPr="00102B6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14:paraId="606D27E7" w14:textId="2CA87C80" w:rsidR="002C7266" w:rsidRDefault="002C7266" w:rsidP="002C7266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102B6C">
        <w:rPr>
          <w:rFonts w:ascii="Times New Roman" w:hAnsi="Times New Roman" w:cs="Times New Roman"/>
          <w:color w:val="000000"/>
          <w:sz w:val="20"/>
          <w:szCs w:val="20"/>
        </w:rPr>
        <w:t>The pooled result of the FLAGSHIP II, INHALE WP3, and Poole studies showed a significantly shorter time to effective antibiotic therapy in the PCR group compared to standard microbiology (mean difference –52.98 hours; 95% CI –83.36 to –22.61; I² = 100%).</w:t>
      </w:r>
    </w:p>
    <w:p w14:paraId="63A86013" w14:textId="77777777" w:rsidR="00102B6C" w:rsidRPr="00102B6C" w:rsidRDefault="00102B6C" w:rsidP="002C726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08CFBEFE" w14:textId="42227AF9" w:rsidR="002C7266" w:rsidRPr="002C7266" w:rsidRDefault="002C7266" w:rsidP="002C7266">
      <w:r>
        <w:rPr>
          <w:noProof/>
        </w:rPr>
        <w:drawing>
          <wp:inline distT="0" distB="0" distL="0" distR="0" wp14:anchorId="3FD4703C" wp14:editId="04282A34">
            <wp:extent cx="8054035" cy="2395220"/>
            <wp:effectExtent l="0" t="0" r="0" b="5080"/>
            <wp:docPr id="647560727" name="Imagem 6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60727" name="Imagem 6" descr="Tabela&#10;&#10;O conteúdo gerado por IA pode estar incorreto."/>
                    <pic:cNvPicPr/>
                  </pic:nvPicPr>
                  <pic:blipFill rotWithShape="1">
                    <a:blip r:embed="rId12"/>
                    <a:srcRect r="2133"/>
                    <a:stretch/>
                  </pic:blipFill>
                  <pic:spPr bwMode="auto">
                    <a:xfrm>
                      <a:off x="0" y="0"/>
                      <a:ext cx="8054035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070C4" w14:textId="77777777" w:rsidR="002C7266" w:rsidRPr="002C7266" w:rsidRDefault="002C7266" w:rsidP="002C7266"/>
    <w:sectPr w:rsidR="002C7266" w:rsidRPr="002C7266" w:rsidSect="00B31C88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8907393">
    <w:abstractNumId w:val="8"/>
  </w:num>
  <w:num w:numId="2" w16cid:durableId="339966587">
    <w:abstractNumId w:val="6"/>
  </w:num>
  <w:num w:numId="3" w16cid:durableId="55251067">
    <w:abstractNumId w:val="5"/>
  </w:num>
  <w:num w:numId="4" w16cid:durableId="1554075185">
    <w:abstractNumId w:val="4"/>
  </w:num>
  <w:num w:numId="5" w16cid:durableId="979462397">
    <w:abstractNumId w:val="7"/>
  </w:num>
  <w:num w:numId="6" w16cid:durableId="1009672550">
    <w:abstractNumId w:val="3"/>
  </w:num>
  <w:num w:numId="7" w16cid:durableId="548028368">
    <w:abstractNumId w:val="2"/>
  </w:num>
  <w:num w:numId="8" w16cid:durableId="1979451236">
    <w:abstractNumId w:val="1"/>
  </w:num>
  <w:num w:numId="9" w16cid:durableId="1895264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02B6C"/>
    <w:rsid w:val="0015074B"/>
    <w:rsid w:val="00216235"/>
    <w:rsid w:val="00257AC4"/>
    <w:rsid w:val="0029639D"/>
    <w:rsid w:val="002C7266"/>
    <w:rsid w:val="00326F90"/>
    <w:rsid w:val="00406C2E"/>
    <w:rsid w:val="004B64D9"/>
    <w:rsid w:val="00604292"/>
    <w:rsid w:val="0073737B"/>
    <w:rsid w:val="00816941"/>
    <w:rsid w:val="00870DFE"/>
    <w:rsid w:val="008E5C5F"/>
    <w:rsid w:val="00A20CBC"/>
    <w:rsid w:val="00AA1D8D"/>
    <w:rsid w:val="00B31C88"/>
    <w:rsid w:val="00B47730"/>
    <w:rsid w:val="00CB0664"/>
    <w:rsid w:val="00CE1B1C"/>
    <w:rsid w:val="00D37826"/>
    <w:rsid w:val="00ED544F"/>
    <w:rsid w:val="00F3244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8949D7"/>
  <w14:defaultImageDpi w14:val="300"/>
  <w15:docId w15:val="{C7BA1A17-6715-284D-846F-D6BA29067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mrio1">
    <w:name w:val="toc 1"/>
    <w:basedOn w:val="Normal"/>
    <w:next w:val="Normal"/>
    <w:autoRedefine/>
    <w:uiPriority w:val="39"/>
    <w:unhideWhenUsed/>
    <w:rsid w:val="00ED544F"/>
    <w:pPr>
      <w:tabs>
        <w:tab w:val="right" w:leader="dot" w:pos="8630"/>
      </w:tabs>
      <w:spacing w:before="120" w:after="0"/>
    </w:pPr>
    <w:rPr>
      <w:b/>
      <w:bCs/>
      <w:i/>
      <w:iCs/>
      <w:noProof/>
      <w:color w:val="000000" w:themeColor="text1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31C88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B31C88"/>
    <w:pPr>
      <w:spacing w:before="120" w:after="0"/>
      <w:ind w:left="220"/>
    </w:pPr>
    <w:rPr>
      <w:b/>
      <w:bCs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B31C88"/>
    <w:pPr>
      <w:spacing w:after="0"/>
      <w:ind w:left="440"/>
    </w:pPr>
    <w:rPr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B31C88"/>
    <w:pPr>
      <w:spacing w:after="0"/>
      <w:ind w:left="66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B31C88"/>
    <w:pPr>
      <w:spacing w:after="0"/>
      <w:ind w:left="88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B31C88"/>
    <w:pPr>
      <w:spacing w:after="0"/>
      <w:ind w:left="11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B31C88"/>
    <w:pPr>
      <w:spacing w:after="0"/>
      <w:ind w:left="132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B31C88"/>
    <w:pPr>
      <w:spacing w:after="0"/>
      <w:ind w:left="15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B31C88"/>
    <w:pPr>
      <w:spacing w:after="0"/>
      <w:ind w:left="1760"/>
    </w:pPr>
    <w:rPr>
      <w:sz w:val="20"/>
      <w:szCs w:val="20"/>
    </w:rPr>
  </w:style>
  <w:style w:type="character" w:customStyle="1" w:styleId="apple-converted-space">
    <w:name w:val="apple-converted-space"/>
    <w:basedOn w:val="Fontepargpadro"/>
    <w:rsid w:val="00816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6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1192</Words>
  <Characters>6437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7614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Yuri Albuquerque Pessoa dos Santos</cp:lastModifiedBy>
  <cp:revision>2</cp:revision>
  <dcterms:created xsi:type="dcterms:W3CDTF">2025-06-17T17:18:00Z</dcterms:created>
  <dcterms:modified xsi:type="dcterms:W3CDTF">2025-06-17T17:18:00Z</dcterms:modified>
  <cp:category/>
</cp:coreProperties>
</file>