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301"/>
        <w:tblW w:w="8454" w:type="dxa"/>
        <w:tblLayout w:type="fixed"/>
        <w:tblLook w:val="0000" w:firstRow="0" w:lastRow="0" w:firstColumn="0" w:lastColumn="0" w:noHBand="0" w:noVBand="0"/>
      </w:tblPr>
      <w:tblGrid>
        <w:gridCol w:w="3317"/>
        <w:gridCol w:w="1534"/>
        <w:gridCol w:w="3603"/>
      </w:tblGrid>
      <w:tr w:rsidR="000E0B1F" w:rsidRPr="000E0B1F" w14:paraId="565EF75F" w14:textId="77777777" w:rsidTr="00FC26B5">
        <w:trPr>
          <w:trHeight w:val="87"/>
        </w:trPr>
        <w:tc>
          <w:tcPr>
            <w:tcW w:w="3317" w:type="dxa"/>
          </w:tcPr>
          <w:p w14:paraId="737AF0B1" w14:textId="77777777" w:rsidR="000E0B1F" w:rsidRPr="000E0B1F" w:rsidRDefault="000E0B1F" w:rsidP="000E0B1F">
            <w:pPr>
              <w:spacing w:after="160" w:line="259" w:lineRule="auto"/>
            </w:pPr>
          </w:p>
        </w:tc>
        <w:tc>
          <w:tcPr>
            <w:tcW w:w="1534" w:type="dxa"/>
          </w:tcPr>
          <w:p w14:paraId="4E70B228" w14:textId="77777777" w:rsidR="000E0B1F" w:rsidRPr="000E0B1F" w:rsidRDefault="000E0B1F" w:rsidP="000E0B1F">
            <w:pPr>
              <w:spacing w:after="160" w:line="259" w:lineRule="auto"/>
              <w:rPr>
                <w:b/>
                <w:bCs/>
              </w:rPr>
            </w:pPr>
            <w:r w:rsidRPr="000E0B1F">
              <w:rPr>
                <w:b/>
                <w:bCs/>
              </w:rPr>
              <w:t>Mean</w:t>
            </w:r>
          </w:p>
        </w:tc>
        <w:tc>
          <w:tcPr>
            <w:tcW w:w="3603" w:type="dxa"/>
          </w:tcPr>
          <w:p w14:paraId="546F8C1C" w14:textId="77777777" w:rsidR="000E0B1F" w:rsidRPr="000E0B1F" w:rsidRDefault="000E0B1F" w:rsidP="000E0B1F">
            <w:pPr>
              <w:spacing w:after="160" w:line="259" w:lineRule="auto"/>
              <w:rPr>
                <w:b/>
                <w:bCs/>
              </w:rPr>
            </w:pPr>
            <w:r w:rsidRPr="000E0B1F">
              <w:rPr>
                <w:b/>
                <w:bCs/>
              </w:rPr>
              <w:t xml:space="preserve">P-value </w:t>
            </w:r>
          </w:p>
        </w:tc>
      </w:tr>
      <w:tr w:rsidR="000E0B1F" w:rsidRPr="000E0B1F" w14:paraId="6BD564CA" w14:textId="77777777" w:rsidTr="00FC26B5">
        <w:trPr>
          <w:trHeight w:val="87"/>
        </w:trPr>
        <w:tc>
          <w:tcPr>
            <w:tcW w:w="3317" w:type="dxa"/>
          </w:tcPr>
          <w:p w14:paraId="1444D241" w14:textId="77777777" w:rsidR="000E0B1F" w:rsidRPr="000E0B1F" w:rsidRDefault="000E0B1F" w:rsidP="000E0B1F">
            <w:pPr>
              <w:spacing w:after="160" w:line="259" w:lineRule="auto"/>
            </w:pPr>
            <w:r w:rsidRPr="000E0B1F">
              <w:t>First year</w:t>
            </w:r>
          </w:p>
        </w:tc>
        <w:tc>
          <w:tcPr>
            <w:tcW w:w="1534" w:type="dxa"/>
          </w:tcPr>
          <w:p w14:paraId="2F42B9D1" w14:textId="77777777" w:rsidR="000E0B1F" w:rsidRPr="000E0B1F" w:rsidRDefault="000E0B1F" w:rsidP="000E0B1F">
            <w:pPr>
              <w:spacing w:after="160" w:line="259" w:lineRule="auto"/>
            </w:pPr>
            <w:r w:rsidRPr="000E0B1F">
              <w:t>12.564103</w:t>
            </w:r>
          </w:p>
        </w:tc>
        <w:tc>
          <w:tcPr>
            <w:tcW w:w="3603" w:type="dxa"/>
          </w:tcPr>
          <w:p w14:paraId="2DDF553A" w14:textId="77777777" w:rsidR="000E0B1F" w:rsidRPr="000E0B1F" w:rsidRDefault="000E0B1F" w:rsidP="000E0B1F">
            <w:pPr>
              <w:spacing w:after="160" w:line="259" w:lineRule="auto"/>
              <w:rPr>
                <w:bCs/>
              </w:rPr>
            </w:pPr>
            <w:r w:rsidRPr="000E0B1F">
              <w:rPr>
                <w:bCs/>
              </w:rPr>
              <w:t>&lt;0.001</w:t>
            </w:r>
          </w:p>
        </w:tc>
      </w:tr>
      <w:tr w:rsidR="000E0B1F" w:rsidRPr="000E0B1F" w14:paraId="4A3584A0" w14:textId="77777777" w:rsidTr="00FC26B5">
        <w:trPr>
          <w:trHeight w:val="87"/>
        </w:trPr>
        <w:tc>
          <w:tcPr>
            <w:tcW w:w="3317" w:type="dxa"/>
          </w:tcPr>
          <w:p w14:paraId="74888799" w14:textId="77777777" w:rsidR="000E0B1F" w:rsidRPr="000E0B1F" w:rsidRDefault="000E0B1F" w:rsidP="000E0B1F">
            <w:pPr>
              <w:spacing w:after="160" w:line="259" w:lineRule="auto"/>
            </w:pPr>
            <w:r w:rsidRPr="000E0B1F">
              <w:t>Second year</w:t>
            </w:r>
          </w:p>
        </w:tc>
        <w:tc>
          <w:tcPr>
            <w:tcW w:w="1534" w:type="dxa"/>
          </w:tcPr>
          <w:p w14:paraId="34C70047" w14:textId="77777777" w:rsidR="000E0B1F" w:rsidRPr="000E0B1F" w:rsidRDefault="000E0B1F" w:rsidP="000E0B1F">
            <w:pPr>
              <w:spacing w:after="160" w:line="259" w:lineRule="auto"/>
            </w:pPr>
            <w:r w:rsidRPr="000E0B1F">
              <w:t>9.039735</w:t>
            </w:r>
          </w:p>
        </w:tc>
        <w:tc>
          <w:tcPr>
            <w:tcW w:w="3603" w:type="dxa"/>
          </w:tcPr>
          <w:p w14:paraId="51627BD5" w14:textId="77777777" w:rsidR="000E0B1F" w:rsidRPr="000E0B1F" w:rsidRDefault="000E0B1F" w:rsidP="000E0B1F">
            <w:pPr>
              <w:spacing w:after="160" w:line="259" w:lineRule="auto"/>
            </w:pPr>
            <w:r w:rsidRPr="000E0B1F">
              <w:rPr>
                <w:bCs/>
              </w:rPr>
              <w:t>&lt;0.001</w:t>
            </w:r>
          </w:p>
        </w:tc>
      </w:tr>
      <w:tr w:rsidR="000E0B1F" w:rsidRPr="000E0B1F" w14:paraId="46530D3B" w14:textId="77777777" w:rsidTr="00FC26B5">
        <w:trPr>
          <w:trHeight w:val="87"/>
        </w:trPr>
        <w:tc>
          <w:tcPr>
            <w:tcW w:w="3317" w:type="dxa"/>
          </w:tcPr>
          <w:p w14:paraId="022DDDB3" w14:textId="77777777" w:rsidR="000E0B1F" w:rsidRPr="000E0B1F" w:rsidRDefault="000E0B1F" w:rsidP="000E0B1F">
            <w:pPr>
              <w:spacing w:after="160" w:line="259" w:lineRule="auto"/>
            </w:pPr>
            <w:r w:rsidRPr="000E0B1F">
              <w:t>Third year</w:t>
            </w:r>
          </w:p>
        </w:tc>
        <w:tc>
          <w:tcPr>
            <w:tcW w:w="1534" w:type="dxa"/>
          </w:tcPr>
          <w:p w14:paraId="349EBAE6" w14:textId="77777777" w:rsidR="000E0B1F" w:rsidRPr="000E0B1F" w:rsidRDefault="000E0B1F" w:rsidP="000E0B1F">
            <w:pPr>
              <w:spacing w:after="160" w:line="259" w:lineRule="auto"/>
            </w:pPr>
            <w:r w:rsidRPr="000E0B1F">
              <w:t>12.652174</w:t>
            </w:r>
          </w:p>
        </w:tc>
        <w:tc>
          <w:tcPr>
            <w:tcW w:w="3603" w:type="dxa"/>
          </w:tcPr>
          <w:p w14:paraId="4874DD1A" w14:textId="77777777" w:rsidR="000E0B1F" w:rsidRPr="000E0B1F" w:rsidRDefault="000E0B1F" w:rsidP="000E0B1F">
            <w:pPr>
              <w:spacing w:after="160" w:line="259" w:lineRule="auto"/>
            </w:pPr>
            <w:r w:rsidRPr="000E0B1F">
              <w:rPr>
                <w:bCs/>
              </w:rPr>
              <w:t>&lt;0.001</w:t>
            </w:r>
          </w:p>
        </w:tc>
      </w:tr>
      <w:tr w:rsidR="000E0B1F" w:rsidRPr="000E0B1F" w14:paraId="2D8DD785" w14:textId="77777777" w:rsidTr="00FC26B5">
        <w:trPr>
          <w:trHeight w:val="87"/>
        </w:trPr>
        <w:tc>
          <w:tcPr>
            <w:tcW w:w="3317" w:type="dxa"/>
          </w:tcPr>
          <w:p w14:paraId="7B2F61A7" w14:textId="77777777" w:rsidR="000E0B1F" w:rsidRPr="000E0B1F" w:rsidRDefault="000E0B1F" w:rsidP="000E0B1F">
            <w:pPr>
              <w:spacing w:after="160" w:line="259" w:lineRule="auto"/>
            </w:pPr>
            <w:r w:rsidRPr="000E0B1F">
              <w:t>Fourth year</w:t>
            </w:r>
          </w:p>
        </w:tc>
        <w:tc>
          <w:tcPr>
            <w:tcW w:w="1534" w:type="dxa"/>
          </w:tcPr>
          <w:p w14:paraId="63C23FF9" w14:textId="77777777" w:rsidR="000E0B1F" w:rsidRPr="000E0B1F" w:rsidRDefault="000E0B1F" w:rsidP="000E0B1F">
            <w:pPr>
              <w:spacing w:after="160" w:line="259" w:lineRule="auto"/>
            </w:pPr>
            <w:r w:rsidRPr="000E0B1F">
              <w:t>9.806452</w:t>
            </w:r>
          </w:p>
        </w:tc>
        <w:tc>
          <w:tcPr>
            <w:tcW w:w="3603" w:type="dxa"/>
          </w:tcPr>
          <w:p w14:paraId="2E1D1A7C" w14:textId="77777777" w:rsidR="000E0B1F" w:rsidRPr="000E0B1F" w:rsidRDefault="000E0B1F" w:rsidP="000E0B1F">
            <w:pPr>
              <w:spacing w:after="160" w:line="259" w:lineRule="auto"/>
            </w:pPr>
            <w:r w:rsidRPr="000E0B1F">
              <w:rPr>
                <w:bCs/>
              </w:rPr>
              <w:t>&lt;0.001</w:t>
            </w:r>
          </w:p>
        </w:tc>
      </w:tr>
      <w:tr w:rsidR="000E0B1F" w:rsidRPr="000E0B1F" w14:paraId="7FFB13E5" w14:textId="77777777" w:rsidTr="00FC26B5">
        <w:trPr>
          <w:trHeight w:val="87"/>
        </w:trPr>
        <w:tc>
          <w:tcPr>
            <w:tcW w:w="3317" w:type="dxa"/>
          </w:tcPr>
          <w:p w14:paraId="3591E64E" w14:textId="77777777" w:rsidR="000E0B1F" w:rsidRPr="000E0B1F" w:rsidRDefault="000E0B1F" w:rsidP="000E0B1F">
            <w:pPr>
              <w:spacing w:after="160" w:line="259" w:lineRule="auto"/>
            </w:pPr>
            <w:r w:rsidRPr="000E0B1F">
              <w:t>Final year</w:t>
            </w:r>
          </w:p>
        </w:tc>
        <w:tc>
          <w:tcPr>
            <w:tcW w:w="1534" w:type="dxa"/>
          </w:tcPr>
          <w:p w14:paraId="393D01C6" w14:textId="77777777" w:rsidR="000E0B1F" w:rsidRPr="000E0B1F" w:rsidRDefault="000E0B1F" w:rsidP="000E0B1F">
            <w:pPr>
              <w:spacing w:after="160" w:line="259" w:lineRule="auto"/>
            </w:pPr>
            <w:r w:rsidRPr="000E0B1F">
              <w:t>7.562500</w:t>
            </w:r>
          </w:p>
        </w:tc>
        <w:tc>
          <w:tcPr>
            <w:tcW w:w="3603" w:type="dxa"/>
          </w:tcPr>
          <w:p w14:paraId="7479CEAF" w14:textId="77777777" w:rsidR="000E0B1F" w:rsidRPr="000E0B1F" w:rsidRDefault="000E0B1F" w:rsidP="000E0B1F">
            <w:pPr>
              <w:spacing w:after="160" w:line="259" w:lineRule="auto"/>
            </w:pPr>
            <w:r w:rsidRPr="000E0B1F">
              <w:rPr>
                <w:bCs/>
              </w:rPr>
              <w:t>&lt;0.001</w:t>
            </w:r>
          </w:p>
        </w:tc>
      </w:tr>
    </w:tbl>
    <w:p w14:paraId="790C4572" w14:textId="729F79E8" w:rsidR="003F009C" w:rsidRPr="000E0B1F" w:rsidRDefault="000E0B1F" w:rsidP="000E0B1F">
      <w:pPr>
        <w:rPr>
          <w:b/>
          <w:iCs/>
        </w:rPr>
      </w:pPr>
      <w:bookmarkStart w:id="0" w:name="_Ref199436394"/>
      <w:r w:rsidRPr="000E0B1F">
        <w:rPr>
          <w:b/>
          <w:iCs/>
        </w:rPr>
        <w:t xml:space="preserve">Table </w:t>
      </w:r>
      <w:r w:rsidRPr="000E0B1F">
        <w:rPr>
          <w:b/>
          <w:iCs/>
        </w:rPr>
        <w:fldChar w:fldCharType="begin"/>
      </w:r>
      <w:r w:rsidRPr="000E0B1F">
        <w:rPr>
          <w:b/>
          <w:iCs/>
        </w:rPr>
        <w:instrText xml:space="preserve"> SEQ Table \* ARABIC </w:instrText>
      </w:r>
      <w:r w:rsidRPr="000E0B1F">
        <w:rPr>
          <w:b/>
          <w:iCs/>
        </w:rPr>
        <w:fldChar w:fldCharType="separate"/>
      </w:r>
      <w:r w:rsidRPr="000E0B1F">
        <w:rPr>
          <w:b/>
          <w:iCs/>
        </w:rPr>
        <w:t>3</w:t>
      </w:r>
      <w:r w:rsidRPr="000E0B1F">
        <w:fldChar w:fldCharType="end"/>
      </w:r>
      <w:bookmarkEnd w:id="0"/>
      <w:r w:rsidRPr="000E0B1F">
        <w:rPr>
          <w:b/>
          <w:iCs/>
        </w:rPr>
        <w:t>: General Knowledge about Risk Factors for Skin Cancer</w:t>
      </w:r>
    </w:p>
    <w:sectPr w:rsidR="003F009C" w:rsidRPr="000E0B1F" w:rsidSect="00E557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0B1F"/>
    <w:rsid w:val="000E0B1F"/>
    <w:rsid w:val="001C25C5"/>
    <w:rsid w:val="003B4AF6"/>
    <w:rsid w:val="003F009C"/>
    <w:rsid w:val="00467485"/>
    <w:rsid w:val="005D4AD6"/>
    <w:rsid w:val="005E5664"/>
    <w:rsid w:val="00704D69"/>
    <w:rsid w:val="009D485D"/>
    <w:rsid w:val="009F60B8"/>
    <w:rsid w:val="00A33317"/>
    <w:rsid w:val="00AE2CF2"/>
    <w:rsid w:val="00BF4DE1"/>
    <w:rsid w:val="00E55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243F9B"/>
  <w15:chartTrackingRefBased/>
  <w15:docId w15:val="{6652E011-910F-47BA-BD33-341895E1C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ajorBidi" w:eastAsiaTheme="minorEastAsia" w:hAnsiTheme="majorBidi" w:cstheme="majorBidi"/>
        <w:sz w:val="24"/>
        <w:szCs w:val="24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E0B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210</Characters>
  <Application>Microsoft Office Word</Application>
  <DocSecurity>0</DocSecurity>
  <Lines>1</Lines>
  <Paragraphs>1</Paragraphs>
  <ScaleCrop>false</ScaleCrop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Muhammad Nabeel Saddique</dc:creator>
  <cp:keywords/>
  <dc:description/>
  <cp:lastModifiedBy>Muhammad Nabeel Saddique</cp:lastModifiedBy>
  <cp:revision>1</cp:revision>
  <dcterms:created xsi:type="dcterms:W3CDTF">2025-06-14T16:07:00Z</dcterms:created>
  <dcterms:modified xsi:type="dcterms:W3CDTF">2025-06-14T16:07:00Z</dcterms:modified>
</cp:coreProperties>
</file>