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683D" w14:textId="77777777" w:rsidR="001D4028" w:rsidRPr="0047517B" w:rsidRDefault="001D4028" w:rsidP="003A7E90">
      <w:pPr>
        <w:spacing w:line="360" w:lineRule="auto"/>
        <w:jc w:val="both"/>
        <w:rPr>
          <w:lang w:val="en-GB"/>
        </w:rPr>
      </w:pPr>
      <w:r w:rsidRPr="0047517B">
        <w:rPr>
          <w:lang w:val="en-GB"/>
        </w:rPr>
        <w:t>ORIGINAL REPORT</w:t>
      </w:r>
    </w:p>
    <w:p w14:paraId="1588080E" w14:textId="77777777" w:rsidR="00353AD4" w:rsidRPr="001D4028" w:rsidRDefault="00353AD4" w:rsidP="003A7E90">
      <w:pPr>
        <w:spacing w:line="360" w:lineRule="auto"/>
        <w:jc w:val="both"/>
        <w:rPr>
          <w:lang w:val="en-GB"/>
        </w:rPr>
      </w:pPr>
    </w:p>
    <w:p w14:paraId="7CE6C0B3" w14:textId="4C2CBAA8" w:rsidR="001D4028" w:rsidRPr="001D4028" w:rsidRDefault="001D4028" w:rsidP="003A7E90">
      <w:pPr>
        <w:spacing w:line="360" w:lineRule="auto"/>
        <w:jc w:val="both"/>
        <w:rPr>
          <w:rStyle w:val="normaltextrun"/>
          <w:b/>
          <w:bCs/>
        </w:rPr>
      </w:pPr>
      <w:r w:rsidRPr="001D4028">
        <w:rPr>
          <w:rStyle w:val="normaltextrun"/>
          <w:b/>
          <w:bCs/>
          <w:lang w:val="en-US"/>
        </w:rPr>
        <w:t xml:space="preserve">Clinician </w:t>
      </w:r>
      <w:r w:rsidR="00176D8E">
        <w:rPr>
          <w:rStyle w:val="normaltextrun"/>
          <w:b/>
          <w:bCs/>
          <w:lang w:val="en-US"/>
        </w:rPr>
        <w:t>survey</w:t>
      </w:r>
      <w:r w:rsidRPr="001D4028">
        <w:rPr>
          <w:rStyle w:val="normaltextrun"/>
          <w:b/>
          <w:bCs/>
          <w:lang w:val="en-US"/>
        </w:rPr>
        <w:t xml:space="preserve"> on the value of risk prediction for immune-related adverse events (irAE)</w:t>
      </w:r>
      <w:r w:rsidRPr="001D4028">
        <w:rPr>
          <w:rStyle w:val="normaltextrun"/>
          <w:b/>
          <w:bCs/>
        </w:rPr>
        <w:t xml:space="preserve"> induced by immune </w:t>
      </w:r>
      <w:r w:rsidRPr="001D4028">
        <w:rPr>
          <w:rStyle w:val="normaltextrun"/>
          <w:b/>
          <w:bCs/>
          <w:lang w:val="en-US"/>
        </w:rPr>
        <w:t>checkpoint inhibitor</w:t>
      </w:r>
      <w:r w:rsidRPr="001D4028">
        <w:rPr>
          <w:rStyle w:val="normaltextrun"/>
          <w:b/>
          <w:bCs/>
        </w:rPr>
        <w:t>s.</w:t>
      </w:r>
    </w:p>
    <w:p w14:paraId="4F48B470" w14:textId="77777777" w:rsidR="00353AD4" w:rsidRPr="001D4028" w:rsidRDefault="00353AD4" w:rsidP="003A7E90">
      <w:pPr>
        <w:spacing w:line="360" w:lineRule="auto"/>
        <w:jc w:val="both"/>
        <w:rPr>
          <w:rStyle w:val="normaltextrun"/>
          <w:lang w:val="en-GB"/>
        </w:rPr>
      </w:pPr>
    </w:p>
    <w:p w14:paraId="5A7D574E" w14:textId="70CD0616" w:rsidR="00B86AC3" w:rsidRPr="001D4028" w:rsidRDefault="00B86AC3" w:rsidP="003A7E90">
      <w:pPr>
        <w:autoSpaceDE w:val="0"/>
        <w:autoSpaceDN w:val="0"/>
        <w:adjustRightInd w:val="0"/>
        <w:spacing w:line="360" w:lineRule="auto"/>
        <w:rPr>
          <w:i/>
          <w:iCs/>
        </w:rPr>
      </w:pPr>
      <w:r w:rsidRPr="001D4028">
        <w:rPr>
          <w:b/>
          <w:bCs/>
        </w:rPr>
        <w:t xml:space="preserve">Table </w:t>
      </w:r>
      <w:r w:rsidR="006634F5" w:rsidRPr="001D4028">
        <w:rPr>
          <w:b/>
          <w:bCs/>
        </w:rPr>
        <w:t>S</w:t>
      </w:r>
      <w:r w:rsidRPr="001D4028">
        <w:rPr>
          <w:b/>
          <w:bCs/>
        </w:rPr>
        <w:t>1: Responde</w:t>
      </w:r>
      <w:r w:rsidR="00BD22B2" w:rsidRPr="001D4028">
        <w:rPr>
          <w:b/>
          <w:bCs/>
        </w:rPr>
        <w:t>nt</w:t>
      </w:r>
      <w:r w:rsidRPr="001D4028">
        <w:rPr>
          <w:b/>
          <w:bCs/>
        </w:rPr>
        <w:t xml:space="preserve"> demographics</w:t>
      </w:r>
      <w:r w:rsidR="0070155D" w:rsidRPr="001D4028">
        <w:rPr>
          <w:b/>
          <w:bCs/>
        </w:rPr>
        <w:t>.</w:t>
      </w:r>
      <w:r w:rsidR="00D766CD" w:rsidRPr="001D4028">
        <w:rPr>
          <w:b/>
          <w:bCs/>
        </w:rPr>
        <w:t xml:space="preserve"> </w:t>
      </w:r>
      <w:r w:rsidR="00D766CD" w:rsidRPr="001D4028">
        <w:rPr>
          <w:i/>
          <w:iCs/>
        </w:rPr>
        <w:t>n = 40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EE6E4B" w:rsidRPr="001D4028" w14:paraId="4CB0D3B3" w14:textId="77777777" w:rsidTr="001D4028">
        <w:trPr>
          <w:trHeight w:val="300"/>
        </w:trPr>
        <w:tc>
          <w:tcPr>
            <w:tcW w:w="7792" w:type="dxa"/>
            <w:shd w:val="clear" w:color="auto" w:fill="000000" w:themeFill="text1"/>
            <w:noWrap/>
            <w:vAlign w:val="center"/>
            <w:hideMark/>
          </w:tcPr>
          <w:p w14:paraId="049C224D" w14:textId="77777777" w:rsidR="005373CD" w:rsidRPr="001D4028" w:rsidRDefault="005373CD" w:rsidP="003A7E90">
            <w:pPr>
              <w:spacing w:line="360" w:lineRule="auto"/>
              <w:jc w:val="center"/>
              <w:rPr>
                <w:b/>
                <w:bCs/>
                <w:color w:val="FFFFFF" w:themeColor="background1"/>
              </w:rPr>
            </w:pPr>
            <w:r w:rsidRPr="001D4028">
              <w:rPr>
                <w:b/>
                <w:bCs/>
                <w:color w:val="FFFFFF" w:themeColor="background1"/>
              </w:rPr>
              <w:t>Survey Question</w:t>
            </w:r>
          </w:p>
        </w:tc>
        <w:tc>
          <w:tcPr>
            <w:tcW w:w="1984" w:type="dxa"/>
            <w:shd w:val="clear" w:color="auto" w:fill="000000" w:themeFill="text1"/>
            <w:noWrap/>
            <w:vAlign w:val="center"/>
            <w:hideMark/>
          </w:tcPr>
          <w:p w14:paraId="74DC90ED" w14:textId="77777777" w:rsidR="005373CD" w:rsidRPr="001D4028" w:rsidRDefault="005373CD" w:rsidP="003A7E90">
            <w:pPr>
              <w:spacing w:line="360" w:lineRule="auto"/>
              <w:jc w:val="center"/>
              <w:rPr>
                <w:b/>
                <w:bCs/>
                <w:color w:val="FFFFFF" w:themeColor="background1"/>
              </w:rPr>
            </w:pPr>
            <w:r w:rsidRPr="001D4028">
              <w:rPr>
                <w:b/>
                <w:bCs/>
                <w:color w:val="FFFFFF" w:themeColor="background1"/>
              </w:rPr>
              <w:t>Response (%)</w:t>
            </w:r>
          </w:p>
        </w:tc>
      </w:tr>
      <w:tr w:rsidR="00B86AC3" w:rsidRPr="001D4028" w14:paraId="66D8715F" w14:textId="77777777" w:rsidTr="001D4028">
        <w:trPr>
          <w:trHeight w:val="300"/>
        </w:trPr>
        <w:tc>
          <w:tcPr>
            <w:tcW w:w="7792" w:type="dxa"/>
            <w:shd w:val="clear" w:color="auto" w:fill="D9D9D9" w:themeFill="background1" w:themeFillShade="D9"/>
            <w:noWrap/>
            <w:vAlign w:val="center"/>
            <w:hideMark/>
          </w:tcPr>
          <w:p w14:paraId="36B660C1" w14:textId="6EC0500B" w:rsidR="005373CD" w:rsidRPr="001D4028" w:rsidRDefault="00984B69" w:rsidP="003A7E90">
            <w:pPr>
              <w:spacing w:line="360" w:lineRule="auto"/>
              <w:rPr>
                <w:color w:val="000000"/>
              </w:rPr>
            </w:pPr>
            <w:r w:rsidRPr="001D4028">
              <w:rPr>
                <w:color w:val="000000"/>
              </w:rPr>
              <w:t xml:space="preserve">Question 1. </w:t>
            </w:r>
            <w:r w:rsidR="005373CD" w:rsidRPr="001D4028">
              <w:rPr>
                <w:color w:val="000000"/>
              </w:rPr>
              <w:t>Select your professional role</w:t>
            </w:r>
          </w:p>
        </w:tc>
        <w:tc>
          <w:tcPr>
            <w:tcW w:w="1984" w:type="dxa"/>
            <w:shd w:val="clear" w:color="auto" w:fill="D9D9D9" w:themeFill="background1" w:themeFillShade="D9"/>
            <w:noWrap/>
            <w:vAlign w:val="center"/>
            <w:hideMark/>
          </w:tcPr>
          <w:p w14:paraId="0DAAA714" w14:textId="77777777" w:rsidR="005373CD" w:rsidRPr="001D4028" w:rsidRDefault="005373CD" w:rsidP="003A7E90">
            <w:pPr>
              <w:spacing w:line="360" w:lineRule="auto"/>
              <w:rPr>
                <w:color w:val="000000"/>
              </w:rPr>
            </w:pPr>
          </w:p>
        </w:tc>
      </w:tr>
      <w:tr w:rsidR="005373CD" w:rsidRPr="001D4028" w14:paraId="6D57956F" w14:textId="77777777" w:rsidTr="001D4028">
        <w:trPr>
          <w:trHeight w:val="300"/>
        </w:trPr>
        <w:tc>
          <w:tcPr>
            <w:tcW w:w="7792" w:type="dxa"/>
            <w:shd w:val="clear" w:color="auto" w:fill="auto"/>
            <w:noWrap/>
            <w:vAlign w:val="center"/>
            <w:hideMark/>
          </w:tcPr>
          <w:p w14:paraId="188231D1" w14:textId="77777777" w:rsidR="005373CD" w:rsidRPr="001D4028" w:rsidRDefault="005373CD" w:rsidP="003A7E90">
            <w:pPr>
              <w:spacing w:line="360" w:lineRule="auto"/>
              <w:rPr>
                <w:color w:val="000000"/>
              </w:rPr>
            </w:pPr>
            <w:r w:rsidRPr="001D4028">
              <w:rPr>
                <w:color w:val="000000"/>
              </w:rPr>
              <w:t>Medical specialist</w:t>
            </w:r>
          </w:p>
        </w:tc>
        <w:tc>
          <w:tcPr>
            <w:tcW w:w="1984" w:type="dxa"/>
            <w:shd w:val="clear" w:color="auto" w:fill="auto"/>
            <w:noWrap/>
            <w:vAlign w:val="center"/>
            <w:hideMark/>
          </w:tcPr>
          <w:p w14:paraId="55BDCC68" w14:textId="77777777" w:rsidR="005373CD" w:rsidRPr="001D4028" w:rsidRDefault="005373CD" w:rsidP="003A7E90">
            <w:pPr>
              <w:spacing w:line="360" w:lineRule="auto"/>
              <w:rPr>
                <w:color w:val="000000"/>
              </w:rPr>
            </w:pPr>
            <w:r w:rsidRPr="001D4028">
              <w:rPr>
                <w:color w:val="000000"/>
              </w:rPr>
              <w:t>23 (57.5%)</w:t>
            </w:r>
          </w:p>
        </w:tc>
      </w:tr>
      <w:tr w:rsidR="005373CD" w:rsidRPr="001D4028" w14:paraId="16141824" w14:textId="77777777" w:rsidTr="001D4028">
        <w:trPr>
          <w:trHeight w:val="300"/>
        </w:trPr>
        <w:tc>
          <w:tcPr>
            <w:tcW w:w="7792" w:type="dxa"/>
            <w:shd w:val="clear" w:color="auto" w:fill="auto"/>
            <w:noWrap/>
            <w:vAlign w:val="center"/>
            <w:hideMark/>
          </w:tcPr>
          <w:p w14:paraId="540CB37E" w14:textId="77777777" w:rsidR="005373CD" w:rsidRPr="001D4028" w:rsidRDefault="005373CD" w:rsidP="003A7E90">
            <w:pPr>
              <w:spacing w:line="360" w:lineRule="auto"/>
              <w:rPr>
                <w:color w:val="000000"/>
              </w:rPr>
            </w:pPr>
            <w:r w:rsidRPr="001D4028">
              <w:rPr>
                <w:color w:val="000000"/>
              </w:rPr>
              <w:t>Medical trainee</w:t>
            </w:r>
          </w:p>
        </w:tc>
        <w:tc>
          <w:tcPr>
            <w:tcW w:w="1984" w:type="dxa"/>
            <w:shd w:val="clear" w:color="auto" w:fill="auto"/>
            <w:noWrap/>
            <w:vAlign w:val="center"/>
            <w:hideMark/>
          </w:tcPr>
          <w:p w14:paraId="064EBF78" w14:textId="77777777" w:rsidR="005373CD" w:rsidRPr="001D4028" w:rsidRDefault="005373CD" w:rsidP="003A7E90">
            <w:pPr>
              <w:spacing w:line="360" w:lineRule="auto"/>
              <w:rPr>
                <w:color w:val="000000"/>
              </w:rPr>
            </w:pPr>
            <w:r w:rsidRPr="001D4028">
              <w:rPr>
                <w:color w:val="000000"/>
              </w:rPr>
              <w:t>7 (17.5%)</w:t>
            </w:r>
          </w:p>
        </w:tc>
      </w:tr>
      <w:tr w:rsidR="005373CD" w:rsidRPr="001D4028" w14:paraId="3AAB0660" w14:textId="77777777" w:rsidTr="001D4028">
        <w:trPr>
          <w:trHeight w:val="300"/>
        </w:trPr>
        <w:tc>
          <w:tcPr>
            <w:tcW w:w="7792" w:type="dxa"/>
            <w:shd w:val="clear" w:color="auto" w:fill="auto"/>
            <w:noWrap/>
            <w:vAlign w:val="center"/>
            <w:hideMark/>
          </w:tcPr>
          <w:p w14:paraId="1BEEE3BD" w14:textId="77777777" w:rsidR="005373CD" w:rsidRPr="001D4028" w:rsidRDefault="005373CD" w:rsidP="003A7E90">
            <w:pPr>
              <w:spacing w:line="360" w:lineRule="auto"/>
              <w:rPr>
                <w:color w:val="000000"/>
              </w:rPr>
            </w:pPr>
            <w:r w:rsidRPr="001D4028">
              <w:rPr>
                <w:color w:val="000000"/>
              </w:rPr>
              <w:t>Nurse specialist</w:t>
            </w:r>
          </w:p>
        </w:tc>
        <w:tc>
          <w:tcPr>
            <w:tcW w:w="1984" w:type="dxa"/>
            <w:shd w:val="clear" w:color="auto" w:fill="auto"/>
            <w:noWrap/>
            <w:vAlign w:val="center"/>
            <w:hideMark/>
          </w:tcPr>
          <w:p w14:paraId="36A38827" w14:textId="77777777" w:rsidR="005373CD" w:rsidRPr="001D4028" w:rsidRDefault="005373CD" w:rsidP="003A7E90">
            <w:pPr>
              <w:spacing w:line="360" w:lineRule="auto"/>
              <w:rPr>
                <w:color w:val="000000"/>
              </w:rPr>
            </w:pPr>
            <w:r w:rsidRPr="001D4028">
              <w:rPr>
                <w:color w:val="000000"/>
              </w:rPr>
              <w:t>7 (17.5%)</w:t>
            </w:r>
          </w:p>
        </w:tc>
      </w:tr>
      <w:tr w:rsidR="005373CD" w:rsidRPr="001D4028" w14:paraId="4F623884" w14:textId="77777777" w:rsidTr="001D4028">
        <w:trPr>
          <w:trHeight w:val="300"/>
        </w:trPr>
        <w:tc>
          <w:tcPr>
            <w:tcW w:w="7792" w:type="dxa"/>
            <w:shd w:val="clear" w:color="auto" w:fill="auto"/>
            <w:noWrap/>
            <w:vAlign w:val="center"/>
            <w:hideMark/>
          </w:tcPr>
          <w:p w14:paraId="4E207248" w14:textId="77777777" w:rsidR="005373CD" w:rsidRPr="001D4028" w:rsidRDefault="005373CD" w:rsidP="003A7E90">
            <w:pPr>
              <w:spacing w:line="360" w:lineRule="auto"/>
              <w:rPr>
                <w:color w:val="000000"/>
              </w:rPr>
            </w:pPr>
            <w:r w:rsidRPr="001D4028">
              <w:rPr>
                <w:color w:val="000000"/>
              </w:rPr>
              <w:t>Nurse practitioner</w:t>
            </w:r>
          </w:p>
        </w:tc>
        <w:tc>
          <w:tcPr>
            <w:tcW w:w="1984" w:type="dxa"/>
            <w:shd w:val="clear" w:color="auto" w:fill="auto"/>
            <w:noWrap/>
            <w:vAlign w:val="center"/>
            <w:hideMark/>
          </w:tcPr>
          <w:p w14:paraId="4DCD1317" w14:textId="77777777" w:rsidR="005373CD" w:rsidRPr="001D4028" w:rsidRDefault="005373CD" w:rsidP="003A7E90">
            <w:pPr>
              <w:spacing w:line="360" w:lineRule="auto"/>
              <w:rPr>
                <w:color w:val="000000"/>
              </w:rPr>
            </w:pPr>
            <w:r w:rsidRPr="001D4028">
              <w:rPr>
                <w:color w:val="000000"/>
              </w:rPr>
              <w:t>3 (7.5%)</w:t>
            </w:r>
          </w:p>
        </w:tc>
      </w:tr>
      <w:tr w:rsidR="00B86AC3" w:rsidRPr="001D4028" w14:paraId="38045CFC" w14:textId="77777777" w:rsidTr="001D4028">
        <w:trPr>
          <w:trHeight w:val="300"/>
        </w:trPr>
        <w:tc>
          <w:tcPr>
            <w:tcW w:w="7792" w:type="dxa"/>
            <w:shd w:val="clear" w:color="auto" w:fill="D9D9D9" w:themeFill="background1" w:themeFillShade="D9"/>
            <w:noWrap/>
            <w:vAlign w:val="center"/>
            <w:hideMark/>
          </w:tcPr>
          <w:p w14:paraId="77F4F3CA" w14:textId="0665F402" w:rsidR="005373CD" w:rsidRPr="001D4028" w:rsidRDefault="00984B69" w:rsidP="003A7E90">
            <w:pPr>
              <w:spacing w:line="360" w:lineRule="auto"/>
              <w:rPr>
                <w:color w:val="000000"/>
              </w:rPr>
            </w:pPr>
            <w:r w:rsidRPr="001D4028">
              <w:rPr>
                <w:color w:val="000000"/>
              </w:rPr>
              <w:t xml:space="preserve">Question 2. </w:t>
            </w:r>
            <w:r w:rsidR="005373CD" w:rsidRPr="001D4028">
              <w:rPr>
                <w:color w:val="000000"/>
              </w:rPr>
              <w:t>In which country do you practice?</w:t>
            </w:r>
          </w:p>
        </w:tc>
        <w:tc>
          <w:tcPr>
            <w:tcW w:w="1984" w:type="dxa"/>
            <w:shd w:val="clear" w:color="auto" w:fill="D9D9D9" w:themeFill="background1" w:themeFillShade="D9"/>
            <w:noWrap/>
            <w:vAlign w:val="center"/>
            <w:hideMark/>
          </w:tcPr>
          <w:p w14:paraId="0B398086" w14:textId="77777777" w:rsidR="005373CD" w:rsidRPr="001D4028" w:rsidRDefault="005373CD" w:rsidP="003A7E90">
            <w:pPr>
              <w:spacing w:line="360" w:lineRule="auto"/>
              <w:rPr>
                <w:color w:val="000000"/>
              </w:rPr>
            </w:pPr>
          </w:p>
        </w:tc>
      </w:tr>
      <w:tr w:rsidR="005373CD" w:rsidRPr="001D4028" w14:paraId="3478FCC0" w14:textId="77777777" w:rsidTr="001D4028">
        <w:trPr>
          <w:trHeight w:val="300"/>
        </w:trPr>
        <w:tc>
          <w:tcPr>
            <w:tcW w:w="7792" w:type="dxa"/>
            <w:shd w:val="clear" w:color="auto" w:fill="auto"/>
            <w:noWrap/>
            <w:vAlign w:val="center"/>
            <w:hideMark/>
          </w:tcPr>
          <w:p w14:paraId="1A701441" w14:textId="77777777" w:rsidR="005373CD" w:rsidRPr="001D4028" w:rsidRDefault="005373CD" w:rsidP="003A7E90">
            <w:pPr>
              <w:spacing w:line="360" w:lineRule="auto"/>
              <w:rPr>
                <w:color w:val="000000"/>
              </w:rPr>
            </w:pPr>
            <w:r w:rsidRPr="001D4028">
              <w:rPr>
                <w:color w:val="000000"/>
              </w:rPr>
              <w:t>Australia</w:t>
            </w:r>
          </w:p>
        </w:tc>
        <w:tc>
          <w:tcPr>
            <w:tcW w:w="1984" w:type="dxa"/>
            <w:shd w:val="clear" w:color="auto" w:fill="auto"/>
            <w:noWrap/>
            <w:vAlign w:val="center"/>
            <w:hideMark/>
          </w:tcPr>
          <w:p w14:paraId="58C5B9E2" w14:textId="77777777" w:rsidR="005373CD" w:rsidRPr="001D4028" w:rsidRDefault="005373CD" w:rsidP="003A7E90">
            <w:pPr>
              <w:spacing w:line="360" w:lineRule="auto"/>
              <w:rPr>
                <w:color w:val="000000"/>
              </w:rPr>
            </w:pPr>
            <w:r w:rsidRPr="001D4028">
              <w:rPr>
                <w:color w:val="000000"/>
              </w:rPr>
              <w:t>37 (92.5%)</w:t>
            </w:r>
          </w:p>
        </w:tc>
      </w:tr>
      <w:tr w:rsidR="005373CD" w:rsidRPr="001D4028" w14:paraId="242F3F18" w14:textId="77777777" w:rsidTr="001D4028">
        <w:trPr>
          <w:trHeight w:val="300"/>
        </w:trPr>
        <w:tc>
          <w:tcPr>
            <w:tcW w:w="7792" w:type="dxa"/>
            <w:shd w:val="clear" w:color="auto" w:fill="auto"/>
            <w:noWrap/>
            <w:vAlign w:val="center"/>
            <w:hideMark/>
          </w:tcPr>
          <w:p w14:paraId="20852FF0" w14:textId="77777777" w:rsidR="005373CD" w:rsidRPr="001D4028" w:rsidRDefault="005373CD" w:rsidP="003A7E90">
            <w:pPr>
              <w:spacing w:line="360" w:lineRule="auto"/>
              <w:rPr>
                <w:color w:val="000000"/>
              </w:rPr>
            </w:pPr>
            <w:r w:rsidRPr="001D4028">
              <w:rPr>
                <w:color w:val="000000"/>
              </w:rPr>
              <w:t>New Zealand</w:t>
            </w:r>
          </w:p>
        </w:tc>
        <w:tc>
          <w:tcPr>
            <w:tcW w:w="1984" w:type="dxa"/>
            <w:shd w:val="clear" w:color="auto" w:fill="auto"/>
            <w:noWrap/>
            <w:vAlign w:val="center"/>
            <w:hideMark/>
          </w:tcPr>
          <w:p w14:paraId="308CCA07" w14:textId="77777777" w:rsidR="005373CD" w:rsidRPr="001D4028" w:rsidRDefault="005373CD" w:rsidP="003A7E90">
            <w:pPr>
              <w:spacing w:line="360" w:lineRule="auto"/>
              <w:rPr>
                <w:color w:val="000000"/>
              </w:rPr>
            </w:pPr>
            <w:r w:rsidRPr="001D4028">
              <w:rPr>
                <w:color w:val="000000"/>
              </w:rPr>
              <w:t>3 (7.5%)</w:t>
            </w:r>
          </w:p>
        </w:tc>
      </w:tr>
      <w:tr w:rsidR="005373CD" w:rsidRPr="001D4028" w14:paraId="195D8756" w14:textId="77777777" w:rsidTr="001D4028">
        <w:trPr>
          <w:trHeight w:val="300"/>
        </w:trPr>
        <w:tc>
          <w:tcPr>
            <w:tcW w:w="9776" w:type="dxa"/>
            <w:gridSpan w:val="2"/>
            <w:shd w:val="clear" w:color="auto" w:fill="D9D9D9" w:themeFill="background1" w:themeFillShade="D9"/>
            <w:noWrap/>
            <w:vAlign w:val="center"/>
            <w:hideMark/>
          </w:tcPr>
          <w:p w14:paraId="686582F3" w14:textId="753F5816" w:rsidR="005373CD" w:rsidRPr="001D4028" w:rsidRDefault="00984B69" w:rsidP="003A7E90">
            <w:pPr>
              <w:spacing w:line="360" w:lineRule="auto"/>
              <w:rPr>
                <w:color w:val="000000"/>
              </w:rPr>
            </w:pPr>
            <w:r w:rsidRPr="001D4028">
              <w:rPr>
                <w:color w:val="000000"/>
              </w:rPr>
              <w:t xml:space="preserve">Question 3. </w:t>
            </w:r>
            <w:r w:rsidR="005373CD" w:rsidRPr="001D4028">
              <w:rPr>
                <w:color w:val="000000"/>
              </w:rPr>
              <w:t>In which of the following settings do you currently work? (Select all that apply)</w:t>
            </w:r>
          </w:p>
        </w:tc>
      </w:tr>
      <w:tr w:rsidR="005373CD" w:rsidRPr="001D4028" w14:paraId="4FECAB20" w14:textId="77777777" w:rsidTr="001D4028">
        <w:trPr>
          <w:trHeight w:val="300"/>
        </w:trPr>
        <w:tc>
          <w:tcPr>
            <w:tcW w:w="7792" w:type="dxa"/>
            <w:shd w:val="clear" w:color="auto" w:fill="auto"/>
            <w:noWrap/>
            <w:vAlign w:val="center"/>
            <w:hideMark/>
          </w:tcPr>
          <w:p w14:paraId="341DA6AA" w14:textId="77777777" w:rsidR="005373CD" w:rsidRPr="001D4028" w:rsidRDefault="005373CD" w:rsidP="003A7E90">
            <w:pPr>
              <w:spacing w:line="360" w:lineRule="auto"/>
              <w:rPr>
                <w:color w:val="000000"/>
              </w:rPr>
            </w:pPr>
            <w:r w:rsidRPr="001D4028">
              <w:rPr>
                <w:color w:val="000000"/>
              </w:rPr>
              <w:t>Metropolitan general hospital, centre or health service</w:t>
            </w:r>
          </w:p>
        </w:tc>
        <w:tc>
          <w:tcPr>
            <w:tcW w:w="1984" w:type="dxa"/>
            <w:shd w:val="clear" w:color="auto" w:fill="auto"/>
            <w:noWrap/>
            <w:vAlign w:val="center"/>
            <w:hideMark/>
          </w:tcPr>
          <w:p w14:paraId="708F98FA" w14:textId="77777777" w:rsidR="005373CD" w:rsidRPr="001D4028" w:rsidRDefault="005373CD" w:rsidP="003A7E90">
            <w:pPr>
              <w:spacing w:line="360" w:lineRule="auto"/>
              <w:rPr>
                <w:color w:val="000000"/>
              </w:rPr>
            </w:pPr>
            <w:r w:rsidRPr="001D4028">
              <w:rPr>
                <w:color w:val="000000"/>
              </w:rPr>
              <w:t>17 (42.5%)</w:t>
            </w:r>
          </w:p>
        </w:tc>
      </w:tr>
      <w:tr w:rsidR="005373CD" w:rsidRPr="001D4028" w14:paraId="1B417611" w14:textId="77777777" w:rsidTr="001D4028">
        <w:trPr>
          <w:trHeight w:val="300"/>
        </w:trPr>
        <w:tc>
          <w:tcPr>
            <w:tcW w:w="7792" w:type="dxa"/>
            <w:shd w:val="clear" w:color="auto" w:fill="auto"/>
            <w:noWrap/>
            <w:vAlign w:val="center"/>
            <w:hideMark/>
          </w:tcPr>
          <w:p w14:paraId="456DD1A7" w14:textId="77777777" w:rsidR="005373CD" w:rsidRPr="001D4028" w:rsidRDefault="005373CD" w:rsidP="003A7E90">
            <w:pPr>
              <w:spacing w:line="360" w:lineRule="auto"/>
              <w:rPr>
                <w:color w:val="000000"/>
              </w:rPr>
            </w:pPr>
            <w:r w:rsidRPr="001D4028">
              <w:rPr>
                <w:color w:val="000000"/>
              </w:rPr>
              <w:t>Specialist cancer hospital or centre</w:t>
            </w:r>
          </w:p>
        </w:tc>
        <w:tc>
          <w:tcPr>
            <w:tcW w:w="1984" w:type="dxa"/>
            <w:shd w:val="clear" w:color="auto" w:fill="auto"/>
            <w:noWrap/>
            <w:vAlign w:val="center"/>
            <w:hideMark/>
          </w:tcPr>
          <w:p w14:paraId="2110C425" w14:textId="77777777" w:rsidR="005373CD" w:rsidRPr="001D4028" w:rsidRDefault="005373CD" w:rsidP="003A7E90">
            <w:pPr>
              <w:spacing w:line="360" w:lineRule="auto"/>
              <w:rPr>
                <w:color w:val="000000"/>
              </w:rPr>
            </w:pPr>
            <w:r w:rsidRPr="001D4028">
              <w:rPr>
                <w:color w:val="000000"/>
              </w:rPr>
              <w:t>15 (37.5%)</w:t>
            </w:r>
          </w:p>
        </w:tc>
      </w:tr>
      <w:tr w:rsidR="005373CD" w:rsidRPr="001D4028" w14:paraId="46723AB5" w14:textId="77777777" w:rsidTr="001D4028">
        <w:trPr>
          <w:trHeight w:val="300"/>
        </w:trPr>
        <w:tc>
          <w:tcPr>
            <w:tcW w:w="7792" w:type="dxa"/>
            <w:shd w:val="clear" w:color="auto" w:fill="auto"/>
            <w:noWrap/>
            <w:vAlign w:val="center"/>
            <w:hideMark/>
          </w:tcPr>
          <w:p w14:paraId="395B2D9D" w14:textId="77777777" w:rsidR="005373CD" w:rsidRPr="001D4028" w:rsidRDefault="005373CD" w:rsidP="003A7E90">
            <w:pPr>
              <w:spacing w:line="360" w:lineRule="auto"/>
              <w:rPr>
                <w:color w:val="000000"/>
              </w:rPr>
            </w:pPr>
            <w:r w:rsidRPr="001D4028">
              <w:rPr>
                <w:color w:val="000000"/>
              </w:rPr>
              <w:t>Regional general hospital, centre or health service</w:t>
            </w:r>
          </w:p>
        </w:tc>
        <w:tc>
          <w:tcPr>
            <w:tcW w:w="1984" w:type="dxa"/>
            <w:shd w:val="clear" w:color="auto" w:fill="auto"/>
            <w:noWrap/>
            <w:vAlign w:val="center"/>
            <w:hideMark/>
          </w:tcPr>
          <w:p w14:paraId="79F1A5CA" w14:textId="77777777" w:rsidR="005373CD" w:rsidRPr="001D4028" w:rsidRDefault="005373CD" w:rsidP="003A7E90">
            <w:pPr>
              <w:spacing w:line="360" w:lineRule="auto"/>
              <w:rPr>
                <w:color w:val="000000"/>
              </w:rPr>
            </w:pPr>
            <w:r w:rsidRPr="001D4028">
              <w:rPr>
                <w:color w:val="000000"/>
              </w:rPr>
              <w:t>10 (25.0%)</w:t>
            </w:r>
          </w:p>
        </w:tc>
      </w:tr>
      <w:tr w:rsidR="005373CD" w:rsidRPr="001D4028" w14:paraId="2C14B7AF" w14:textId="77777777" w:rsidTr="001D4028">
        <w:trPr>
          <w:trHeight w:val="300"/>
        </w:trPr>
        <w:tc>
          <w:tcPr>
            <w:tcW w:w="7792" w:type="dxa"/>
            <w:shd w:val="clear" w:color="auto" w:fill="auto"/>
            <w:noWrap/>
            <w:vAlign w:val="center"/>
            <w:hideMark/>
          </w:tcPr>
          <w:p w14:paraId="2743030E" w14:textId="77777777" w:rsidR="005373CD" w:rsidRPr="001D4028" w:rsidRDefault="005373CD" w:rsidP="003A7E90">
            <w:pPr>
              <w:spacing w:line="360" w:lineRule="auto"/>
              <w:rPr>
                <w:color w:val="000000"/>
              </w:rPr>
            </w:pPr>
            <w:r w:rsidRPr="001D4028">
              <w:rPr>
                <w:color w:val="000000"/>
              </w:rPr>
              <w:t>Private hospital, centre or health service</w:t>
            </w:r>
          </w:p>
        </w:tc>
        <w:tc>
          <w:tcPr>
            <w:tcW w:w="1984" w:type="dxa"/>
            <w:shd w:val="clear" w:color="auto" w:fill="auto"/>
            <w:noWrap/>
            <w:vAlign w:val="center"/>
            <w:hideMark/>
          </w:tcPr>
          <w:p w14:paraId="50D8E6A2" w14:textId="77777777" w:rsidR="005373CD" w:rsidRPr="001D4028" w:rsidRDefault="005373CD" w:rsidP="003A7E90">
            <w:pPr>
              <w:spacing w:line="360" w:lineRule="auto"/>
              <w:rPr>
                <w:color w:val="000000"/>
              </w:rPr>
            </w:pPr>
            <w:r w:rsidRPr="001D4028">
              <w:rPr>
                <w:color w:val="000000"/>
              </w:rPr>
              <w:t>4 (10.0%)</w:t>
            </w:r>
          </w:p>
        </w:tc>
      </w:tr>
      <w:tr w:rsidR="005373CD" w:rsidRPr="001D4028" w14:paraId="2EB78564" w14:textId="77777777" w:rsidTr="001D4028">
        <w:trPr>
          <w:trHeight w:val="300"/>
        </w:trPr>
        <w:tc>
          <w:tcPr>
            <w:tcW w:w="7792" w:type="dxa"/>
            <w:shd w:val="clear" w:color="auto" w:fill="auto"/>
            <w:noWrap/>
            <w:vAlign w:val="center"/>
            <w:hideMark/>
          </w:tcPr>
          <w:p w14:paraId="31D77E74" w14:textId="77777777" w:rsidR="005373CD" w:rsidRPr="001D4028" w:rsidRDefault="005373CD" w:rsidP="003A7E90">
            <w:pPr>
              <w:spacing w:line="360" w:lineRule="auto"/>
              <w:rPr>
                <w:color w:val="000000"/>
              </w:rPr>
            </w:pPr>
            <w:r w:rsidRPr="001D4028">
              <w:rPr>
                <w:color w:val="000000"/>
              </w:rPr>
              <w:t>Academic or research institution</w:t>
            </w:r>
          </w:p>
        </w:tc>
        <w:tc>
          <w:tcPr>
            <w:tcW w:w="1984" w:type="dxa"/>
            <w:shd w:val="clear" w:color="auto" w:fill="auto"/>
            <w:noWrap/>
            <w:vAlign w:val="center"/>
            <w:hideMark/>
          </w:tcPr>
          <w:p w14:paraId="331B05BA" w14:textId="77777777" w:rsidR="005373CD" w:rsidRPr="001D4028" w:rsidRDefault="005373CD" w:rsidP="003A7E90">
            <w:pPr>
              <w:spacing w:line="360" w:lineRule="auto"/>
              <w:rPr>
                <w:color w:val="000000"/>
              </w:rPr>
            </w:pPr>
            <w:r w:rsidRPr="001D4028">
              <w:rPr>
                <w:color w:val="000000"/>
              </w:rPr>
              <w:t>2 (5.0%)</w:t>
            </w:r>
          </w:p>
        </w:tc>
      </w:tr>
      <w:tr w:rsidR="005373CD" w:rsidRPr="001D4028" w14:paraId="4776FA11" w14:textId="77777777" w:rsidTr="001D4028">
        <w:trPr>
          <w:trHeight w:val="300"/>
        </w:trPr>
        <w:tc>
          <w:tcPr>
            <w:tcW w:w="7792" w:type="dxa"/>
            <w:shd w:val="clear" w:color="auto" w:fill="auto"/>
            <w:noWrap/>
            <w:vAlign w:val="center"/>
            <w:hideMark/>
          </w:tcPr>
          <w:p w14:paraId="5185187B" w14:textId="1F72C4A0" w:rsidR="005373CD" w:rsidRPr="001D4028" w:rsidRDefault="005373CD" w:rsidP="003A7E90">
            <w:pPr>
              <w:spacing w:line="360" w:lineRule="auto"/>
              <w:rPr>
                <w:color w:val="000000"/>
              </w:rPr>
            </w:pPr>
            <w:r w:rsidRPr="001D4028">
              <w:rPr>
                <w:color w:val="000000"/>
              </w:rPr>
              <w:t xml:space="preserve">Other: </w:t>
            </w:r>
            <w:r w:rsidR="00984B69" w:rsidRPr="001D4028">
              <w:rPr>
                <w:color w:val="000000"/>
              </w:rPr>
              <w:t>“</w:t>
            </w:r>
            <w:r w:rsidRPr="001D4028">
              <w:rPr>
                <w:color w:val="000000"/>
              </w:rPr>
              <w:t>Telehealth service</w:t>
            </w:r>
            <w:r w:rsidR="00984B69" w:rsidRPr="001D4028">
              <w:rPr>
                <w:color w:val="000000"/>
              </w:rPr>
              <w:t>”</w:t>
            </w:r>
          </w:p>
        </w:tc>
        <w:tc>
          <w:tcPr>
            <w:tcW w:w="1984" w:type="dxa"/>
            <w:shd w:val="clear" w:color="auto" w:fill="auto"/>
            <w:noWrap/>
            <w:vAlign w:val="center"/>
            <w:hideMark/>
          </w:tcPr>
          <w:p w14:paraId="7A0907A3" w14:textId="77777777" w:rsidR="005373CD" w:rsidRPr="001D4028" w:rsidRDefault="005373CD" w:rsidP="003A7E90">
            <w:pPr>
              <w:spacing w:line="360" w:lineRule="auto"/>
              <w:rPr>
                <w:color w:val="000000"/>
              </w:rPr>
            </w:pPr>
            <w:r w:rsidRPr="001D4028">
              <w:rPr>
                <w:color w:val="000000"/>
              </w:rPr>
              <w:t>1 (2.5%)</w:t>
            </w:r>
          </w:p>
        </w:tc>
      </w:tr>
      <w:tr w:rsidR="005373CD" w:rsidRPr="001D4028" w14:paraId="34492FA6" w14:textId="77777777" w:rsidTr="001D4028">
        <w:trPr>
          <w:trHeight w:val="300"/>
        </w:trPr>
        <w:tc>
          <w:tcPr>
            <w:tcW w:w="9776" w:type="dxa"/>
            <w:gridSpan w:val="2"/>
            <w:shd w:val="clear" w:color="auto" w:fill="D9D9D9" w:themeFill="background1" w:themeFillShade="D9"/>
            <w:noWrap/>
            <w:vAlign w:val="center"/>
            <w:hideMark/>
          </w:tcPr>
          <w:p w14:paraId="000E0101" w14:textId="22579647" w:rsidR="005373CD" w:rsidRPr="001D4028" w:rsidRDefault="00984B69" w:rsidP="003A7E90">
            <w:pPr>
              <w:spacing w:line="360" w:lineRule="auto"/>
              <w:rPr>
                <w:color w:val="000000"/>
              </w:rPr>
            </w:pPr>
            <w:r w:rsidRPr="001D4028">
              <w:rPr>
                <w:color w:val="000000"/>
              </w:rPr>
              <w:t xml:space="preserve">Question 4. </w:t>
            </w:r>
            <w:r w:rsidR="005373CD" w:rsidRPr="001D4028">
              <w:rPr>
                <w:color w:val="000000"/>
              </w:rPr>
              <w:t>In which of the following cancer sub-groups do you currently practice? (Select all that apply)</w:t>
            </w:r>
          </w:p>
        </w:tc>
      </w:tr>
      <w:tr w:rsidR="005373CD" w:rsidRPr="001D4028" w14:paraId="1B155AE0" w14:textId="77777777" w:rsidTr="001D4028">
        <w:trPr>
          <w:trHeight w:val="300"/>
        </w:trPr>
        <w:tc>
          <w:tcPr>
            <w:tcW w:w="7792" w:type="dxa"/>
            <w:shd w:val="clear" w:color="auto" w:fill="auto"/>
            <w:noWrap/>
            <w:vAlign w:val="center"/>
            <w:hideMark/>
          </w:tcPr>
          <w:p w14:paraId="76B5B431" w14:textId="77777777" w:rsidR="005373CD" w:rsidRPr="001D4028" w:rsidRDefault="005373CD" w:rsidP="003A7E90">
            <w:pPr>
              <w:spacing w:line="360" w:lineRule="auto"/>
              <w:rPr>
                <w:color w:val="000000"/>
              </w:rPr>
            </w:pPr>
            <w:r w:rsidRPr="001D4028">
              <w:rPr>
                <w:color w:val="000000"/>
              </w:rPr>
              <w:t>Melanoma &amp; skin</w:t>
            </w:r>
          </w:p>
        </w:tc>
        <w:tc>
          <w:tcPr>
            <w:tcW w:w="1984" w:type="dxa"/>
            <w:shd w:val="clear" w:color="auto" w:fill="auto"/>
            <w:noWrap/>
            <w:vAlign w:val="center"/>
            <w:hideMark/>
          </w:tcPr>
          <w:p w14:paraId="33CEAED1" w14:textId="417817BD" w:rsidR="005373CD" w:rsidRPr="001D4028" w:rsidRDefault="005373CD" w:rsidP="003A7E90">
            <w:pPr>
              <w:spacing w:line="360" w:lineRule="auto"/>
              <w:rPr>
                <w:color w:val="000000"/>
              </w:rPr>
            </w:pPr>
            <w:r w:rsidRPr="001D4028">
              <w:rPr>
                <w:color w:val="000000"/>
              </w:rPr>
              <w:t>26 (65.0</w:t>
            </w:r>
            <w:r w:rsidR="00B86AC3" w:rsidRPr="001D4028">
              <w:rPr>
                <w:color w:val="000000"/>
              </w:rPr>
              <w:t xml:space="preserve"> </w:t>
            </w:r>
            <w:r w:rsidRPr="001D4028">
              <w:rPr>
                <w:color w:val="000000"/>
              </w:rPr>
              <w:t>%)</w:t>
            </w:r>
          </w:p>
        </w:tc>
      </w:tr>
      <w:tr w:rsidR="005373CD" w:rsidRPr="001D4028" w14:paraId="271871C7" w14:textId="77777777" w:rsidTr="001D4028">
        <w:trPr>
          <w:trHeight w:val="300"/>
        </w:trPr>
        <w:tc>
          <w:tcPr>
            <w:tcW w:w="7792" w:type="dxa"/>
            <w:shd w:val="clear" w:color="auto" w:fill="auto"/>
            <w:noWrap/>
            <w:vAlign w:val="center"/>
            <w:hideMark/>
          </w:tcPr>
          <w:p w14:paraId="1D4BF9C6" w14:textId="77777777" w:rsidR="005373CD" w:rsidRPr="001D4028" w:rsidRDefault="005373CD" w:rsidP="003A7E90">
            <w:pPr>
              <w:spacing w:line="360" w:lineRule="auto"/>
              <w:rPr>
                <w:color w:val="000000"/>
              </w:rPr>
            </w:pPr>
            <w:r w:rsidRPr="001D4028">
              <w:rPr>
                <w:color w:val="000000"/>
              </w:rPr>
              <w:t>Lung</w:t>
            </w:r>
          </w:p>
        </w:tc>
        <w:tc>
          <w:tcPr>
            <w:tcW w:w="1984" w:type="dxa"/>
            <w:shd w:val="clear" w:color="auto" w:fill="auto"/>
            <w:noWrap/>
            <w:vAlign w:val="center"/>
            <w:hideMark/>
          </w:tcPr>
          <w:p w14:paraId="06B9F5D4" w14:textId="11AD53E4" w:rsidR="005373CD" w:rsidRPr="001D4028" w:rsidRDefault="005373CD" w:rsidP="003A7E90">
            <w:pPr>
              <w:spacing w:line="360" w:lineRule="auto"/>
              <w:rPr>
                <w:color w:val="000000"/>
              </w:rPr>
            </w:pPr>
            <w:r w:rsidRPr="001D4028">
              <w:rPr>
                <w:color w:val="000000"/>
              </w:rPr>
              <w:t>24 (60</w:t>
            </w:r>
            <w:r w:rsidR="00B86AC3" w:rsidRPr="001D4028">
              <w:rPr>
                <w:color w:val="000000"/>
              </w:rPr>
              <w:t xml:space="preserve">.0 </w:t>
            </w:r>
            <w:r w:rsidRPr="001D4028">
              <w:rPr>
                <w:color w:val="000000"/>
              </w:rPr>
              <w:t>%)</w:t>
            </w:r>
          </w:p>
        </w:tc>
      </w:tr>
      <w:tr w:rsidR="005373CD" w:rsidRPr="001D4028" w14:paraId="6FB7C62C" w14:textId="77777777" w:rsidTr="001D4028">
        <w:trPr>
          <w:trHeight w:val="300"/>
        </w:trPr>
        <w:tc>
          <w:tcPr>
            <w:tcW w:w="7792" w:type="dxa"/>
            <w:shd w:val="clear" w:color="auto" w:fill="auto"/>
            <w:noWrap/>
            <w:vAlign w:val="center"/>
            <w:hideMark/>
          </w:tcPr>
          <w:p w14:paraId="6FD195C3" w14:textId="77777777" w:rsidR="005373CD" w:rsidRPr="001D4028" w:rsidRDefault="005373CD" w:rsidP="003A7E90">
            <w:pPr>
              <w:spacing w:line="360" w:lineRule="auto"/>
              <w:rPr>
                <w:color w:val="000000"/>
              </w:rPr>
            </w:pPr>
            <w:r w:rsidRPr="001D4028">
              <w:rPr>
                <w:color w:val="000000"/>
              </w:rPr>
              <w:t>Breast</w:t>
            </w:r>
          </w:p>
        </w:tc>
        <w:tc>
          <w:tcPr>
            <w:tcW w:w="1984" w:type="dxa"/>
            <w:shd w:val="clear" w:color="auto" w:fill="auto"/>
            <w:noWrap/>
            <w:vAlign w:val="center"/>
            <w:hideMark/>
          </w:tcPr>
          <w:p w14:paraId="566B5C10" w14:textId="37337332" w:rsidR="005373CD" w:rsidRPr="001D4028" w:rsidRDefault="005373CD" w:rsidP="003A7E90">
            <w:pPr>
              <w:spacing w:line="360" w:lineRule="auto"/>
              <w:rPr>
                <w:color w:val="000000"/>
              </w:rPr>
            </w:pPr>
            <w:r w:rsidRPr="001D4028">
              <w:rPr>
                <w:color w:val="000000"/>
              </w:rPr>
              <w:t>23 (57.5</w:t>
            </w:r>
            <w:r w:rsidR="00B86AC3" w:rsidRPr="001D4028">
              <w:rPr>
                <w:color w:val="000000"/>
              </w:rPr>
              <w:t xml:space="preserve"> </w:t>
            </w:r>
            <w:r w:rsidRPr="001D4028">
              <w:rPr>
                <w:color w:val="000000"/>
              </w:rPr>
              <w:t>%)</w:t>
            </w:r>
          </w:p>
        </w:tc>
      </w:tr>
      <w:tr w:rsidR="005373CD" w:rsidRPr="001D4028" w14:paraId="6109F5B7" w14:textId="77777777" w:rsidTr="001D4028">
        <w:trPr>
          <w:trHeight w:val="300"/>
        </w:trPr>
        <w:tc>
          <w:tcPr>
            <w:tcW w:w="7792" w:type="dxa"/>
            <w:shd w:val="clear" w:color="auto" w:fill="auto"/>
            <w:noWrap/>
            <w:vAlign w:val="center"/>
            <w:hideMark/>
          </w:tcPr>
          <w:p w14:paraId="783A898E" w14:textId="77777777" w:rsidR="005373CD" w:rsidRPr="001D4028" w:rsidRDefault="005373CD" w:rsidP="003A7E90">
            <w:pPr>
              <w:spacing w:line="360" w:lineRule="auto"/>
              <w:rPr>
                <w:color w:val="000000"/>
              </w:rPr>
            </w:pPr>
            <w:r w:rsidRPr="001D4028">
              <w:rPr>
                <w:color w:val="000000"/>
              </w:rPr>
              <w:t>Colorectal</w:t>
            </w:r>
          </w:p>
        </w:tc>
        <w:tc>
          <w:tcPr>
            <w:tcW w:w="1984" w:type="dxa"/>
            <w:shd w:val="clear" w:color="auto" w:fill="auto"/>
            <w:noWrap/>
            <w:vAlign w:val="center"/>
            <w:hideMark/>
          </w:tcPr>
          <w:p w14:paraId="78BC0B49" w14:textId="4BD70E38" w:rsidR="005373CD" w:rsidRPr="001D4028" w:rsidRDefault="005373CD" w:rsidP="003A7E90">
            <w:pPr>
              <w:spacing w:line="360" w:lineRule="auto"/>
              <w:rPr>
                <w:color w:val="000000"/>
              </w:rPr>
            </w:pPr>
            <w:r w:rsidRPr="001D4028">
              <w:rPr>
                <w:color w:val="000000"/>
              </w:rPr>
              <w:t>23 (57.5</w:t>
            </w:r>
            <w:r w:rsidR="00B86AC3" w:rsidRPr="001D4028">
              <w:rPr>
                <w:color w:val="000000"/>
              </w:rPr>
              <w:t xml:space="preserve"> </w:t>
            </w:r>
            <w:r w:rsidRPr="001D4028">
              <w:rPr>
                <w:color w:val="000000"/>
              </w:rPr>
              <w:t>%)</w:t>
            </w:r>
          </w:p>
        </w:tc>
      </w:tr>
      <w:tr w:rsidR="005373CD" w:rsidRPr="001D4028" w14:paraId="3641EC54" w14:textId="77777777" w:rsidTr="001D4028">
        <w:trPr>
          <w:trHeight w:val="300"/>
        </w:trPr>
        <w:tc>
          <w:tcPr>
            <w:tcW w:w="7792" w:type="dxa"/>
            <w:shd w:val="clear" w:color="auto" w:fill="auto"/>
            <w:noWrap/>
            <w:vAlign w:val="center"/>
            <w:hideMark/>
          </w:tcPr>
          <w:p w14:paraId="5624539B" w14:textId="77777777" w:rsidR="005373CD" w:rsidRPr="001D4028" w:rsidRDefault="005373CD" w:rsidP="003A7E90">
            <w:pPr>
              <w:spacing w:line="360" w:lineRule="auto"/>
              <w:rPr>
                <w:color w:val="000000"/>
              </w:rPr>
            </w:pPr>
            <w:r w:rsidRPr="001D4028">
              <w:rPr>
                <w:color w:val="000000"/>
              </w:rPr>
              <w:t>Upper gastrointestinal</w:t>
            </w:r>
          </w:p>
        </w:tc>
        <w:tc>
          <w:tcPr>
            <w:tcW w:w="1984" w:type="dxa"/>
            <w:shd w:val="clear" w:color="auto" w:fill="auto"/>
            <w:noWrap/>
            <w:vAlign w:val="center"/>
            <w:hideMark/>
          </w:tcPr>
          <w:p w14:paraId="4AA85140" w14:textId="14495802" w:rsidR="005373CD" w:rsidRPr="001D4028" w:rsidRDefault="005373CD" w:rsidP="003A7E90">
            <w:pPr>
              <w:spacing w:line="360" w:lineRule="auto"/>
              <w:rPr>
                <w:color w:val="000000"/>
              </w:rPr>
            </w:pPr>
            <w:r w:rsidRPr="001D4028">
              <w:rPr>
                <w:color w:val="000000"/>
              </w:rPr>
              <w:t>21 (52.5</w:t>
            </w:r>
            <w:r w:rsidR="00B86AC3" w:rsidRPr="001D4028">
              <w:rPr>
                <w:color w:val="000000"/>
              </w:rPr>
              <w:t xml:space="preserve"> </w:t>
            </w:r>
            <w:r w:rsidRPr="001D4028">
              <w:rPr>
                <w:color w:val="000000"/>
              </w:rPr>
              <w:t>%)</w:t>
            </w:r>
          </w:p>
        </w:tc>
      </w:tr>
      <w:tr w:rsidR="005373CD" w:rsidRPr="001D4028" w14:paraId="6E911093" w14:textId="77777777" w:rsidTr="001D4028">
        <w:trPr>
          <w:trHeight w:val="300"/>
        </w:trPr>
        <w:tc>
          <w:tcPr>
            <w:tcW w:w="7792" w:type="dxa"/>
            <w:shd w:val="clear" w:color="auto" w:fill="auto"/>
            <w:noWrap/>
            <w:vAlign w:val="center"/>
            <w:hideMark/>
          </w:tcPr>
          <w:p w14:paraId="1A141175" w14:textId="77777777" w:rsidR="005373CD" w:rsidRPr="001D4028" w:rsidRDefault="005373CD" w:rsidP="003A7E90">
            <w:pPr>
              <w:spacing w:line="360" w:lineRule="auto"/>
              <w:rPr>
                <w:color w:val="000000"/>
              </w:rPr>
            </w:pPr>
            <w:r w:rsidRPr="001D4028">
              <w:rPr>
                <w:color w:val="000000"/>
              </w:rPr>
              <w:t>Urology</w:t>
            </w:r>
          </w:p>
        </w:tc>
        <w:tc>
          <w:tcPr>
            <w:tcW w:w="1984" w:type="dxa"/>
            <w:shd w:val="clear" w:color="auto" w:fill="auto"/>
            <w:noWrap/>
            <w:vAlign w:val="center"/>
            <w:hideMark/>
          </w:tcPr>
          <w:p w14:paraId="0EEE7F29" w14:textId="5CC1FA26" w:rsidR="005373CD" w:rsidRPr="001D4028" w:rsidRDefault="005373CD" w:rsidP="003A7E90">
            <w:pPr>
              <w:spacing w:line="360" w:lineRule="auto"/>
              <w:rPr>
                <w:color w:val="000000"/>
              </w:rPr>
            </w:pPr>
            <w:r w:rsidRPr="001D4028">
              <w:rPr>
                <w:color w:val="000000"/>
              </w:rPr>
              <w:t>19 (47.5</w:t>
            </w:r>
            <w:r w:rsidR="00B86AC3" w:rsidRPr="001D4028">
              <w:rPr>
                <w:color w:val="000000"/>
              </w:rPr>
              <w:t xml:space="preserve"> </w:t>
            </w:r>
            <w:r w:rsidRPr="001D4028">
              <w:rPr>
                <w:color w:val="000000"/>
              </w:rPr>
              <w:t>%)</w:t>
            </w:r>
          </w:p>
        </w:tc>
      </w:tr>
      <w:tr w:rsidR="005373CD" w:rsidRPr="001D4028" w14:paraId="0C10E5B6" w14:textId="77777777" w:rsidTr="001D4028">
        <w:trPr>
          <w:trHeight w:val="300"/>
        </w:trPr>
        <w:tc>
          <w:tcPr>
            <w:tcW w:w="7792" w:type="dxa"/>
            <w:shd w:val="clear" w:color="auto" w:fill="auto"/>
            <w:noWrap/>
            <w:vAlign w:val="center"/>
            <w:hideMark/>
          </w:tcPr>
          <w:p w14:paraId="4E35B895" w14:textId="77777777" w:rsidR="005373CD" w:rsidRPr="001D4028" w:rsidRDefault="005373CD" w:rsidP="003A7E90">
            <w:pPr>
              <w:spacing w:line="360" w:lineRule="auto"/>
              <w:rPr>
                <w:color w:val="000000"/>
              </w:rPr>
            </w:pPr>
            <w:r w:rsidRPr="001D4028">
              <w:rPr>
                <w:color w:val="000000"/>
              </w:rPr>
              <w:lastRenderedPageBreak/>
              <w:t>Cancer of unknown primary</w:t>
            </w:r>
          </w:p>
        </w:tc>
        <w:tc>
          <w:tcPr>
            <w:tcW w:w="1984" w:type="dxa"/>
            <w:shd w:val="clear" w:color="auto" w:fill="auto"/>
            <w:noWrap/>
            <w:vAlign w:val="center"/>
            <w:hideMark/>
          </w:tcPr>
          <w:p w14:paraId="7DF71C98" w14:textId="18A67134" w:rsidR="005373CD" w:rsidRPr="001D4028" w:rsidRDefault="005373CD" w:rsidP="003A7E90">
            <w:pPr>
              <w:spacing w:line="360" w:lineRule="auto"/>
              <w:rPr>
                <w:color w:val="000000"/>
              </w:rPr>
            </w:pPr>
            <w:r w:rsidRPr="001D4028">
              <w:rPr>
                <w:color w:val="000000"/>
              </w:rPr>
              <w:t>14 (35.0</w:t>
            </w:r>
            <w:r w:rsidR="00B86AC3" w:rsidRPr="001D4028">
              <w:rPr>
                <w:color w:val="000000"/>
              </w:rPr>
              <w:t xml:space="preserve"> </w:t>
            </w:r>
            <w:r w:rsidRPr="001D4028">
              <w:rPr>
                <w:color w:val="000000"/>
              </w:rPr>
              <w:t>%)</w:t>
            </w:r>
          </w:p>
        </w:tc>
      </w:tr>
      <w:tr w:rsidR="005373CD" w:rsidRPr="001D4028" w14:paraId="2725079B" w14:textId="77777777" w:rsidTr="001D4028">
        <w:trPr>
          <w:trHeight w:val="300"/>
        </w:trPr>
        <w:tc>
          <w:tcPr>
            <w:tcW w:w="7792" w:type="dxa"/>
            <w:shd w:val="clear" w:color="auto" w:fill="auto"/>
            <w:noWrap/>
            <w:vAlign w:val="center"/>
            <w:hideMark/>
          </w:tcPr>
          <w:p w14:paraId="7F493F92" w14:textId="77777777" w:rsidR="005373CD" w:rsidRPr="001D4028" w:rsidRDefault="005373CD" w:rsidP="003A7E90">
            <w:pPr>
              <w:spacing w:line="360" w:lineRule="auto"/>
              <w:rPr>
                <w:color w:val="000000"/>
              </w:rPr>
            </w:pPr>
            <w:r w:rsidRPr="001D4028">
              <w:rPr>
                <w:color w:val="000000"/>
              </w:rPr>
              <w:t>Head &amp; neck</w:t>
            </w:r>
          </w:p>
        </w:tc>
        <w:tc>
          <w:tcPr>
            <w:tcW w:w="1984" w:type="dxa"/>
            <w:shd w:val="clear" w:color="auto" w:fill="auto"/>
            <w:noWrap/>
            <w:vAlign w:val="center"/>
            <w:hideMark/>
          </w:tcPr>
          <w:p w14:paraId="3818B6AE" w14:textId="445192DC" w:rsidR="005373CD" w:rsidRPr="001D4028" w:rsidRDefault="005373CD" w:rsidP="003A7E90">
            <w:pPr>
              <w:spacing w:line="360" w:lineRule="auto"/>
              <w:rPr>
                <w:color w:val="000000"/>
              </w:rPr>
            </w:pPr>
            <w:r w:rsidRPr="001D4028">
              <w:rPr>
                <w:color w:val="000000"/>
              </w:rPr>
              <w:t>12 (30.0</w:t>
            </w:r>
            <w:r w:rsidR="00B86AC3" w:rsidRPr="001D4028">
              <w:rPr>
                <w:color w:val="000000"/>
              </w:rPr>
              <w:t xml:space="preserve"> </w:t>
            </w:r>
            <w:r w:rsidRPr="001D4028">
              <w:rPr>
                <w:color w:val="000000"/>
              </w:rPr>
              <w:t>%)</w:t>
            </w:r>
          </w:p>
        </w:tc>
      </w:tr>
      <w:tr w:rsidR="005373CD" w:rsidRPr="001D4028" w14:paraId="2A893187" w14:textId="77777777" w:rsidTr="001D4028">
        <w:trPr>
          <w:trHeight w:val="300"/>
        </w:trPr>
        <w:tc>
          <w:tcPr>
            <w:tcW w:w="7792" w:type="dxa"/>
            <w:shd w:val="clear" w:color="auto" w:fill="auto"/>
            <w:noWrap/>
            <w:vAlign w:val="center"/>
            <w:hideMark/>
          </w:tcPr>
          <w:p w14:paraId="52A18958" w14:textId="0FC271CE" w:rsidR="005373CD" w:rsidRPr="001D4028" w:rsidRDefault="005373CD" w:rsidP="003A7E90">
            <w:pPr>
              <w:spacing w:line="360" w:lineRule="auto"/>
              <w:rPr>
                <w:color w:val="000000"/>
              </w:rPr>
            </w:pPr>
            <w:r w:rsidRPr="001D4028">
              <w:rPr>
                <w:color w:val="000000"/>
              </w:rPr>
              <w:t>Neurological</w:t>
            </w:r>
          </w:p>
        </w:tc>
        <w:tc>
          <w:tcPr>
            <w:tcW w:w="1984" w:type="dxa"/>
            <w:shd w:val="clear" w:color="auto" w:fill="auto"/>
            <w:noWrap/>
            <w:vAlign w:val="center"/>
            <w:hideMark/>
          </w:tcPr>
          <w:p w14:paraId="1A1ECC1D" w14:textId="087BD9E4" w:rsidR="005373CD" w:rsidRPr="001D4028" w:rsidRDefault="005373CD" w:rsidP="003A7E90">
            <w:pPr>
              <w:spacing w:line="360" w:lineRule="auto"/>
              <w:rPr>
                <w:color w:val="000000"/>
              </w:rPr>
            </w:pPr>
            <w:r w:rsidRPr="001D4028">
              <w:rPr>
                <w:color w:val="000000"/>
              </w:rPr>
              <w:t>12 (30.0</w:t>
            </w:r>
            <w:r w:rsidR="00B86AC3" w:rsidRPr="001D4028">
              <w:rPr>
                <w:color w:val="000000"/>
              </w:rPr>
              <w:t xml:space="preserve"> </w:t>
            </w:r>
            <w:r w:rsidRPr="001D4028">
              <w:rPr>
                <w:color w:val="000000"/>
              </w:rPr>
              <w:t>%)</w:t>
            </w:r>
          </w:p>
        </w:tc>
      </w:tr>
      <w:tr w:rsidR="005373CD" w:rsidRPr="001D4028" w14:paraId="1372256A" w14:textId="77777777" w:rsidTr="001D4028">
        <w:trPr>
          <w:trHeight w:val="300"/>
        </w:trPr>
        <w:tc>
          <w:tcPr>
            <w:tcW w:w="7792" w:type="dxa"/>
            <w:shd w:val="clear" w:color="auto" w:fill="auto"/>
            <w:noWrap/>
            <w:vAlign w:val="center"/>
            <w:hideMark/>
          </w:tcPr>
          <w:p w14:paraId="6C3DDC56" w14:textId="77777777" w:rsidR="005373CD" w:rsidRPr="001D4028" w:rsidRDefault="005373CD" w:rsidP="003A7E90">
            <w:pPr>
              <w:spacing w:line="360" w:lineRule="auto"/>
              <w:rPr>
                <w:color w:val="000000"/>
              </w:rPr>
            </w:pPr>
            <w:r w:rsidRPr="001D4028">
              <w:rPr>
                <w:color w:val="000000"/>
              </w:rPr>
              <w:t>Gynaecological</w:t>
            </w:r>
          </w:p>
        </w:tc>
        <w:tc>
          <w:tcPr>
            <w:tcW w:w="1984" w:type="dxa"/>
            <w:shd w:val="clear" w:color="auto" w:fill="auto"/>
            <w:noWrap/>
            <w:vAlign w:val="center"/>
            <w:hideMark/>
          </w:tcPr>
          <w:p w14:paraId="1C3AB659" w14:textId="1262BCBF" w:rsidR="005373CD" w:rsidRPr="001D4028" w:rsidRDefault="005373CD" w:rsidP="003A7E90">
            <w:pPr>
              <w:spacing w:line="360" w:lineRule="auto"/>
              <w:rPr>
                <w:color w:val="000000"/>
              </w:rPr>
            </w:pPr>
            <w:r w:rsidRPr="001D4028">
              <w:rPr>
                <w:color w:val="000000"/>
              </w:rPr>
              <w:t>11 (27.5</w:t>
            </w:r>
            <w:r w:rsidR="00B86AC3" w:rsidRPr="001D4028">
              <w:rPr>
                <w:color w:val="000000"/>
              </w:rPr>
              <w:t xml:space="preserve"> </w:t>
            </w:r>
            <w:r w:rsidRPr="001D4028">
              <w:rPr>
                <w:color w:val="000000"/>
              </w:rPr>
              <w:t>%)</w:t>
            </w:r>
          </w:p>
        </w:tc>
      </w:tr>
      <w:tr w:rsidR="005373CD" w:rsidRPr="001D4028" w14:paraId="0094B429" w14:textId="77777777" w:rsidTr="001D4028">
        <w:trPr>
          <w:trHeight w:val="300"/>
        </w:trPr>
        <w:tc>
          <w:tcPr>
            <w:tcW w:w="7792" w:type="dxa"/>
            <w:shd w:val="clear" w:color="auto" w:fill="auto"/>
            <w:noWrap/>
            <w:vAlign w:val="center"/>
            <w:hideMark/>
          </w:tcPr>
          <w:p w14:paraId="1D120603" w14:textId="77777777" w:rsidR="005373CD" w:rsidRPr="001D4028" w:rsidRDefault="005373CD" w:rsidP="003A7E90">
            <w:pPr>
              <w:spacing w:line="360" w:lineRule="auto"/>
              <w:rPr>
                <w:color w:val="000000"/>
              </w:rPr>
            </w:pPr>
            <w:r w:rsidRPr="001D4028">
              <w:rPr>
                <w:color w:val="000000"/>
              </w:rPr>
              <w:t>Sarcoma</w:t>
            </w:r>
          </w:p>
        </w:tc>
        <w:tc>
          <w:tcPr>
            <w:tcW w:w="1984" w:type="dxa"/>
            <w:shd w:val="clear" w:color="auto" w:fill="auto"/>
            <w:noWrap/>
            <w:vAlign w:val="center"/>
            <w:hideMark/>
          </w:tcPr>
          <w:p w14:paraId="577D64E6" w14:textId="4E9AC15B" w:rsidR="005373CD" w:rsidRPr="001D4028" w:rsidRDefault="005373CD" w:rsidP="003A7E90">
            <w:pPr>
              <w:spacing w:line="360" w:lineRule="auto"/>
              <w:rPr>
                <w:color w:val="000000"/>
              </w:rPr>
            </w:pPr>
            <w:r w:rsidRPr="001D4028">
              <w:rPr>
                <w:color w:val="000000"/>
              </w:rPr>
              <w:t>7 (17.5</w:t>
            </w:r>
            <w:r w:rsidR="00B86AC3" w:rsidRPr="001D4028">
              <w:rPr>
                <w:color w:val="000000"/>
              </w:rPr>
              <w:t xml:space="preserve"> </w:t>
            </w:r>
            <w:r w:rsidRPr="001D4028">
              <w:rPr>
                <w:color w:val="000000"/>
              </w:rPr>
              <w:t>%)</w:t>
            </w:r>
          </w:p>
        </w:tc>
      </w:tr>
      <w:tr w:rsidR="005373CD" w:rsidRPr="001D4028" w14:paraId="124421FC" w14:textId="77777777" w:rsidTr="001D4028">
        <w:trPr>
          <w:trHeight w:val="300"/>
        </w:trPr>
        <w:tc>
          <w:tcPr>
            <w:tcW w:w="7792" w:type="dxa"/>
            <w:shd w:val="clear" w:color="auto" w:fill="auto"/>
            <w:noWrap/>
            <w:vAlign w:val="center"/>
            <w:hideMark/>
          </w:tcPr>
          <w:p w14:paraId="63D02BE2" w14:textId="77777777" w:rsidR="005373CD" w:rsidRPr="001D4028" w:rsidRDefault="005373CD" w:rsidP="003A7E90">
            <w:pPr>
              <w:spacing w:line="360" w:lineRule="auto"/>
              <w:rPr>
                <w:color w:val="000000"/>
              </w:rPr>
            </w:pPr>
            <w:r w:rsidRPr="001D4028">
              <w:rPr>
                <w:color w:val="000000"/>
              </w:rPr>
              <w:t>Haematology</w:t>
            </w:r>
          </w:p>
        </w:tc>
        <w:tc>
          <w:tcPr>
            <w:tcW w:w="1984" w:type="dxa"/>
            <w:shd w:val="clear" w:color="auto" w:fill="auto"/>
            <w:noWrap/>
            <w:vAlign w:val="center"/>
            <w:hideMark/>
          </w:tcPr>
          <w:p w14:paraId="443076A3" w14:textId="21F8A763" w:rsidR="005373CD" w:rsidRPr="001D4028" w:rsidRDefault="005373CD" w:rsidP="003A7E90">
            <w:pPr>
              <w:spacing w:line="360" w:lineRule="auto"/>
              <w:rPr>
                <w:color w:val="000000"/>
              </w:rPr>
            </w:pPr>
            <w:r w:rsidRPr="001D4028">
              <w:rPr>
                <w:color w:val="000000"/>
              </w:rPr>
              <w:t>4 (10.0</w:t>
            </w:r>
            <w:r w:rsidR="00B86AC3" w:rsidRPr="001D4028">
              <w:rPr>
                <w:color w:val="000000"/>
              </w:rPr>
              <w:t xml:space="preserve"> </w:t>
            </w:r>
            <w:r w:rsidRPr="001D4028">
              <w:rPr>
                <w:color w:val="000000"/>
              </w:rPr>
              <w:t>%)</w:t>
            </w:r>
          </w:p>
        </w:tc>
      </w:tr>
      <w:tr w:rsidR="005373CD" w:rsidRPr="001D4028" w14:paraId="2073D7B6" w14:textId="77777777" w:rsidTr="001D4028">
        <w:trPr>
          <w:trHeight w:val="300"/>
        </w:trPr>
        <w:tc>
          <w:tcPr>
            <w:tcW w:w="9776" w:type="dxa"/>
            <w:gridSpan w:val="2"/>
            <w:shd w:val="clear" w:color="auto" w:fill="D9D9D9" w:themeFill="background1" w:themeFillShade="D9"/>
            <w:noWrap/>
            <w:vAlign w:val="center"/>
            <w:hideMark/>
          </w:tcPr>
          <w:p w14:paraId="04894049" w14:textId="39A7BD1E" w:rsidR="005373CD" w:rsidRPr="001D4028" w:rsidRDefault="00984B69" w:rsidP="003A7E90">
            <w:pPr>
              <w:spacing w:line="360" w:lineRule="auto"/>
              <w:rPr>
                <w:color w:val="000000"/>
              </w:rPr>
            </w:pPr>
            <w:r w:rsidRPr="001D4028">
              <w:rPr>
                <w:color w:val="000000"/>
              </w:rPr>
              <w:t xml:space="preserve">Question 5. </w:t>
            </w:r>
            <w:r w:rsidR="005373CD" w:rsidRPr="001D4028">
              <w:rPr>
                <w:color w:val="000000"/>
              </w:rPr>
              <w:t>Approximately how many patients under your care commence checkpoint inhibitor immunotherapy each month? This includes monotherapy, combination therapy or in combination with chemotherapy, radiotherapy or other cancer treatment.</w:t>
            </w:r>
          </w:p>
        </w:tc>
      </w:tr>
      <w:tr w:rsidR="005373CD" w:rsidRPr="001D4028" w14:paraId="44D98654" w14:textId="77777777" w:rsidTr="001D4028">
        <w:trPr>
          <w:trHeight w:val="300"/>
        </w:trPr>
        <w:tc>
          <w:tcPr>
            <w:tcW w:w="7792" w:type="dxa"/>
            <w:shd w:val="clear" w:color="auto" w:fill="auto"/>
            <w:noWrap/>
            <w:vAlign w:val="center"/>
            <w:hideMark/>
          </w:tcPr>
          <w:p w14:paraId="17271485" w14:textId="77777777" w:rsidR="005373CD" w:rsidRPr="001D4028" w:rsidRDefault="005373CD" w:rsidP="003A7E90">
            <w:pPr>
              <w:spacing w:line="360" w:lineRule="auto"/>
              <w:rPr>
                <w:color w:val="000000"/>
              </w:rPr>
            </w:pPr>
            <w:r w:rsidRPr="001D4028">
              <w:rPr>
                <w:color w:val="000000"/>
              </w:rPr>
              <w:t>Up to 5 patients per month</w:t>
            </w:r>
          </w:p>
        </w:tc>
        <w:tc>
          <w:tcPr>
            <w:tcW w:w="1984" w:type="dxa"/>
            <w:shd w:val="clear" w:color="auto" w:fill="auto"/>
            <w:noWrap/>
            <w:vAlign w:val="center"/>
            <w:hideMark/>
          </w:tcPr>
          <w:p w14:paraId="514AFD05" w14:textId="5B3A46F2" w:rsidR="005373CD" w:rsidRPr="001D4028" w:rsidRDefault="005373CD" w:rsidP="003A7E90">
            <w:pPr>
              <w:spacing w:line="360" w:lineRule="auto"/>
              <w:rPr>
                <w:color w:val="000000"/>
              </w:rPr>
            </w:pPr>
            <w:r w:rsidRPr="001D4028">
              <w:rPr>
                <w:color w:val="000000"/>
              </w:rPr>
              <w:t>24 (60</w:t>
            </w:r>
            <w:r w:rsidR="00B86AC3" w:rsidRPr="001D4028">
              <w:rPr>
                <w:color w:val="000000"/>
              </w:rPr>
              <w:t xml:space="preserve">.0 </w:t>
            </w:r>
            <w:r w:rsidRPr="001D4028">
              <w:rPr>
                <w:color w:val="000000"/>
              </w:rPr>
              <w:t>%)</w:t>
            </w:r>
          </w:p>
        </w:tc>
      </w:tr>
      <w:tr w:rsidR="005373CD" w:rsidRPr="001D4028" w14:paraId="4E9362D1" w14:textId="77777777" w:rsidTr="001D4028">
        <w:trPr>
          <w:trHeight w:val="300"/>
        </w:trPr>
        <w:tc>
          <w:tcPr>
            <w:tcW w:w="7792" w:type="dxa"/>
            <w:shd w:val="clear" w:color="auto" w:fill="auto"/>
            <w:noWrap/>
            <w:vAlign w:val="center"/>
            <w:hideMark/>
          </w:tcPr>
          <w:p w14:paraId="6803125D" w14:textId="77777777" w:rsidR="005373CD" w:rsidRPr="001D4028" w:rsidRDefault="005373CD" w:rsidP="003A7E90">
            <w:pPr>
              <w:spacing w:line="360" w:lineRule="auto"/>
              <w:rPr>
                <w:color w:val="000000"/>
              </w:rPr>
            </w:pPr>
            <w:r w:rsidRPr="001D4028">
              <w:rPr>
                <w:color w:val="000000"/>
              </w:rPr>
              <w:t>Between 5-10 patients per month</w:t>
            </w:r>
          </w:p>
        </w:tc>
        <w:tc>
          <w:tcPr>
            <w:tcW w:w="1984" w:type="dxa"/>
            <w:shd w:val="clear" w:color="auto" w:fill="auto"/>
            <w:noWrap/>
            <w:vAlign w:val="center"/>
            <w:hideMark/>
          </w:tcPr>
          <w:p w14:paraId="58E46F6C" w14:textId="65C0A4C7" w:rsidR="005373CD" w:rsidRPr="001D4028" w:rsidRDefault="005373CD" w:rsidP="003A7E90">
            <w:pPr>
              <w:spacing w:line="360" w:lineRule="auto"/>
              <w:rPr>
                <w:color w:val="000000"/>
              </w:rPr>
            </w:pPr>
            <w:r w:rsidRPr="001D4028">
              <w:rPr>
                <w:color w:val="000000"/>
              </w:rPr>
              <w:t>12 (30</w:t>
            </w:r>
            <w:r w:rsidR="00B86AC3" w:rsidRPr="001D4028">
              <w:rPr>
                <w:color w:val="000000"/>
              </w:rPr>
              <w:t xml:space="preserve">.0 </w:t>
            </w:r>
            <w:r w:rsidRPr="001D4028">
              <w:rPr>
                <w:color w:val="000000"/>
              </w:rPr>
              <w:t>%)</w:t>
            </w:r>
          </w:p>
        </w:tc>
      </w:tr>
      <w:tr w:rsidR="005373CD" w:rsidRPr="001D4028" w14:paraId="6F7A1238" w14:textId="77777777" w:rsidTr="001D4028">
        <w:trPr>
          <w:trHeight w:val="300"/>
        </w:trPr>
        <w:tc>
          <w:tcPr>
            <w:tcW w:w="7792" w:type="dxa"/>
            <w:shd w:val="clear" w:color="auto" w:fill="auto"/>
            <w:noWrap/>
            <w:vAlign w:val="center"/>
            <w:hideMark/>
          </w:tcPr>
          <w:p w14:paraId="0742CAF0" w14:textId="77777777" w:rsidR="005373CD" w:rsidRPr="001D4028" w:rsidRDefault="005373CD" w:rsidP="003A7E90">
            <w:pPr>
              <w:spacing w:line="360" w:lineRule="auto"/>
              <w:rPr>
                <w:color w:val="000000"/>
              </w:rPr>
            </w:pPr>
            <w:r w:rsidRPr="001D4028">
              <w:rPr>
                <w:color w:val="000000"/>
              </w:rPr>
              <w:t>Over 10 patients per month</w:t>
            </w:r>
          </w:p>
        </w:tc>
        <w:tc>
          <w:tcPr>
            <w:tcW w:w="1984" w:type="dxa"/>
            <w:shd w:val="clear" w:color="auto" w:fill="auto"/>
            <w:noWrap/>
            <w:vAlign w:val="center"/>
            <w:hideMark/>
          </w:tcPr>
          <w:p w14:paraId="287018F4" w14:textId="2A7E5198" w:rsidR="005373CD" w:rsidRPr="001D4028" w:rsidRDefault="005373CD" w:rsidP="003A7E90">
            <w:pPr>
              <w:spacing w:line="360" w:lineRule="auto"/>
              <w:rPr>
                <w:color w:val="000000"/>
              </w:rPr>
            </w:pPr>
            <w:r w:rsidRPr="001D4028">
              <w:rPr>
                <w:color w:val="000000"/>
              </w:rPr>
              <w:t>2 (5</w:t>
            </w:r>
            <w:r w:rsidR="00B86AC3" w:rsidRPr="001D4028">
              <w:rPr>
                <w:color w:val="000000"/>
              </w:rPr>
              <w:t xml:space="preserve">.0 </w:t>
            </w:r>
            <w:r w:rsidRPr="001D4028">
              <w:rPr>
                <w:color w:val="000000"/>
              </w:rPr>
              <w:t>%)</w:t>
            </w:r>
          </w:p>
        </w:tc>
      </w:tr>
      <w:tr w:rsidR="005373CD" w:rsidRPr="001D4028" w14:paraId="5233E3DF" w14:textId="77777777" w:rsidTr="001D4028">
        <w:trPr>
          <w:trHeight w:val="300"/>
        </w:trPr>
        <w:tc>
          <w:tcPr>
            <w:tcW w:w="7792" w:type="dxa"/>
            <w:shd w:val="clear" w:color="auto" w:fill="auto"/>
            <w:noWrap/>
            <w:vAlign w:val="center"/>
            <w:hideMark/>
          </w:tcPr>
          <w:p w14:paraId="3919D66B" w14:textId="77777777" w:rsidR="005373CD" w:rsidRPr="001D4028" w:rsidRDefault="005373CD" w:rsidP="003A7E90">
            <w:pPr>
              <w:spacing w:line="360" w:lineRule="auto"/>
              <w:rPr>
                <w:color w:val="000000"/>
              </w:rPr>
            </w:pPr>
            <w:r w:rsidRPr="001D4028">
              <w:rPr>
                <w:color w:val="000000"/>
              </w:rPr>
              <w:t>None</w:t>
            </w:r>
          </w:p>
        </w:tc>
        <w:tc>
          <w:tcPr>
            <w:tcW w:w="1984" w:type="dxa"/>
            <w:shd w:val="clear" w:color="auto" w:fill="auto"/>
            <w:noWrap/>
            <w:vAlign w:val="center"/>
            <w:hideMark/>
          </w:tcPr>
          <w:p w14:paraId="2F43AC40" w14:textId="4B0CEBE4" w:rsidR="005373CD" w:rsidRPr="001D4028" w:rsidRDefault="005373CD" w:rsidP="003A7E90">
            <w:pPr>
              <w:spacing w:line="360" w:lineRule="auto"/>
              <w:rPr>
                <w:color w:val="000000"/>
              </w:rPr>
            </w:pPr>
            <w:r w:rsidRPr="001D4028">
              <w:rPr>
                <w:color w:val="000000"/>
              </w:rPr>
              <w:t>2 (5</w:t>
            </w:r>
            <w:r w:rsidR="00B86AC3" w:rsidRPr="001D4028">
              <w:rPr>
                <w:color w:val="000000"/>
              </w:rPr>
              <w:t xml:space="preserve">.0 </w:t>
            </w:r>
            <w:r w:rsidRPr="001D4028">
              <w:rPr>
                <w:color w:val="000000"/>
              </w:rPr>
              <w:t>%)</w:t>
            </w:r>
          </w:p>
        </w:tc>
      </w:tr>
    </w:tbl>
    <w:p w14:paraId="3A86D553" w14:textId="680F9A2B" w:rsidR="005373CD" w:rsidRPr="001D4028" w:rsidRDefault="005373CD" w:rsidP="003A7E90">
      <w:pPr>
        <w:autoSpaceDE w:val="0"/>
        <w:autoSpaceDN w:val="0"/>
        <w:adjustRightInd w:val="0"/>
        <w:spacing w:line="360" w:lineRule="auto"/>
        <w:jc w:val="both"/>
        <w:rPr>
          <w:color w:val="FF0000"/>
        </w:rPr>
      </w:pPr>
      <w:r w:rsidRPr="001D4028">
        <w:rPr>
          <w:rFonts w:eastAsiaTheme="majorEastAsia"/>
          <w:i/>
          <w:iCs/>
          <w:lang w:val="en-GB"/>
        </w:rPr>
        <w:t>All percentages expressed with denominator of total number of survey responses.</w:t>
      </w:r>
    </w:p>
    <w:p w14:paraId="2883142F" w14:textId="77777777" w:rsidR="005373CD" w:rsidRDefault="005373CD" w:rsidP="003A7E90">
      <w:pPr>
        <w:autoSpaceDE w:val="0"/>
        <w:autoSpaceDN w:val="0"/>
        <w:adjustRightInd w:val="0"/>
        <w:spacing w:line="360" w:lineRule="auto"/>
        <w:jc w:val="both"/>
        <w:rPr>
          <w:color w:val="FF0000"/>
        </w:rPr>
      </w:pPr>
    </w:p>
    <w:p w14:paraId="049D24DD" w14:textId="77777777" w:rsidR="003A7E90" w:rsidRDefault="003A7E90" w:rsidP="003A7E90">
      <w:pPr>
        <w:autoSpaceDE w:val="0"/>
        <w:autoSpaceDN w:val="0"/>
        <w:adjustRightInd w:val="0"/>
        <w:spacing w:line="360" w:lineRule="auto"/>
        <w:jc w:val="both"/>
        <w:rPr>
          <w:color w:val="FF0000"/>
        </w:rPr>
      </w:pPr>
    </w:p>
    <w:p w14:paraId="01B00FA7" w14:textId="77777777" w:rsidR="003A7E90" w:rsidRDefault="003A7E90" w:rsidP="003A7E90">
      <w:pPr>
        <w:autoSpaceDE w:val="0"/>
        <w:autoSpaceDN w:val="0"/>
        <w:adjustRightInd w:val="0"/>
        <w:spacing w:line="360" w:lineRule="auto"/>
        <w:jc w:val="both"/>
        <w:rPr>
          <w:color w:val="FF0000"/>
        </w:rPr>
      </w:pPr>
    </w:p>
    <w:p w14:paraId="4CE5A591" w14:textId="77777777" w:rsidR="003A7E90" w:rsidRDefault="003A7E90" w:rsidP="003A7E90">
      <w:pPr>
        <w:autoSpaceDE w:val="0"/>
        <w:autoSpaceDN w:val="0"/>
        <w:adjustRightInd w:val="0"/>
        <w:spacing w:line="360" w:lineRule="auto"/>
        <w:jc w:val="both"/>
        <w:rPr>
          <w:color w:val="FF0000"/>
        </w:rPr>
      </w:pPr>
    </w:p>
    <w:p w14:paraId="0D6DB5D7" w14:textId="77777777" w:rsidR="003A7E90" w:rsidRDefault="003A7E90" w:rsidP="003A7E90">
      <w:pPr>
        <w:autoSpaceDE w:val="0"/>
        <w:autoSpaceDN w:val="0"/>
        <w:adjustRightInd w:val="0"/>
        <w:spacing w:line="360" w:lineRule="auto"/>
        <w:jc w:val="both"/>
        <w:rPr>
          <w:color w:val="FF0000"/>
        </w:rPr>
      </w:pPr>
    </w:p>
    <w:p w14:paraId="3D5A156E" w14:textId="77777777" w:rsidR="003A7E90" w:rsidRDefault="003A7E90" w:rsidP="003A7E90">
      <w:pPr>
        <w:autoSpaceDE w:val="0"/>
        <w:autoSpaceDN w:val="0"/>
        <w:adjustRightInd w:val="0"/>
        <w:spacing w:line="360" w:lineRule="auto"/>
        <w:jc w:val="both"/>
        <w:rPr>
          <w:color w:val="FF0000"/>
        </w:rPr>
      </w:pPr>
    </w:p>
    <w:p w14:paraId="53F33022" w14:textId="77777777" w:rsidR="003A7E90" w:rsidRDefault="003A7E90" w:rsidP="003A7E90">
      <w:pPr>
        <w:autoSpaceDE w:val="0"/>
        <w:autoSpaceDN w:val="0"/>
        <w:adjustRightInd w:val="0"/>
        <w:spacing w:line="360" w:lineRule="auto"/>
        <w:jc w:val="both"/>
        <w:rPr>
          <w:color w:val="FF0000"/>
        </w:rPr>
      </w:pPr>
    </w:p>
    <w:p w14:paraId="7EDD64EF" w14:textId="77777777" w:rsidR="003A7E90" w:rsidRDefault="003A7E90" w:rsidP="003A7E90">
      <w:pPr>
        <w:autoSpaceDE w:val="0"/>
        <w:autoSpaceDN w:val="0"/>
        <w:adjustRightInd w:val="0"/>
        <w:spacing w:line="360" w:lineRule="auto"/>
        <w:jc w:val="both"/>
        <w:rPr>
          <w:color w:val="FF0000"/>
        </w:rPr>
      </w:pPr>
    </w:p>
    <w:p w14:paraId="5D06FF45" w14:textId="77777777" w:rsidR="003A7E90" w:rsidRDefault="003A7E90" w:rsidP="003A7E90">
      <w:pPr>
        <w:autoSpaceDE w:val="0"/>
        <w:autoSpaceDN w:val="0"/>
        <w:adjustRightInd w:val="0"/>
        <w:spacing w:line="360" w:lineRule="auto"/>
        <w:jc w:val="both"/>
        <w:rPr>
          <w:color w:val="FF0000"/>
        </w:rPr>
      </w:pPr>
    </w:p>
    <w:p w14:paraId="7900E7AA" w14:textId="77777777" w:rsidR="003A7E90" w:rsidRDefault="003A7E90" w:rsidP="003A7E90">
      <w:pPr>
        <w:autoSpaceDE w:val="0"/>
        <w:autoSpaceDN w:val="0"/>
        <w:adjustRightInd w:val="0"/>
        <w:spacing w:line="360" w:lineRule="auto"/>
        <w:jc w:val="both"/>
        <w:rPr>
          <w:color w:val="FF0000"/>
        </w:rPr>
      </w:pPr>
    </w:p>
    <w:p w14:paraId="5CA43BF5" w14:textId="77777777" w:rsidR="003A7E90" w:rsidRDefault="003A7E90" w:rsidP="003A7E90">
      <w:pPr>
        <w:autoSpaceDE w:val="0"/>
        <w:autoSpaceDN w:val="0"/>
        <w:adjustRightInd w:val="0"/>
        <w:spacing w:line="360" w:lineRule="auto"/>
        <w:jc w:val="both"/>
        <w:rPr>
          <w:color w:val="FF0000"/>
        </w:rPr>
      </w:pPr>
    </w:p>
    <w:p w14:paraId="2E8A291A" w14:textId="77777777" w:rsidR="003A7E90" w:rsidRDefault="003A7E90" w:rsidP="003A7E90">
      <w:pPr>
        <w:autoSpaceDE w:val="0"/>
        <w:autoSpaceDN w:val="0"/>
        <w:adjustRightInd w:val="0"/>
        <w:spacing w:line="360" w:lineRule="auto"/>
        <w:jc w:val="both"/>
        <w:rPr>
          <w:color w:val="FF0000"/>
        </w:rPr>
      </w:pPr>
    </w:p>
    <w:p w14:paraId="22258591" w14:textId="77777777" w:rsidR="003A7E90" w:rsidRDefault="003A7E90" w:rsidP="003A7E90">
      <w:pPr>
        <w:autoSpaceDE w:val="0"/>
        <w:autoSpaceDN w:val="0"/>
        <w:adjustRightInd w:val="0"/>
        <w:spacing w:line="360" w:lineRule="auto"/>
        <w:jc w:val="both"/>
        <w:rPr>
          <w:color w:val="FF0000"/>
        </w:rPr>
      </w:pPr>
    </w:p>
    <w:p w14:paraId="198F6625" w14:textId="77777777" w:rsidR="003A7E90" w:rsidRDefault="003A7E90" w:rsidP="003A7E90">
      <w:pPr>
        <w:autoSpaceDE w:val="0"/>
        <w:autoSpaceDN w:val="0"/>
        <w:adjustRightInd w:val="0"/>
        <w:spacing w:line="360" w:lineRule="auto"/>
        <w:jc w:val="both"/>
        <w:rPr>
          <w:color w:val="FF0000"/>
        </w:rPr>
      </w:pPr>
    </w:p>
    <w:p w14:paraId="676F0F09" w14:textId="77777777" w:rsidR="003A7E90" w:rsidRDefault="003A7E90" w:rsidP="003A7E90">
      <w:pPr>
        <w:autoSpaceDE w:val="0"/>
        <w:autoSpaceDN w:val="0"/>
        <w:adjustRightInd w:val="0"/>
        <w:spacing w:line="360" w:lineRule="auto"/>
        <w:jc w:val="both"/>
        <w:rPr>
          <w:color w:val="FF0000"/>
        </w:rPr>
      </w:pPr>
    </w:p>
    <w:p w14:paraId="5BBB26A7" w14:textId="77777777" w:rsidR="003A7E90" w:rsidRDefault="003A7E90" w:rsidP="003A7E90">
      <w:pPr>
        <w:autoSpaceDE w:val="0"/>
        <w:autoSpaceDN w:val="0"/>
        <w:adjustRightInd w:val="0"/>
        <w:spacing w:line="360" w:lineRule="auto"/>
        <w:jc w:val="both"/>
        <w:rPr>
          <w:color w:val="FF0000"/>
        </w:rPr>
      </w:pPr>
    </w:p>
    <w:p w14:paraId="1C174706" w14:textId="77777777" w:rsidR="003A7E90" w:rsidRPr="001D4028" w:rsidRDefault="003A7E90" w:rsidP="003A7E90">
      <w:pPr>
        <w:autoSpaceDE w:val="0"/>
        <w:autoSpaceDN w:val="0"/>
        <w:adjustRightInd w:val="0"/>
        <w:spacing w:line="360" w:lineRule="auto"/>
        <w:jc w:val="both"/>
        <w:rPr>
          <w:color w:val="FF0000"/>
        </w:rPr>
      </w:pPr>
    </w:p>
    <w:p w14:paraId="3092039F" w14:textId="53C02B63" w:rsidR="0070155D" w:rsidRPr="001D4028" w:rsidRDefault="0070155D" w:rsidP="003A7E90">
      <w:pPr>
        <w:autoSpaceDE w:val="0"/>
        <w:autoSpaceDN w:val="0"/>
        <w:adjustRightInd w:val="0"/>
        <w:spacing w:line="360" w:lineRule="auto"/>
        <w:rPr>
          <w:i/>
          <w:iCs/>
        </w:rPr>
      </w:pPr>
      <w:r w:rsidRPr="001D4028">
        <w:rPr>
          <w:b/>
          <w:bCs/>
        </w:rPr>
        <w:lastRenderedPageBreak/>
        <w:t xml:space="preserve">Table </w:t>
      </w:r>
      <w:r w:rsidR="00EE1B1F" w:rsidRPr="001D4028">
        <w:rPr>
          <w:b/>
          <w:bCs/>
        </w:rPr>
        <w:t>S</w:t>
      </w:r>
      <w:r w:rsidRPr="001D4028">
        <w:rPr>
          <w:b/>
          <w:bCs/>
        </w:rPr>
        <w:t>2: Responses on current practice prior to commencing treatment.</w:t>
      </w:r>
      <w:r w:rsidR="00D766CD" w:rsidRPr="001D4028">
        <w:rPr>
          <w:b/>
          <w:bCs/>
        </w:rPr>
        <w:t xml:space="preserve"> </w:t>
      </w:r>
      <w:r w:rsidR="00D766CD" w:rsidRPr="001D4028">
        <w:rPr>
          <w:i/>
          <w:iCs/>
        </w:rPr>
        <w:t>n = 40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EE6E4B" w:rsidRPr="001D4028" w14:paraId="7C17E2CD" w14:textId="77777777" w:rsidTr="001D4028">
        <w:trPr>
          <w:trHeight w:val="300"/>
        </w:trPr>
        <w:tc>
          <w:tcPr>
            <w:tcW w:w="7792" w:type="dxa"/>
            <w:shd w:val="clear" w:color="auto" w:fill="000000" w:themeFill="text1"/>
            <w:noWrap/>
            <w:vAlign w:val="center"/>
            <w:hideMark/>
          </w:tcPr>
          <w:p w14:paraId="30E0BE5D" w14:textId="77777777" w:rsidR="00B86AC3" w:rsidRPr="001D4028" w:rsidRDefault="00B86AC3" w:rsidP="003A7E90">
            <w:pPr>
              <w:spacing w:line="360" w:lineRule="auto"/>
              <w:jc w:val="center"/>
              <w:rPr>
                <w:b/>
                <w:bCs/>
                <w:color w:val="FFFFFF" w:themeColor="background1"/>
              </w:rPr>
            </w:pPr>
            <w:r w:rsidRPr="001D4028">
              <w:rPr>
                <w:b/>
                <w:bCs/>
                <w:color w:val="FFFFFF" w:themeColor="background1"/>
              </w:rPr>
              <w:t>Survey Question</w:t>
            </w:r>
          </w:p>
        </w:tc>
        <w:tc>
          <w:tcPr>
            <w:tcW w:w="1984" w:type="dxa"/>
            <w:shd w:val="clear" w:color="auto" w:fill="000000" w:themeFill="text1"/>
            <w:noWrap/>
            <w:vAlign w:val="center"/>
            <w:hideMark/>
          </w:tcPr>
          <w:p w14:paraId="38F3CD4D" w14:textId="77777777" w:rsidR="00B86AC3" w:rsidRPr="001D4028" w:rsidRDefault="00B86AC3" w:rsidP="003A7E90">
            <w:pPr>
              <w:spacing w:line="360" w:lineRule="auto"/>
              <w:jc w:val="center"/>
              <w:rPr>
                <w:b/>
                <w:bCs/>
                <w:color w:val="FFFFFF" w:themeColor="background1"/>
              </w:rPr>
            </w:pPr>
            <w:r w:rsidRPr="001D4028">
              <w:rPr>
                <w:b/>
                <w:bCs/>
                <w:color w:val="FFFFFF" w:themeColor="background1"/>
              </w:rPr>
              <w:t>Response (%)</w:t>
            </w:r>
          </w:p>
        </w:tc>
      </w:tr>
      <w:tr w:rsidR="00B86AC3" w:rsidRPr="001D4028" w14:paraId="63F45F7D" w14:textId="77777777" w:rsidTr="001D4028">
        <w:trPr>
          <w:trHeight w:val="300"/>
        </w:trPr>
        <w:tc>
          <w:tcPr>
            <w:tcW w:w="9776" w:type="dxa"/>
            <w:gridSpan w:val="2"/>
            <w:shd w:val="clear" w:color="auto" w:fill="D9D9D9" w:themeFill="background1" w:themeFillShade="D9"/>
            <w:noWrap/>
            <w:vAlign w:val="center"/>
            <w:hideMark/>
          </w:tcPr>
          <w:p w14:paraId="0B4EAA9F" w14:textId="08316B56" w:rsidR="00B86AC3" w:rsidRPr="001D4028" w:rsidRDefault="00984B69" w:rsidP="003A7E90">
            <w:pPr>
              <w:spacing w:line="360" w:lineRule="auto"/>
              <w:rPr>
                <w:color w:val="000000"/>
              </w:rPr>
            </w:pPr>
            <w:r w:rsidRPr="001D4028">
              <w:rPr>
                <w:color w:val="000000"/>
              </w:rPr>
              <w:t xml:space="preserve">Question 6. </w:t>
            </w:r>
            <w:r w:rsidR="00B86AC3" w:rsidRPr="001D4028">
              <w:rPr>
                <w:color w:val="000000"/>
              </w:rPr>
              <w:t>Which of the following factors do you consider when assessing likelihood of immune-related adverse events prior to commencing checkpoint inhibitor immunotherapy? (Select all that apply)</w:t>
            </w:r>
          </w:p>
        </w:tc>
      </w:tr>
      <w:tr w:rsidR="00B86AC3" w:rsidRPr="001D4028" w14:paraId="2FFA5E04" w14:textId="77777777" w:rsidTr="001D4028">
        <w:trPr>
          <w:trHeight w:val="300"/>
        </w:trPr>
        <w:tc>
          <w:tcPr>
            <w:tcW w:w="7792" w:type="dxa"/>
            <w:shd w:val="clear" w:color="auto" w:fill="auto"/>
            <w:noWrap/>
            <w:vAlign w:val="center"/>
            <w:hideMark/>
          </w:tcPr>
          <w:p w14:paraId="3100346C" w14:textId="77777777" w:rsidR="00B86AC3" w:rsidRPr="001D4028" w:rsidRDefault="00B86AC3" w:rsidP="003A7E90">
            <w:pPr>
              <w:spacing w:line="360" w:lineRule="auto"/>
              <w:rPr>
                <w:color w:val="000000"/>
              </w:rPr>
            </w:pPr>
            <w:r w:rsidRPr="001D4028">
              <w:rPr>
                <w:color w:val="000000"/>
              </w:rPr>
              <w:t>Pre-existing autoimmune disease</w:t>
            </w:r>
          </w:p>
        </w:tc>
        <w:tc>
          <w:tcPr>
            <w:tcW w:w="1984" w:type="dxa"/>
            <w:shd w:val="clear" w:color="auto" w:fill="auto"/>
            <w:noWrap/>
            <w:vAlign w:val="center"/>
            <w:hideMark/>
          </w:tcPr>
          <w:p w14:paraId="6FE7F04B" w14:textId="413A0B82" w:rsidR="00B86AC3" w:rsidRPr="001D4028" w:rsidRDefault="00B86AC3" w:rsidP="003A7E90">
            <w:pPr>
              <w:spacing w:line="360" w:lineRule="auto"/>
              <w:rPr>
                <w:color w:val="000000"/>
              </w:rPr>
            </w:pPr>
            <w:r w:rsidRPr="001D4028">
              <w:rPr>
                <w:color w:val="000000"/>
              </w:rPr>
              <w:t>37 (92.5 %)</w:t>
            </w:r>
          </w:p>
        </w:tc>
      </w:tr>
      <w:tr w:rsidR="00B86AC3" w:rsidRPr="001D4028" w14:paraId="4C3A16F7" w14:textId="77777777" w:rsidTr="001D4028">
        <w:trPr>
          <w:trHeight w:val="300"/>
        </w:trPr>
        <w:tc>
          <w:tcPr>
            <w:tcW w:w="7792" w:type="dxa"/>
            <w:shd w:val="clear" w:color="auto" w:fill="auto"/>
            <w:noWrap/>
            <w:vAlign w:val="center"/>
            <w:hideMark/>
          </w:tcPr>
          <w:p w14:paraId="32F5812B" w14:textId="77777777" w:rsidR="00B86AC3" w:rsidRPr="001D4028" w:rsidRDefault="00B86AC3" w:rsidP="003A7E90">
            <w:pPr>
              <w:spacing w:line="360" w:lineRule="auto"/>
              <w:rPr>
                <w:color w:val="000000"/>
              </w:rPr>
            </w:pPr>
            <w:r w:rsidRPr="001D4028">
              <w:rPr>
                <w:color w:val="000000"/>
              </w:rPr>
              <w:t>Previous use of immune checkpoint inhibitor therapy</w:t>
            </w:r>
          </w:p>
        </w:tc>
        <w:tc>
          <w:tcPr>
            <w:tcW w:w="1984" w:type="dxa"/>
            <w:shd w:val="clear" w:color="auto" w:fill="auto"/>
            <w:noWrap/>
            <w:vAlign w:val="center"/>
            <w:hideMark/>
          </w:tcPr>
          <w:p w14:paraId="0F690D90" w14:textId="6AD85D6E" w:rsidR="00B86AC3" w:rsidRPr="001D4028" w:rsidRDefault="00B86AC3" w:rsidP="003A7E90">
            <w:pPr>
              <w:spacing w:line="360" w:lineRule="auto"/>
              <w:rPr>
                <w:color w:val="000000"/>
              </w:rPr>
            </w:pPr>
            <w:r w:rsidRPr="001D4028">
              <w:rPr>
                <w:color w:val="000000"/>
              </w:rPr>
              <w:t>31 (77.5 %)</w:t>
            </w:r>
          </w:p>
        </w:tc>
      </w:tr>
      <w:tr w:rsidR="00B86AC3" w:rsidRPr="001D4028" w14:paraId="12A7CBA4" w14:textId="77777777" w:rsidTr="001D4028">
        <w:trPr>
          <w:trHeight w:val="300"/>
        </w:trPr>
        <w:tc>
          <w:tcPr>
            <w:tcW w:w="7792" w:type="dxa"/>
            <w:shd w:val="clear" w:color="auto" w:fill="auto"/>
            <w:noWrap/>
            <w:vAlign w:val="center"/>
            <w:hideMark/>
          </w:tcPr>
          <w:p w14:paraId="6B8FF0C6" w14:textId="3AAA0965" w:rsidR="00B86AC3" w:rsidRPr="001D4028" w:rsidRDefault="00B86AC3" w:rsidP="003A7E90">
            <w:pPr>
              <w:spacing w:line="360" w:lineRule="auto"/>
              <w:rPr>
                <w:color w:val="000000"/>
              </w:rPr>
            </w:pPr>
            <w:r w:rsidRPr="001D4028">
              <w:rPr>
                <w:color w:val="000000"/>
              </w:rPr>
              <w:t>Baseline routine laboratory results, including organ function</w:t>
            </w:r>
          </w:p>
        </w:tc>
        <w:tc>
          <w:tcPr>
            <w:tcW w:w="1984" w:type="dxa"/>
            <w:shd w:val="clear" w:color="auto" w:fill="auto"/>
            <w:noWrap/>
            <w:vAlign w:val="center"/>
            <w:hideMark/>
          </w:tcPr>
          <w:p w14:paraId="0C14BD1D" w14:textId="098531AF" w:rsidR="00B86AC3" w:rsidRPr="001D4028" w:rsidRDefault="00B86AC3" w:rsidP="003A7E90">
            <w:pPr>
              <w:spacing w:line="360" w:lineRule="auto"/>
              <w:rPr>
                <w:color w:val="000000"/>
              </w:rPr>
            </w:pPr>
            <w:r w:rsidRPr="001D4028">
              <w:rPr>
                <w:color w:val="000000"/>
              </w:rPr>
              <w:t>26 (65.0 %)</w:t>
            </w:r>
          </w:p>
        </w:tc>
      </w:tr>
      <w:tr w:rsidR="00B86AC3" w:rsidRPr="001D4028" w14:paraId="725DB9E4" w14:textId="77777777" w:rsidTr="001D4028">
        <w:trPr>
          <w:trHeight w:val="300"/>
        </w:trPr>
        <w:tc>
          <w:tcPr>
            <w:tcW w:w="7792" w:type="dxa"/>
            <w:shd w:val="clear" w:color="auto" w:fill="auto"/>
            <w:noWrap/>
            <w:vAlign w:val="center"/>
            <w:hideMark/>
          </w:tcPr>
          <w:p w14:paraId="4A3C1EB4" w14:textId="77777777" w:rsidR="00B86AC3" w:rsidRPr="001D4028" w:rsidRDefault="00B86AC3" w:rsidP="003A7E90">
            <w:pPr>
              <w:spacing w:line="360" w:lineRule="auto"/>
              <w:rPr>
                <w:color w:val="000000"/>
              </w:rPr>
            </w:pPr>
            <w:r w:rsidRPr="001D4028">
              <w:rPr>
                <w:color w:val="000000"/>
              </w:rPr>
              <w:t>Other co-morbidities</w:t>
            </w:r>
          </w:p>
        </w:tc>
        <w:tc>
          <w:tcPr>
            <w:tcW w:w="1984" w:type="dxa"/>
            <w:shd w:val="clear" w:color="auto" w:fill="auto"/>
            <w:noWrap/>
            <w:vAlign w:val="center"/>
            <w:hideMark/>
          </w:tcPr>
          <w:p w14:paraId="7F72CE35" w14:textId="55CFCFA1" w:rsidR="00B86AC3" w:rsidRPr="001D4028" w:rsidRDefault="00B86AC3" w:rsidP="003A7E90">
            <w:pPr>
              <w:spacing w:line="360" w:lineRule="auto"/>
              <w:rPr>
                <w:color w:val="000000"/>
              </w:rPr>
            </w:pPr>
            <w:r w:rsidRPr="001D4028">
              <w:rPr>
                <w:color w:val="000000"/>
              </w:rPr>
              <w:t>25 (62.5 %)</w:t>
            </w:r>
          </w:p>
        </w:tc>
      </w:tr>
      <w:tr w:rsidR="00B86AC3" w:rsidRPr="001D4028" w14:paraId="6252B40E" w14:textId="77777777" w:rsidTr="001D4028">
        <w:trPr>
          <w:trHeight w:val="300"/>
        </w:trPr>
        <w:tc>
          <w:tcPr>
            <w:tcW w:w="7792" w:type="dxa"/>
            <w:shd w:val="clear" w:color="auto" w:fill="auto"/>
            <w:noWrap/>
            <w:vAlign w:val="center"/>
            <w:hideMark/>
          </w:tcPr>
          <w:p w14:paraId="10B15C96" w14:textId="77777777" w:rsidR="00B86AC3" w:rsidRPr="001D4028" w:rsidRDefault="00B86AC3" w:rsidP="003A7E90">
            <w:pPr>
              <w:spacing w:line="360" w:lineRule="auto"/>
              <w:rPr>
                <w:color w:val="000000"/>
              </w:rPr>
            </w:pPr>
            <w:r w:rsidRPr="001D4028">
              <w:rPr>
                <w:color w:val="000000"/>
              </w:rPr>
              <w:t>Patient/carer ability to identify and report irAE</w:t>
            </w:r>
          </w:p>
        </w:tc>
        <w:tc>
          <w:tcPr>
            <w:tcW w:w="1984" w:type="dxa"/>
            <w:shd w:val="clear" w:color="auto" w:fill="auto"/>
            <w:noWrap/>
            <w:vAlign w:val="center"/>
            <w:hideMark/>
          </w:tcPr>
          <w:p w14:paraId="7F39AA99" w14:textId="205D3127" w:rsidR="00B86AC3" w:rsidRPr="001D4028" w:rsidRDefault="00B86AC3" w:rsidP="003A7E90">
            <w:pPr>
              <w:spacing w:line="360" w:lineRule="auto"/>
              <w:rPr>
                <w:color w:val="000000"/>
              </w:rPr>
            </w:pPr>
            <w:r w:rsidRPr="001D4028">
              <w:rPr>
                <w:color w:val="000000"/>
              </w:rPr>
              <w:t>25 (62.5 %)</w:t>
            </w:r>
          </w:p>
        </w:tc>
      </w:tr>
      <w:tr w:rsidR="00B86AC3" w:rsidRPr="001D4028" w14:paraId="65C88E15" w14:textId="77777777" w:rsidTr="001D4028">
        <w:trPr>
          <w:trHeight w:val="300"/>
        </w:trPr>
        <w:tc>
          <w:tcPr>
            <w:tcW w:w="7792" w:type="dxa"/>
            <w:shd w:val="clear" w:color="auto" w:fill="auto"/>
            <w:noWrap/>
            <w:vAlign w:val="center"/>
            <w:hideMark/>
          </w:tcPr>
          <w:p w14:paraId="19D25C53" w14:textId="77777777" w:rsidR="00B86AC3" w:rsidRPr="001D4028" w:rsidRDefault="00B86AC3" w:rsidP="003A7E90">
            <w:pPr>
              <w:spacing w:line="360" w:lineRule="auto"/>
              <w:rPr>
                <w:color w:val="000000"/>
              </w:rPr>
            </w:pPr>
            <w:r w:rsidRPr="001D4028">
              <w:rPr>
                <w:color w:val="000000"/>
              </w:rPr>
              <w:t>ECOG performance score</w:t>
            </w:r>
          </w:p>
        </w:tc>
        <w:tc>
          <w:tcPr>
            <w:tcW w:w="1984" w:type="dxa"/>
            <w:shd w:val="clear" w:color="auto" w:fill="auto"/>
            <w:noWrap/>
            <w:vAlign w:val="center"/>
            <w:hideMark/>
          </w:tcPr>
          <w:p w14:paraId="362C8A75" w14:textId="32335A98" w:rsidR="00B86AC3" w:rsidRPr="001D4028" w:rsidRDefault="00B86AC3" w:rsidP="003A7E90">
            <w:pPr>
              <w:spacing w:line="360" w:lineRule="auto"/>
              <w:rPr>
                <w:color w:val="000000"/>
              </w:rPr>
            </w:pPr>
            <w:r w:rsidRPr="001D4028">
              <w:rPr>
                <w:color w:val="000000"/>
              </w:rPr>
              <w:t>22 (55.0 %)</w:t>
            </w:r>
          </w:p>
        </w:tc>
      </w:tr>
      <w:tr w:rsidR="00B86AC3" w:rsidRPr="001D4028" w14:paraId="5BC54BAD" w14:textId="77777777" w:rsidTr="001D4028">
        <w:trPr>
          <w:trHeight w:val="300"/>
        </w:trPr>
        <w:tc>
          <w:tcPr>
            <w:tcW w:w="7792" w:type="dxa"/>
            <w:shd w:val="clear" w:color="auto" w:fill="auto"/>
            <w:noWrap/>
            <w:vAlign w:val="center"/>
            <w:hideMark/>
          </w:tcPr>
          <w:p w14:paraId="59FFA4D4" w14:textId="77777777" w:rsidR="00B86AC3" w:rsidRPr="001D4028" w:rsidRDefault="00B86AC3" w:rsidP="003A7E90">
            <w:pPr>
              <w:spacing w:line="360" w:lineRule="auto"/>
              <w:rPr>
                <w:color w:val="000000"/>
              </w:rPr>
            </w:pPr>
            <w:r w:rsidRPr="001D4028">
              <w:rPr>
                <w:color w:val="000000"/>
              </w:rPr>
              <w:t>Concomitant medications</w:t>
            </w:r>
          </w:p>
        </w:tc>
        <w:tc>
          <w:tcPr>
            <w:tcW w:w="1984" w:type="dxa"/>
            <w:shd w:val="clear" w:color="auto" w:fill="auto"/>
            <w:noWrap/>
            <w:vAlign w:val="center"/>
            <w:hideMark/>
          </w:tcPr>
          <w:p w14:paraId="3F6333C1" w14:textId="7727403F" w:rsidR="00B86AC3" w:rsidRPr="001D4028" w:rsidRDefault="00B86AC3" w:rsidP="003A7E90">
            <w:pPr>
              <w:spacing w:line="360" w:lineRule="auto"/>
              <w:rPr>
                <w:color w:val="000000"/>
              </w:rPr>
            </w:pPr>
            <w:r w:rsidRPr="001D4028">
              <w:rPr>
                <w:color w:val="000000"/>
              </w:rPr>
              <w:t>17 (42.5 %)</w:t>
            </w:r>
          </w:p>
        </w:tc>
      </w:tr>
      <w:tr w:rsidR="00B86AC3" w:rsidRPr="001D4028" w14:paraId="6A3108EB" w14:textId="77777777" w:rsidTr="001D4028">
        <w:trPr>
          <w:trHeight w:val="300"/>
        </w:trPr>
        <w:tc>
          <w:tcPr>
            <w:tcW w:w="7792" w:type="dxa"/>
            <w:shd w:val="clear" w:color="auto" w:fill="auto"/>
            <w:noWrap/>
            <w:vAlign w:val="center"/>
            <w:hideMark/>
          </w:tcPr>
          <w:p w14:paraId="3AF52083" w14:textId="77777777" w:rsidR="00B86AC3" w:rsidRPr="001D4028" w:rsidRDefault="00B86AC3" w:rsidP="003A7E90">
            <w:pPr>
              <w:spacing w:line="360" w:lineRule="auto"/>
              <w:rPr>
                <w:color w:val="000000"/>
              </w:rPr>
            </w:pPr>
            <w:r w:rsidRPr="001D4028">
              <w:rPr>
                <w:color w:val="000000"/>
              </w:rPr>
              <w:t>Previous radiation therapy</w:t>
            </w:r>
          </w:p>
        </w:tc>
        <w:tc>
          <w:tcPr>
            <w:tcW w:w="1984" w:type="dxa"/>
            <w:shd w:val="clear" w:color="auto" w:fill="auto"/>
            <w:noWrap/>
            <w:vAlign w:val="center"/>
            <w:hideMark/>
          </w:tcPr>
          <w:p w14:paraId="68ED144F" w14:textId="37D8B895" w:rsidR="00B86AC3" w:rsidRPr="001D4028" w:rsidRDefault="00B86AC3" w:rsidP="003A7E90">
            <w:pPr>
              <w:spacing w:line="360" w:lineRule="auto"/>
              <w:rPr>
                <w:color w:val="000000"/>
              </w:rPr>
            </w:pPr>
            <w:r w:rsidRPr="001D4028">
              <w:rPr>
                <w:color w:val="000000"/>
              </w:rPr>
              <w:t>15 (37.5 %)</w:t>
            </w:r>
          </w:p>
        </w:tc>
      </w:tr>
      <w:tr w:rsidR="00B86AC3" w:rsidRPr="001D4028" w14:paraId="2F010986" w14:textId="77777777" w:rsidTr="001D4028">
        <w:trPr>
          <w:trHeight w:val="300"/>
        </w:trPr>
        <w:tc>
          <w:tcPr>
            <w:tcW w:w="7792" w:type="dxa"/>
            <w:shd w:val="clear" w:color="auto" w:fill="auto"/>
            <w:noWrap/>
            <w:vAlign w:val="center"/>
            <w:hideMark/>
          </w:tcPr>
          <w:p w14:paraId="763000A0" w14:textId="77777777" w:rsidR="00B86AC3" w:rsidRPr="001D4028" w:rsidRDefault="00B86AC3" w:rsidP="003A7E90">
            <w:pPr>
              <w:spacing w:line="360" w:lineRule="auto"/>
              <w:rPr>
                <w:color w:val="000000"/>
              </w:rPr>
            </w:pPr>
            <w:r w:rsidRPr="001D4028">
              <w:rPr>
                <w:color w:val="000000"/>
              </w:rPr>
              <w:t>History of anaphylaxis or severe allergies</w:t>
            </w:r>
          </w:p>
        </w:tc>
        <w:tc>
          <w:tcPr>
            <w:tcW w:w="1984" w:type="dxa"/>
            <w:shd w:val="clear" w:color="auto" w:fill="auto"/>
            <w:noWrap/>
            <w:vAlign w:val="center"/>
            <w:hideMark/>
          </w:tcPr>
          <w:p w14:paraId="2A94F17D" w14:textId="102E042C" w:rsidR="00B86AC3" w:rsidRPr="001D4028" w:rsidRDefault="00B86AC3" w:rsidP="003A7E90">
            <w:pPr>
              <w:spacing w:line="360" w:lineRule="auto"/>
              <w:rPr>
                <w:color w:val="000000"/>
              </w:rPr>
            </w:pPr>
            <w:r w:rsidRPr="001D4028">
              <w:rPr>
                <w:color w:val="000000"/>
              </w:rPr>
              <w:t>9 (22.5 %)</w:t>
            </w:r>
          </w:p>
        </w:tc>
      </w:tr>
      <w:tr w:rsidR="00B86AC3" w:rsidRPr="001D4028" w14:paraId="1E5583F1" w14:textId="77777777" w:rsidTr="001D4028">
        <w:trPr>
          <w:trHeight w:val="300"/>
        </w:trPr>
        <w:tc>
          <w:tcPr>
            <w:tcW w:w="7792" w:type="dxa"/>
            <w:shd w:val="clear" w:color="auto" w:fill="auto"/>
            <w:noWrap/>
            <w:vAlign w:val="center"/>
            <w:hideMark/>
          </w:tcPr>
          <w:p w14:paraId="55D72D99" w14:textId="77777777" w:rsidR="00B86AC3" w:rsidRPr="001D4028" w:rsidRDefault="00B86AC3" w:rsidP="003A7E90">
            <w:pPr>
              <w:spacing w:line="360" w:lineRule="auto"/>
              <w:rPr>
                <w:color w:val="000000"/>
              </w:rPr>
            </w:pPr>
            <w:r w:rsidRPr="001D4028">
              <w:rPr>
                <w:color w:val="000000"/>
              </w:rPr>
              <w:t xml:space="preserve">Gender  </w:t>
            </w:r>
          </w:p>
        </w:tc>
        <w:tc>
          <w:tcPr>
            <w:tcW w:w="1984" w:type="dxa"/>
            <w:shd w:val="clear" w:color="auto" w:fill="auto"/>
            <w:noWrap/>
            <w:vAlign w:val="center"/>
            <w:hideMark/>
          </w:tcPr>
          <w:p w14:paraId="3AFD3135" w14:textId="5062CFDE" w:rsidR="00B86AC3" w:rsidRPr="001D4028" w:rsidRDefault="00B86AC3" w:rsidP="003A7E90">
            <w:pPr>
              <w:spacing w:line="360" w:lineRule="auto"/>
              <w:rPr>
                <w:color w:val="000000"/>
              </w:rPr>
            </w:pPr>
            <w:r w:rsidRPr="001D4028">
              <w:rPr>
                <w:color w:val="000000"/>
              </w:rPr>
              <w:t>6 (15.0 %)</w:t>
            </w:r>
          </w:p>
        </w:tc>
      </w:tr>
      <w:tr w:rsidR="00B86AC3" w:rsidRPr="001D4028" w14:paraId="5143AD86" w14:textId="77777777" w:rsidTr="001D4028">
        <w:trPr>
          <w:trHeight w:val="300"/>
        </w:trPr>
        <w:tc>
          <w:tcPr>
            <w:tcW w:w="7792" w:type="dxa"/>
            <w:shd w:val="clear" w:color="auto" w:fill="auto"/>
            <w:noWrap/>
            <w:vAlign w:val="center"/>
            <w:hideMark/>
          </w:tcPr>
          <w:p w14:paraId="51B3652E" w14:textId="77777777" w:rsidR="00B86AC3" w:rsidRPr="001D4028" w:rsidRDefault="00B86AC3" w:rsidP="003A7E90">
            <w:pPr>
              <w:spacing w:line="360" w:lineRule="auto"/>
              <w:rPr>
                <w:color w:val="000000"/>
              </w:rPr>
            </w:pPr>
            <w:r w:rsidRPr="001D4028">
              <w:rPr>
                <w:color w:val="000000"/>
              </w:rPr>
              <w:t>History of medication-related adverse effects</w:t>
            </w:r>
          </w:p>
        </w:tc>
        <w:tc>
          <w:tcPr>
            <w:tcW w:w="1984" w:type="dxa"/>
            <w:shd w:val="clear" w:color="auto" w:fill="auto"/>
            <w:noWrap/>
            <w:vAlign w:val="center"/>
            <w:hideMark/>
          </w:tcPr>
          <w:p w14:paraId="6A3D6B20" w14:textId="79CD6737" w:rsidR="00B86AC3" w:rsidRPr="001D4028" w:rsidRDefault="00B86AC3" w:rsidP="003A7E90">
            <w:pPr>
              <w:spacing w:line="360" w:lineRule="auto"/>
              <w:rPr>
                <w:color w:val="000000"/>
              </w:rPr>
            </w:pPr>
            <w:r w:rsidRPr="001D4028">
              <w:rPr>
                <w:color w:val="000000"/>
              </w:rPr>
              <w:t>5 (12.5 %)</w:t>
            </w:r>
          </w:p>
        </w:tc>
      </w:tr>
      <w:tr w:rsidR="00B86AC3" w:rsidRPr="001D4028" w14:paraId="7D6C7909" w14:textId="77777777" w:rsidTr="001D4028">
        <w:trPr>
          <w:trHeight w:val="300"/>
        </w:trPr>
        <w:tc>
          <w:tcPr>
            <w:tcW w:w="7792" w:type="dxa"/>
            <w:shd w:val="clear" w:color="auto" w:fill="auto"/>
            <w:noWrap/>
            <w:vAlign w:val="center"/>
            <w:hideMark/>
          </w:tcPr>
          <w:p w14:paraId="2C64D409" w14:textId="77777777" w:rsidR="00B86AC3" w:rsidRPr="001D4028" w:rsidRDefault="00B86AC3" w:rsidP="003A7E90">
            <w:pPr>
              <w:spacing w:line="360" w:lineRule="auto"/>
              <w:rPr>
                <w:color w:val="000000"/>
              </w:rPr>
            </w:pPr>
            <w:r w:rsidRPr="001D4028">
              <w:rPr>
                <w:color w:val="000000"/>
              </w:rPr>
              <w:t>Investigations outside routine guidelines</w:t>
            </w:r>
          </w:p>
        </w:tc>
        <w:tc>
          <w:tcPr>
            <w:tcW w:w="1984" w:type="dxa"/>
            <w:shd w:val="clear" w:color="auto" w:fill="auto"/>
            <w:noWrap/>
            <w:vAlign w:val="center"/>
            <w:hideMark/>
          </w:tcPr>
          <w:p w14:paraId="33271564" w14:textId="57FD9494" w:rsidR="00B86AC3" w:rsidRPr="001D4028" w:rsidRDefault="00B86AC3" w:rsidP="003A7E90">
            <w:pPr>
              <w:spacing w:line="360" w:lineRule="auto"/>
              <w:rPr>
                <w:color w:val="000000"/>
              </w:rPr>
            </w:pPr>
            <w:r w:rsidRPr="001D4028">
              <w:rPr>
                <w:color w:val="000000"/>
              </w:rPr>
              <w:t>4 (10.0 %)</w:t>
            </w:r>
          </w:p>
        </w:tc>
      </w:tr>
      <w:tr w:rsidR="00B86AC3" w:rsidRPr="001D4028" w14:paraId="154CDC62" w14:textId="77777777" w:rsidTr="001D4028">
        <w:trPr>
          <w:trHeight w:val="300"/>
        </w:trPr>
        <w:tc>
          <w:tcPr>
            <w:tcW w:w="7792" w:type="dxa"/>
            <w:shd w:val="clear" w:color="auto" w:fill="auto"/>
            <w:noWrap/>
            <w:vAlign w:val="center"/>
            <w:hideMark/>
          </w:tcPr>
          <w:p w14:paraId="524ECE25" w14:textId="77777777" w:rsidR="00B86AC3" w:rsidRPr="001D4028" w:rsidRDefault="00B86AC3" w:rsidP="003A7E90">
            <w:pPr>
              <w:spacing w:line="360" w:lineRule="auto"/>
              <w:rPr>
                <w:color w:val="000000"/>
              </w:rPr>
            </w:pPr>
            <w:r w:rsidRPr="001D4028">
              <w:rPr>
                <w:color w:val="000000"/>
              </w:rPr>
              <w:t>Other</w:t>
            </w:r>
            <w:r w:rsidR="00984B69" w:rsidRPr="001D4028">
              <w:rPr>
                <w:color w:val="000000"/>
              </w:rPr>
              <w:t>:</w:t>
            </w:r>
          </w:p>
          <w:p w14:paraId="0ABD3E8F" w14:textId="5BD4324C" w:rsidR="00984B69" w:rsidRPr="001D4028" w:rsidRDefault="00984B69" w:rsidP="003A7E90">
            <w:pPr>
              <w:spacing w:line="360" w:lineRule="auto"/>
              <w:rPr>
                <w:color w:val="000000"/>
              </w:rPr>
            </w:pPr>
            <w:r w:rsidRPr="001D4028">
              <w:rPr>
                <w:color w:val="000000"/>
              </w:rPr>
              <w:t>“High PDL1 in lung cancer seems to have more IO toxicity anecdotally”</w:t>
            </w:r>
          </w:p>
          <w:p w14:paraId="0E9D318E" w14:textId="7C9DFFB8" w:rsidR="00984B69" w:rsidRPr="001D4028" w:rsidRDefault="00984B69" w:rsidP="003A7E90">
            <w:pPr>
              <w:spacing w:line="360" w:lineRule="auto"/>
              <w:rPr>
                <w:color w:val="000000"/>
              </w:rPr>
            </w:pPr>
            <w:r w:rsidRPr="001D4028">
              <w:rPr>
                <w:color w:val="000000"/>
              </w:rPr>
              <w:t>“Planned regimen (i.e. single agent or combination ICI; combination with chemotherapy); primary tumour type (e.g. increased risk of pneumonitis in lung cancer patients)”</w:t>
            </w:r>
          </w:p>
          <w:p w14:paraId="456C5B0F" w14:textId="081827CA" w:rsidR="00984B69" w:rsidRPr="001D4028" w:rsidRDefault="00984B69" w:rsidP="003A7E90">
            <w:pPr>
              <w:spacing w:line="360" w:lineRule="auto"/>
              <w:rPr>
                <w:color w:val="000000"/>
              </w:rPr>
            </w:pPr>
            <w:r w:rsidRPr="001D4028">
              <w:rPr>
                <w:color w:val="000000"/>
              </w:rPr>
              <w:t>“Social circumstances more in relation to how the patient may deal with/report/be able to manage toxicities rather than likelihood of developing them”</w:t>
            </w:r>
          </w:p>
        </w:tc>
        <w:tc>
          <w:tcPr>
            <w:tcW w:w="1984" w:type="dxa"/>
            <w:shd w:val="clear" w:color="auto" w:fill="auto"/>
            <w:noWrap/>
            <w:vAlign w:val="center"/>
            <w:hideMark/>
          </w:tcPr>
          <w:p w14:paraId="68EE33FA" w14:textId="3639C550" w:rsidR="00B86AC3" w:rsidRPr="001D4028" w:rsidRDefault="00B86AC3" w:rsidP="003A7E90">
            <w:pPr>
              <w:spacing w:line="360" w:lineRule="auto"/>
              <w:rPr>
                <w:color w:val="000000"/>
              </w:rPr>
            </w:pPr>
            <w:r w:rsidRPr="001D4028">
              <w:rPr>
                <w:color w:val="000000"/>
              </w:rPr>
              <w:t>3 (7.5 %)</w:t>
            </w:r>
          </w:p>
        </w:tc>
      </w:tr>
      <w:tr w:rsidR="00B86AC3" w:rsidRPr="001D4028" w14:paraId="52E82F91" w14:textId="77777777" w:rsidTr="001D4028">
        <w:trPr>
          <w:trHeight w:val="300"/>
        </w:trPr>
        <w:tc>
          <w:tcPr>
            <w:tcW w:w="9776" w:type="dxa"/>
            <w:gridSpan w:val="2"/>
            <w:shd w:val="clear" w:color="auto" w:fill="D9D9D9" w:themeFill="background1" w:themeFillShade="D9"/>
            <w:noWrap/>
            <w:vAlign w:val="center"/>
            <w:hideMark/>
          </w:tcPr>
          <w:p w14:paraId="320A5EEB" w14:textId="697FCD06" w:rsidR="00B86AC3" w:rsidRPr="001D4028" w:rsidRDefault="00984B69" w:rsidP="003A7E90">
            <w:pPr>
              <w:spacing w:line="360" w:lineRule="auto"/>
              <w:rPr>
                <w:color w:val="000000"/>
              </w:rPr>
            </w:pPr>
            <w:r w:rsidRPr="001D4028">
              <w:rPr>
                <w:color w:val="000000"/>
              </w:rPr>
              <w:t xml:space="preserve">Question 7. </w:t>
            </w:r>
            <w:r w:rsidR="00B86AC3" w:rsidRPr="001D4028">
              <w:rPr>
                <w:color w:val="000000"/>
              </w:rPr>
              <w:t>In your current practice, do you use a scoring system or standard method beyond general risk profiling to assess risk of immune-related adverse events for individual patients prior to commencing checkpoint inhibitor immunotherapy?</w:t>
            </w:r>
          </w:p>
        </w:tc>
      </w:tr>
      <w:tr w:rsidR="00B86AC3" w:rsidRPr="001D4028" w14:paraId="18F28AFA" w14:textId="77777777" w:rsidTr="001D4028">
        <w:trPr>
          <w:trHeight w:val="300"/>
        </w:trPr>
        <w:tc>
          <w:tcPr>
            <w:tcW w:w="7792" w:type="dxa"/>
            <w:shd w:val="clear" w:color="auto" w:fill="auto"/>
            <w:noWrap/>
            <w:vAlign w:val="center"/>
            <w:hideMark/>
          </w:tcPr>
          <w:p w14:paraId="3075B17B" w14:textId="77777777" w:rsidR="00B86AC3" w:rsidRPr="001D4028" w:rsidRDefault="00B86AC3" w:rsidP="003A7E90">
            <w:pPr>
              <w:spacing w:line="360" w:lineRule="auto"/>
              <w:rPr>
                <w:color w:val="000000"/>
              </w:rPr>
            </w:pPr>
            <w:r w:rsidRPr="001D4028">
              <w:rPr>
                <w:color w:val="000000"/>
              </w:rPr>
              <w:t>No</w:t>
            </w:r>
          </w:p>
        </w:tc>
        <w:tc>
          <w:tcPr>
            <w:tcW w:w="1984" w:type="dxa"/>
            <w:shd w:val="clear" w:color="auto" w:fill="auto"/>
            <w:noWrap/>
            <w:vAlign w:val="center"/>
            <w:hideMark/>
          </w:tcPr>
          <w:p w14:paraId="2E26936D" w14:textId="0C15FC99" w:rsidR="00B86AC3" w:rsidRPr="001D4028" w:rsidRDefault="00B86AC3" w:rsidP="003A7E90">
            <w:pPr>
              <w:spacing w:line="360" w:lineRule="auto"/>
              <w:rPr>
                <w:color w:val="000000"/>
              </w:rPr>
            </w:pPr>
            <w:r w:rsidRPr="001D4028">
              <w:rPr>
                <w:color w:val="000000"/>
              </w:rPr>
              <w:t>40 (100.0 %)</w:t>
            </w:r>
          </w:p>
        </w:tc>
      </w:tr>
      <w:tr w:rsidR="00B86AC3" w:rsidRPr="001D4028" w14:paraId="1E25BCC4" w14:textId="77777777" w:rsidTr="001D4028">
        <w:trPr>
          <w:trHeight w:val="300"/>
        </w:trPr>
        <w:tc>
          <w:tcPr>
            <w:tcW w:w="7792" w:type="dxa"/>
            <w:shd w:val="clear" w:color="auto" w:fill="auto"/>
            <w:noWrap/>
            <w:vAlign w:val="center"/>
            <w:hideMark/>
          </w:tcPr>
          <w:p w14:paraId="2BCA4C26" w14:textId="77777777" w:rsidR="00B86AC3" w:rsidRPr="001D4028" w:rsidRDefault="00B86AC3" w:rsidP="003A7E90">
            <w:pPr>
              <w:spacing w:line="360" w:lineRule="auto"/>
              <w:rPr>
                <w:color w:val="000000"/>
              </w:rPr>
            </w:pPr>
            <w:r w:rsidRPr="001D4028">
              <w:rPr>
                <w:color w:val="000000"/>
              </w:rPr>
              <w:t>Yes</w:t>
            </w:r>
          </w:p>
        </w:tc>
        <w:tc>
          <w:tcPr>
            <w:tcW w:w="1984" w:type="dxa"/>
            <w:shd w:val="clear" w:color="auto" w:fill="auto"/>
            <w:noWrap/>
            <w:vAlign w:val="center"/>
            <w:hideMark/>
          </w:tcPr>
          <w:p w14:paraId="0AD8118B" w14:textId="559DCD68" w:rsidR="00B86AC3" w:rsidRPr="001D4028" w:rsidRDefault="00B86AC3" w:rsidP="003A7E90">
            <w:pPr>
              <w:spacing w:line="360" w:lineRule="auto"/>
              <w:rPr>
                <w:color w:val="000000"/>
              </w:rPr>
            </w:pPr>
            <w:r w:rsidRPr="001D4028">
              <w:rPr>
                <w:color w:val="000000"/>
              </w:rPr>
              <w:t>0 (0.0 %)</w:t>
            </w:r>
          </w:p>
        </w:tc>
      </w:tr>
      <w:tr w:rsidR="00B86AC3" w:rsidRPr="001D4028" w14:paraId="1AF489CC" w14:textId="77777777" w:rsidTr="001D4028">
        <w:trPr>
          <w:trHeight w:val="300"/>
        </w:trPr>
        <w:tc>
          <w:tcPr>
            <w:tcW w:w="9776" w:type="dxa"/>
            <w:gridSpan w:val="2"/>
            <w:shd w:val="clear" w:color="auto" w:fill="D9D9D9" w:themeFill="background1" w:themeFillShade="D9"/>
            <w:noWrap/>
            <w:vAlign w:val="center"/>
            <w:hideMark/>
          </w:tcPr>
          <w:p w14:paraId="0DE4BB5D" w14:textId="530B7072" w:rsidR="00B86AC3" w:rsidRPr="001D4028" w:rsidRDefault="00984B69" w:rsidP="003A7E90">
            <w:pPr>
              <w:spacing w:line="360" w:lineRule="auto"/>
              <w:rPr>
                <w:color w:val="000000"/>
              </w:rPr>
            </w:pPr>
            <w:r w:rsidRPr="001D4028">
              <w:rPr>
                <w:color w:val="000000"/>
              </w:rPr>
              <w:lastRenderedPageBreak/>
              <w:t xml:space="preserve">Question 8. </w:t>
            </w:r>
            <w:r w:rsidR="00B86AC3" w:rsidRPr="001D4028">
              <w:rPr>
                <w:color w:val="000000"/>
              </w:rPr>
              <w:t>Do you believe it would be useful to identify patients at risk of immune-related adverse events prior to commencing checkpoint inhibitor immunotherapy?</w:t>
            </w:r>
          </w:p>
        </w:tc>
      </w:tr>
      <w:tr w:rsidR="00B86AC3" w:rsidRPr="001D4028" w14:paraId="2BC207FF" w14:textId="77777777" w:rsidTr="001D4028">
        <w:trPr>
          <w:trHeight w:val="300"/>
        </w:trPr>
        <w:tc>
          <w:tcPr>
            <w:tcW w:w="7792" w:type="dxa"/>
            <w:shd w:val="clear" w:color="auto" w:fill="auto"/>
            <w:noWrap/>
            <w:vAlign w:val="center"/>
            <w:hideMark/>
          </w:tcPr>
          <w:p w14:paraId="325714A0" w14:textId="77777777" w:rsidR="00B86AC3" w:rsidRPr="001D4028" w:rsidRDefault="00B86AC3" w:rsidP="003A7E90">
            <w:pPr>
              <w:spacing w:line="360" w:lineRule="auto"/>
              <w:rPr>
                <w:color w:val="000000"/>
              </w:rPr>
            </w:pPr>
            <w:r w:rsidRPr="001D4028">
              <w:rPr>
                <w:color w:val="000000"/>
              </w:rPr>
              <w:t>Extremely useful</w:t>
            </w:r>
          </w:p>
        </w:tc>
        <w:tc>
          <w:tcPr>
            <w:tcW w:w="1984" w:type="dxa"/>
            <w:shd w:val="clear" w:color="auto" w:fill="auto"/>
            <w:noWrap/>
            <w:vAlign w:val="center"/>
            <w:hideMark/>
          </w:tcPr>
          <w:p w14:paraId="51BF1CD5" w14:textId="5B9911C2" w:rsidR="00B86AC3" w:rsidRPr="001D4028" w:rsidRDefault="00B86AC3" w:rsidP="003A7E90">
            <w:pPr>
              <w:spacing w:line="360" w:lineRule="auto"/>
              <w:rPr>
                <w:color w:val="000000"/>
              </w:rPr>
            </w:pPr>
            <w:r w:rsidRPr="001D4028">
              <w:rPr>
                <w:color w:val="000000"/>
              </w:rPr>
              <w:t>15 (37.5 %)</w:t>
            </w:r>
          </w:p>
        </w:tc>
      </w:tr>
      <w:tr w:rsidR="00B86AC3" w:rsidRPr="001D4028" w14:paraId="1131EF57" w14:textId="77777777" w:rsidTr="001D4028">
        <w:trPr>
          <w:trHeight w:val="300"/>
        </w:trPr>
        <w:tc>
          <w:tcPr>
            <w:tcW w:w="7792" w:type="dxa"/>
            <w:shd w:val="clear" w:color="auto" w:fill="auto"/>
            <w:noWrap/>
            <w:vAlign w:val="center"/>
            <w:hideMark/>
          </w:tcPr>
          <w:p w14:paraId="4DB99BB3" w14:textId="77777777" w:rsidR="00B86AC3" w:rsidRPr="001D4028" w:rsidRDefault="00B86AC3" w:rsidP="003A7E90">
            <w:pPr>
              <w:spacing w:line="360" w:lineRule="auto"/>
              <w:rPr>
                <w:color w:val="000000"/>
              </w:rPr>
            </w:pPr>
            <w:r w:rsidRPr="001D4028">
              <w:rPr>
                <w:color w:val="000000"/>
              </w:rPr>
              <w:t>Very useful</w:t>
            </w:r>
          </w:p>
        </w:tc>
        <w:tc>
          <w:tcPr>
            <w:tcW w:w="1984" w:type="dxa"/>
            <w:shd w:val="clear" w:color="auto" w:fill="auto"/>
            <w:noWrap/>
            <w:vAlign w:val="center"/>
            <w:hideMark/>
          </w:tcPr>
          <w:p w14:paraId="6497089A" w14:textId="64EB3A78" w:rsidR="00B86AC3" w:rsidRPr="001D4028" w:rsidRDefault="00B86AC3" w:rsidP="003A7E90">
            <w:pPr>
              <w:spacing w:line="360" w:lineRule="auto"/>
              <w:rPr>
                <w:color w:val="000000"/>
              </w:rPr>
            </w:pPr>
            <w:r w:rsidRPr="001D4028">
              <w:rPr>
                <w:color w:val="000000"/>
              </w:rPr>
              <w:t>14 (35.0 %)</w:t>
            </w:r>
          </w:p>
        </w:tc>
      </w:tr>
      <w:tr w:rsidR="00B86AC3" w:rsidRPr="001D4028" w14:paraId="207D45AC" w14:textId="77777777" w:rsidTr="001D4028">
        <w:trPr>
          <w:trHeight w:val="300"/>
        </w:trPr>
        <w:tc>
          <w:tcPr>
            <w:tcW w:w="7792" w:type="dxa"/>
            <w:shd w:val="clear" w:color="auto" w:fill="auto"/>
            <w:noWrap/>
            <w:vAlign w:val="center"/>
            <w:hideMark/>
          </w:tcPr>
          <w:p w14:paraId="43B78597" w14:textId="77777777" w:rsidR="00B86AC3" w:rsidRPr="001D4028" w:rsidRDefault="00B86AC3" w:rsidP="003A7E90">
            <w:pPr>
              <w:spacing w:line="360" w:lineRule="auto"/>
              <w:rPr>
                <w:color w:val="000000"/>
              </w:rPr>
            </w:pPr>
            <w:r w:rsidRPr="001D4028">
              <w:rPr>
                <w:color w:val="000000"/>
              </w:rPr>
              <w:t>Somewhat useful</w:t>
            </w:r>
          </w:p>
        </w:tc>
        <w:tc>
          <w:tcPr>
            <w:tcW w:w="1984" w:type="dxa"/>
            <w:shd w:val="clear" w:color="auto" w:fill="auto"/>
            <w:noWrap/>
            <w:vAlign w:val="center"/>
            <w:hideMark/>
          </w:tcPr>
          <w:p w14:paraId="728CD967" w14:textId="2F2F022F" w:rsidR="00B86AC3" w:rsidRPr="001D4028" w:rsidRDefault="00B86AC3" w:rsidP="003A7E90">
            <w:pPr>
              <w:spacing w:line="360" w:lineRule="auto"/>
              <w:rPr>
                <w:color w:val="000000"/>
              </w:rPr>
            </w:pPr>
            <w:r w:rsidRPr="001D4028">
              <w:rPr>
                <w:color w:val="000000"/>
              </w:rPr>
              <w:t>8 (20.0 %)</w:t>
            </w:r>
          </w:p>
        </w:tc>
      </w:tr>
      <w:tr w:rsidR="00B86AC3" w:rsidRPr="001D4028" w14:paraId="75BB976F" w14:textId="77777777" w:rsidTr="001D4028">
        <w:trPr>
          <w:trHeight w:val="300"/>
        </w:trPr>
        <w:tc>
          <w:tcPr>
            <w:tcW w:w="7792" w:type="dxa"/>
            <w:shd w:val="clear" w:color="auto" w:fill="auto"/>
            <w:noWrap/>
            <w:vAlign w:val="center"/>
            <w:hideMark/>
          </w:tcPr>
          <w:p w14:paraId="00E697B4" w14:textId="77777777" w:rsidR="00B86AC3" w:rsidRPr="001D4028" w:rsidRDefault="00B86AC3" w:rsidP="003A7E90">
            <w:pPr>
              <w:spacing w:line="360" w:lineRule="auto"/>
              <w:rPr>
                <w:color w:val="000000"/>
              </w:rPr>
            </w:pPr>
            <w:r w:rsidRPr="001D4028">
              <w:rPr>
                <w:color w:val="000000"/>
              </w:rPr>
              <w:t>Slightly useful</w:t>
            </w:r>
          </w:p>
        </w:tc>
        <w:tc>
          <w:tcPr>
            <w:tcW w:w="1984" w:type="dxa"/>
            <w:shd w:val="clear" w:color="auto" w:fill="auto"/>
            <w:noWrap/>
            <w:vAlign w:val="center"/>
            <w:hideMark/>
          </w:tcPr>
          <w:p w14:paraId="29567B0E" w14:textId="397390D4" w:rsidR="00B86AC3" w:rsidRPr="001D4028" w:rsidRDefault="00B86AC3" w:rsidP="003A7E90">
            <w:pPr>
              <w:spacing w:line="360" w:lineRule="auto"/>
              <w:rPr>
                <w:color w:val="000000"/>
              </w:rPr>
            </w:pPr>
            <w:r w:rsidRPr="001D4028">
              <w:rPr>
                <w:color w:val="000000"/>
              </w:rPr>
              <w:t>3 (7.5 %)</w:t>
            </w:r>
          </w:p>
        </w:tc>
      </w:tr>
      <w:tr w:rsidR="00B86AC3" w:rsidRPr="001D4028" w14:paraId="1D2D9EFF" w14:textId="77777777" w:rsidTr="001D4028">
        <w:trPr>
          <w:trHeight w:val="300"/>
        </w:trPr>
        <w:tc>
          <w:tcPr>
            <w:tcW w:w="7792" w:type="dxa"/>
            <w:shd w:val="clear" w:color="auto" w:fill="auto"/>
            <w:noWrap/>
            <w:vAlign w:val="center"/>
            <w:hideMark/>
          </w:tcPr>
          <w:p w14:paraId="38AD7061" w14:textId="77777777" w:rsidR="00B86AC3" w:rsidRPr="001D4028" w:rsidRDefault="00B86AC3" w:rsidP="003A7E90">
            <w:pPr>
              <w:spacing w:line="360" w:lineRule="auto"/>
              <w:rPr>
                <w:color w:val="000000"/>
              </w:rPr>
            </w:pPr>
            <w:r w:rsidRPr="001D4028">
              <w:rPr>
                <w:color w:val="000000"/>
              </w:rPr>
              <w:t>Not at all useful</w:t>
            </w:r>
          </w:p>
        </w:tc>
        <w:tc>
          <w:tcPr>
            <w:tcW w:w="1984" w:type="dxa"/>
            <w:shd w:val="clear" w:color="auto" w:fill="auto"/>
            <w:noWrap/>
            <w:vAlign w:val="center"/>
            <w:hideMark/>
          </w:tcPr>
          <w:p w14:paraId="70BCFC72" w14:textId="5069400D" w:rsidR="00B86AC3" w:rsidRPr="001D4028" w:rsidRDefault="00B86AC3" w:rsidP="003A7E90">
            <w:pPr>
              <w:spacing w:line="360" w:lineRule="auto"/>
              <w:rPr>
                <w:color w:val="000000"/>
              </w:rPr>
            </w:pPr>
            <w:r w:rsidRPr="001D4028">
              <w:rPr>
                <w:color w:val="000000"/>
              </w:rPr>
              <w:t>0 (0.0 %)</w:t>
            </w:r>
          </w:p>
        </w:tc>
      </w:tr>
      <w:tr w:rsidR="00B86AC3" w:rsidRPr="001D4028" w14:paraId="74B3768D" w14:textId="77777777" w:rsidTr="001D4028">
        <w:trPr>
          <w:trHeight w:val="300"/>
        </w:trPr>
        <w:tc>
          <w:tcPr>
            <w:tcW w:w="9776" w:type="dxa"/>
            <w:gridSpan w:val="2"/>
            <w:shd w:val="clear" w:color="auto" w:fill="D9D9D9" w:themeFill="background1" w:themeFillShade="D9"/>
            <w:noWrap/>
            <w:vAlign w:val="center"/>
            <w:hideMark/>
          </w:tcPr>
          <w:p w14:paraId="395E60C7" w14:textId="1BCDB5C8" w:rsidR="00B86AC3" w:rsidRPr="001D4028" w:rsidRDefault="00984B69" w:rsidP="003A7E90">
            <w:pPr>
              <w:spacing w:line="360" w:lineRule="auto"/>
              <w:rPr>
                <w:color w:val="000000"/>
              </w:rPr>
            </w:pPr>
            <w:r w:rsidRPr="001D4028">
              <w:rPr>
                <w:color w:val="000000"/>
              </w:rPr>
              <w:t xml:space="preserve">Question 9. </w:t>
            </w:r>
            <w:r w:rsidR="00B86AC3" w:rsidRPr="001D4028">
              <w:rPr>
                <w:color w:val="000000"/>
              </w:rPr>
              <w:t>How often in your current practice do you assess risk of immune-related adverse events prior to commencing checkpoint inhibitor immunotherapy?</w:t>
            </w:r>
          </w:p>
        </w:tc>
      </w:tr>
      <w:tr w:rsidR="00B86AC3" w:rsidRPr="001D4028" w14:paraId="45554DDE" w14:textId="77777777" w:rsidTr="001D4028">
        <w:trPr>
          <w:trHeight w:val="300"/>
        </w:trPr>
        <w:tc>
          <w:tcPr>
            <w:tcW w:w="7792" w:type="dxa"/>
            <w:shd w:val="clear" w:color="auto" w:fill="auto"/>
            <w:noWrap/>
            <w:vAlign w:val="center"/>
            <w:hideMark/>
          </w:tcPr>
          <w:p w14:paraId="23D7EB45" w14:textId="77777777" w:rsidR="00B86AC3" w:rsidRPr="001D4028" w:rsidRDefault="00B86AC3" w:rsidP="003A7E90">
            <w:pPr>
              <w:spacing w:line="360" w:lineRule="auto"/>
              <w:rPr>
                <w:color w:val="000000"/>
              </w:rPr>
            </w:pPr>
            <w:r w:rsidRPr="001D4028">
              <w:rPr>
                <w:color w:val="000000"/>
              </w:rPr>
              <w:t>Always</w:t>
            </w:r>
          </w:p>
        </w:tc>
        <w:tc>
          <w:tcPr>
            <w:tcW w:w="1984" w:type="dxa"/>
            <w:shd w:val="clear" w:color="auto" w:fill="auto"/>
            <w:noWrap/>
            <w:vAlign w:val="center"/>
            <w:hideMark/>
          </w:tcPr>
          <w:p w14:paraId="2D698D0F" w14:textId="5D90900F" w:rsidR="00B86AC3" w:rsidRPr="001D4028" w:rsidRDefault="00B86AC3" w:rsidP="003A7E90">
            <w:pPr>
              <w:spacing w:line="360" w:lineRule="auto"/>
              <w:rPr>
                <w:color w:val="000000"/>
              </w:rPr>
            </w:pPr>
            <w:r w:rsidRPr="001D4028">
              <w:rPr>
                <w:color w:val="000000"/>
              </w:rPr>
              <w:t>22 (55.0 %)</w:t>
            </w:r>
          </w:p>
        </w:tc>
      </w:tr>
      <w:tr w:rsidR="00B86AC3" w:rsidRPr="001D4028" w14:paraId="61892B15" w14:textId="77777777" w:rsidTr="001D4028">
        <w:trPr>
          <w:trHeight w:val="300"/>
        </w:trPr>
        <w:tc>
          <w:tcPr>
            <w:tcW w:w="7792" w:type="dxa"/>
            <w:shd w:val="clear" w:color="auto" w:fill="auto"/>
            <w:noWrap/>
            <w:vAlign w:val="center"/>
            <w:hideMark/>
          </w:tcPr>
          <w:p w14:paraId="74991A2F" w14:textId="77777777" w:rsidR="00B86AC3" w:rsidRPr="001D4028" w:rsidRDefault="00B86AC3" w:rsidP="003A7E90">
            <w:pPr>
              <w:spacing w:line="360" w:lineRule="auto"/>
              <w:rPr>
                <w:color w:val="000000"/>
              </w:rPr>
            </w:pPr>
            <w:r w:rsidRPr="001D4028">
              <w:rPr>
                <w:color w:val="000000"/>
              </w:rPr>
              <w:t>Most of the time</w:t>
            </w:r>
          </w:p>
        </w:tc>
        <w:tc>
          <w:tcPr>
            <w:tcW w:w="1984" w:type="dxa"/>
            <w:shd w:val="clear" w:color="auto" w:fill="auto"/>
            <w:noWrap/>
            <w:vAlign w:val="center"/>
            <w:hideMark/>
          </w:tcPr>
          <w:p w14:paraId="308E636D" w14:textId="618EB90F" w:rsidR="00B86AC3" w:rsidRPr="001D4028" w:rsidRDefault="00B86AC3" w:rsidP="003A7E90">
            <w:pPr>
              <w:spacing w:line="360" w:lineRule="auto"/>
              <w:rPr>
                <w:color w:val="000000"/>
              </w:rPr>
            </w:pPr>
            <w:r w:rsidRPr="001D4028">
              <w:rPr>
                <w:color w:val="000000"/>
              </w:rPr>
              <w:t>13 (35.0 %)</w:t>
            </w:r>
          </w:p>
        </w:tc>
      </w:tr>
      <w:tr w:rsidR="00B86AC3" w:rsidRPr="001D4028" w14:paraId="1EADE85D" w14:textId="77777777" w:rsidTr="001D4028">
        <w:trPr>
          <w:trHeight w:val="300"/>
        </w:trPr>
        <w:tc>
          <w:tcPr>
            <w:tcW w:w="7792" w:type="dxa"/>
            <w:shd w:val="clear" w:color="auto" w:fill="auto"/>
            <w:noWrap/>
            <w:vAlign w:val="center"/>
            <w:hideMark/>
          </w:tcPr>
          <w:p w14:paraId="6646A057" w14:textId="77777777" w:rsidR="00B86AC3" w:rsidRPr="001D4028" w:rsidRDefault="00B86AC3" w:rsidP="003A7E90">
            <w:pPr>
              <w:spacing w:line="360" w:lineRule="auto"/>
              <w:rPr>
                <w:color w:val="000000"/>
              </w:rPr>
            </w:pPr>
            <w:r w:rsidRPr="001D4028">
              <w:rPr>
                <w:color w:val="000000"/>
              </w:rPr>
              <w:t>Sometimes</w:t>
            </w:r>
          </w:p>
        </w:tc>
        <w:tc>
          <w:tcPr>
            <w:tcW w:w="1984" w:type="dxa"/>
            <w:shd w:val="clear" w:color="auto" w:fill="auto"/>
            <w:noWrap/>
            <w:vAlign w:val="center"/>
            <w:hideMark/>
          </w:tcPr>
          <w:p w14:paraId="3E821008" w14:textId="3B5E5E53" w:rsidR="00B86AC3" w:rsidRPr="001D4028" w:rsidRDefault="00B86AC3" w:rsidP="003A7E90">
            <w:pPr>
              <w:spacing w:line="360" w:lineRule="auto"/>
              <w:rPr>
                <w:color w:val="000000"/>
              </w:rPr>
            </w:pPr>
            <w:r w:rsidRPr="001D4028">
              <w:rPr>
                <w:color w:val="000000"/>
              </w:rPr>
              <w:t>1 (2.5 %)</w:t>
            </w:r>
          </w:p>
        </w:tc>
      </w:tr>
      <w:tr w:rsidR="00B86AC3" w:rsidRPr="001D4028" w14:paraId="28A952C3" w14:textId="77777777" w:rsidTr="001D4028">
        <w:trPr>
          <w:trHeight w:val="300"/>
        </w:trPr>
        <w:tc>
          <w:tcPr>
            <w:tcW w:w="7792" w:type="dxa"/>
            <w:shd w:val="clear" w:color="auto" w:fill="auto"/>
            <w:noWrap/>
            <w:vAlign w:val="center"/>
            <w:hideMark/>
          </w:tcPr>
          <w:p w14:paraId="10B7E904" w14:textId="77777777" w:rsidR="00B86AC3" w:rsidRPr="001D4028" w:rsidRDefault="00B86AC3" w:rsidP="003A7E90">
            <w:pPr>
              <w:spacing w:line="360" w:lineRule="auto"/>
              <w:rPr>
                <w:color w:val="000000"/>
              </w:rPr>
            </w:pPr>
            <w:r w:rsidRPr="001D4028">
              <w:rPr>
                <w:color w:val="000000"/>
              </w:rPr>
              <w:t>Infrequently</w:t>
            </w:r>
          </w:p>
        </w:tc>
        <w:tc>
          <w:tcPr>
            <w:tcW w:w="1984" w:type="dxa"/>
            <w:shd w:val="clear" w:color="auto" w:fill="auto"/>
            <w:noWrap/>
            <w:vAlign w:val="center"/>
            <w:hideMark/>
          </w:tcPr>
          <w:p w14:paraId="7A72FEE3" w14:textId="2E5562E1" w:rsidR="00B86AC3" w:rsidRPr="001D4028" w:rsidRDefault="00B86AC3" w:rsidP="003A7E90">
            <w:pPr>
              <w:spacing w:line="360" w:lineRule="auto"/>
              <w:rPr>
                <w:color w:val="000000"/>
              </w:rPr>
            </w:pPr>
            <w:r w:rsidRPr="001D4028">
              <w:rPr>
                <w:color w:val="000000"/>
              </w:rPr>
              <w:t>1 (2.5 %)</w:t>
            </w:r>
          </w:p>
        </w:tc>
      </w:tr>
      <w:tr w:rsidR="00B86AC3" w:rsidRPr="001D4028" w14:paraId="453A88BB" w14:textId="77777777" w:rsidTr="001D4028">
        <w:trPr>
          <w:trHeight w:val="300"/>
        </w:trPr>
        <w:tc>
          <w:tcPr>
            <w:tcW w:w="7792" w:type="dxa"/>
            <w:shd w:val="clear" w:color="auto" w:fill="auto"/>
            <w:noWrap/>
            <w:vAlign w:val="center"/>
            <w:hideMark/>
          </w:tcPr>
          <w:p w14:paraId="02D8C5E8" w14:textId="77777777" w:rsidR="00B86AC3" w:rsidRPr="001D4028" w:rsidRDefault="00B86AC3" w:rsidP="003A7E90">
            <w:pPr>
              <w:spacing w:line="360" w:lineRule="auto"/>
              <w:rPr>
                <w:color w:val="000000"/>
              </w:rPr>
            </w:pPr>
            <w:r w:rsidRPr="001D4028">
              <w:rPr>
                <w:color w:val="000000"/>
              </w:rPr>
              <w:t>Never</w:t>
            </w:r>
          </w:p>
        </w:tc>
        <w:tc>
          <w:tcPr>
            <w:tcW w:w="1984" w:type="dxa"/>
            <w:shd w:val="clear" w:color="auto" w:fill="auto"/>
            <w:noWrap/>
            <w:vAlign w:val="center"/>
            <w:hideMark/>
          </w:tcPr>
          <w:p w14:paraId="512CF832" w14:textId="1CBF2B94" w:rsidR="00B86AC3" w:rsidRPr="001D4028" w:rsidRDefault="00B86AC3" w:rsidP="003A7E90">
            <w:pPr>
              <w:spacing w:line="360" w:lineRule="auto"/>
              <w:rPr>
                <w:color w:val="000000"/>
              </w:rPr>
            </w:pPr>
            <w:r w:rsidRPr="001D4028">
              <w:rPr>
                <w:color w:val="000000"/>
              </w:rPr>
              <w:t>3 (7.5 %)</w:t>
            </w:r>
          </w:p>
        </w:tc>
      </w:tr>
      <w:tr w:rsidR="00B86AC3" w:rsidRPr="001D4028" w14:paraId="0718E757" w14:textId="77777777" w:rsidTr="001D4028">
        <w:trPr>
          <w:trHeight w:val="300"/>
        </w:trPr>
        <w:tc>
          <w:tcPr>
            <w:tcW w:w="9776" w:type="dxa"/>
            <w:gridSpan w:val="2"/>
            <w:shd w:val="clear" w:color="auto" w:fill="D9D9D9" w:themeFill="background1" w:themeFillShade="D9"/>
            <w:noWrap/>
            <w:vAlign w:val="center"/>
            <w:hideMark/>
          </w:tcPr>
          <w:p w14:paraId="4093F488" w14:textId="4FDF05CC" w:rsidR="00B86AC3" w:rsidRPr="001D4028" w:rsidRDefault="00984B69" w:rsidP="003A7E90">
            <w:pPr>
              <w:spacing w:line="360" w:lineRule="auto"/>
              <w:rPr>
                <w:color w:val="000000"/>
              </w:rPr>
            </w:pPr>
            <w:r w:rsidRPr="001D4028">
              <w:rPr>
                <w:color w:val="000000"/>
              </w:rPr>
              <w:t xml:space="preserve">Question 10. </w:t>
            </w:r>
            <w:r w:rsidR="00B86AC3" w:rsidRPr="001D4028">
              <w:rPr>
                <w:color w:val="000000"/>
              </w:rPr>
              <w:t>In your current practice, do you discuss risk of immune-related adverse events with patients prior to commencing checkpoint inhibitor immunotherapy?</w:t>
            </w:r>
          </w:p>
        </w:tc>
      </w:tr>
      <w:tr w:rsidR="00B86AC3" w:rsidRPr="001D4028" w14:paraId="4131A5BB" w14:textId="77777777" w:rsidTr="001D4028">
        <w:trPr>
          <w:trHeight w:val="300"/>
        </w:trPr>
        <w:tc>
          <w:tcPr>
            <w:tcW w:w="7792" w:type="dxa"/>
            <w:shd w:val="clear" w:color="auto" w:fill="auto"/>
            <w:noWrap/>
            <w:vAlign w:val="center"/>
            <w:hideMark/>
          </w:tcPr>
          <w:p w14:paraId="616FB797" w14:textId="77777777" w:rsidR="00B86AC3" w:rsidRPr="001D4028" w:rsidRDefault="00B86AC3" w:rsidP="003A7E90">
            <w:pPr>
              <w:spacing w:line="360" w:lineRule="auto"/>
              <w:rPr>
                <w:color w:val="000000"/>
              </w:rPr>
            </w:pPr>
            <w:r w:rsidRPr="001D4028">
              <w:rPr>
                <w:color w:val="000000"/>
              </w:rPr>
              <w:t>Always</w:t>
            </w:r>
          </w:p>
        </w:tc>
        <w:tc>
          <w:tcPr>
            <w:tcW w:w="1984" w:type="dxa"/>
            <w:shd w:val="clear" w:color="auto" w:fill="auto"/>
            <w:noWrap/>
            <w:vAlign w:val="center"/>
            <w:hideMark/>
          </w:tcPr>
          <w:p w14:paraId="15E30488" w14:textId="066CFB73" w:rsidR="00B86AC3" w:rsidRPr="001D4028" w:rsidRDefault="00B86AC3" w:rsidP="003A7E90">
            <w:pPr>
              <w:spacing w:line="360" w:lineRule="auto"/>
              <w:rPr>
                <w:color w:val="000000"/>
              </w:rPr>
            </w:pPr>
            <w:r w:rsidRPr="001D4028">
              <w:rPr>
                <w:color w:val="000000"/>
              </w:rPr>
              <w:t>37 (92.5 %)</w:t>
            </w:r>
          </w:p>
        </w:tc>
      </w:tr>
      <w:tr w:rsidR="00B86AC3" w:rsidRPr="001D4028" w14:paraId="2F201615" w14:textId="77777777" w:rsidTr="001D4028">
        <w:trPr>
          <w:trHeight w:val="300"/>
        </w:trPr>
        <w:tc>
          <w:tcPr>
            <w:tcW w:w="7792" w:type="dxa"/>
            <w:shd w:val="clear" w:color="auto" w:fill="auto"/>
            <w:noWrap/>
            <w:vAlign w:val="center"/>
            <w:hideMark/>
          </w:tcPr>
          <w:p w14:paraId="28AFC5FC" w14:textId="77777777" w:rsidR="00B86AC3" w:rsidRPr="001D4028" w:rsidRDefault="00B86AC3" w:rsidP="003A7E90">
            <w:pPr>
              <w:spacing w:line="360" w:lineRule="auto"/>
              <w:rPr>
                <w:color w:val="000000"/>
              </w:rPr>
            </w:pPr>
            <w:r w:rsidRPr="001D4028">
              <w:rPr>
                <w:color w:val="000000"/>
              </w:rPr>
              <w:t>Most of the time</w:t>
            </w:r>
          </w:p>
        </w:tc>
        <w:tc>
          <w:tcPr>
            <w:tcW w:w="1984" w:type="dxa"/>
            <w:shd w:val="clear" w:color="auto" w:fill="auto"/>
            <w:noWrap/>
            <w:vAlign w:val="center"/>
            <w:hideMark/>
          </w:tcPr>
          <w:p w14:paraId="7A4B2039" w14:textId="35C6DBBD" w:rsidR="00B86AC3" w:rsidRPr="001D4028" w:rsidRDefault="00B86AC3" w:rsidP="003A7E90">
            <w:pPr>
              <w:spacing w:line="360" w:lineRule="auto"/>
              <w:rPr>
                <w:color w:val="000000"/>
              </w:rPr>
            </w:pPr>
            <w:r w:rsidRPr="001D4028">
              <w:rPr>
                <w:color w:val="000000"/>
              </w:rPr>
              <w:t>2 (5.0 %)</w:t>
            </w:r>
          </w:p>
        </w:tc>
      </w:tr>
      <w:tr w:rsidR="00B86AC3" w:rsidRPr="001D4028" w14:paraId="06C66BAD" w14:textId="77777777" w:rsidTr="001D4028">
        <w:trPr>
          <w:trHeight w:val="300"/>
        </w:trPr>
        <w:tc>
          <w:tcPr>
            <w:tcW w:w="7792" w:type="dxa"/>
            <w:shd w:val="clear" w:color="auto" w:fill="auto"/>
            <w:noWrap/>
            <w:vAlign w:val="center"/>
            <w:hideMark/>
          </w:tcPr>
          <w:p w14:paraId="7CFBE257" w14:textId="77777777" w:rsidR="00B86AC3" w:rsidRPr="001D4028" w:rsidRDefault="00B86AC3" w:rsidP="003A7E90">
            <w:pPr>
              <w:spacing w:line="360" w:lineRule="auto"/>
              <w:rPr>
                <w:color w:val="000000"/>
              </w:rPr>
            </w:pPr>
            <w:r w:rsidRPr="001D4028">
              <w:rPr>
                <w:color w:val="000000"/>
              </w:rPr>
              <w:t>Sometimes</w:t>
            </w:r>
          </w:p>
        </w:tc>
        <w:tc>
          <w:tcPr>
            <w:tcW w:w="1984" w:type="dxa"/>
            <w:shd w:val="clear" w:color="auto" w:fill="auto"/>
            <w:noWrap/>
            <w:vAlign w:val="center"/>
            <w:hideMark/>
          </w:tcPr>
          <w:p w14:paraId="66272514" w14:textId="28E8B8E1" w:rsidR="00B86AC3" w:rsidRPr="001D4028" w:rsidRDefault="00B86AC3" w:rsidP="003A7E90">
            <w:pPr>
              <w:spacing w:line="360" w:lineRule="auto"/>
              <w:rPr>
                <w:color w:val="000000"/>
              </w:rPr>
            </w:pPr>
            <w:r w:rsidRPr="001D4028">
              <w:rPr>
                <w:color w:val="000000"/>
              </w:rPr>
              <w:t>1 (2.5 %)</w:t>
            </w:r>
          </w:p>
        </w:tc>
      </w:tr>
      <w:tr w:rsidR="00B86AC3" w:rsidRPr="001D4028" w14:paraId="7FBF20F7" w14:textId="77777777" w:rsidTr="001D4028">
        <w:trPr>
          <w:trHeight w:val="300"/>
        </w:trPr>
        <w:tc>
          <w:tcPr>
            <w:tcW w:w="7792" w:type="dxa"/>
            <w:shd w:val="clear" w:color="auto" w:fill="auto"/>
            <w:noWrap/>
            <w:vAlign w:val="center"/>
            <w:hideMark/>
          </w:tcPr>
          <w:p w14:paraId="051D858C" w14:textId="77777777" w:rsidR="00B86AC3" w:rsidRPr="001D4028" w:rsidRDefault="00B86AC3" w:rsidP="003A7E90">
            <w:pPr>
              <w:spacing w:line="360" w:lineRule="auto"/>
              <w:rPr>
                <w:color w:val="000000"/>
              </w:rPr>
            </w:pPr>
            <w:r w:rsidRPr="001D4028">
              <w:rPr>
                <w:color w:val="000000"/>
              </w:rPr>
              <w:t>Infrequently</w:t>
            </w:r>
          </w:p>
        </w:tc>
        <w:tc>
          <w:tcPr>
            <w:tcW w:w="1984" w:type="dxa"/>
            <w:shd w:val="clear" w:color="auto" w:fill="auto"/>
            <w:noWrap/>
            <w:vAlign w:val="center"/>
            <w:hideMark/>
          </w:tcPr>
          <w:p w14:paraId="5898FA17" w14:textId="0C45EE02" w:rsidR="00B86AC3" w:rsidRPr="001D4028" w:rsidRDefault="00B86AC3" w:rsidP="003A7E90">
            <w:pPr>
              <w:spacing w:line="360" w:lineRule="auto"/>
              <w:rPr>
                <w:color w:val="000000"/>
              </w:rPr>
            </w:pPr>
            <w:r w:rsidRPr="001D4028">
              <w:rPr>
                <w:color w:val="000000"/>
              </w:rPr>
              <w:t>0 (0.0 %)</w:t>
            </w:r>
          </w:p>
        </w:tc>
      </w:tr>
      <w:tr w:rsidR="00B86AC3" w:rsidRPr="001D4028" w14:paraId="59C059F3" w14:textId="77777777" w:rsidTr="001D4028">
        <w:trPr>
          <w:trHeight w:val="300"/>
        </w:trPr>
        <w:tc>
          <w:tcPr>
            <w:tcW w:w="7792" w:type="dxa"/>
            <w:shd w:val="clear" w:color="auto" w:fill="auto"/>
            <w:noWrap/>
            <w:vAlign w:val="center"/>
            <w:hideMark/>
          </w:tcPr>
          <w:p w14:paraId="6260910D" w14:textId="77777777" w:rsidR="00B86AC3" w:rsidRPr="001D4028" w:rsidRDefault="00B86AC3" w:rsidP="003A7E90">
            <w:pPr>
              <w:spacing w:line="360" w:lineRule="auto"/>
              <w:rPr>
                <w:color w:val="000000"/>
              </w:rPr>
            </w:pPr>
            <w:r w:rsidRPr="001D4028">
              <w:rPr>
                <w:color w:val="000000"/>
              </w:rPr>
              <w:t>Never</w:t>
            </w:r>
          </w:p>
        </w:tc>
        <w:tc>
          <w:tcPr>
            <w:tcW w:w="1984" w:type="dxa"/>
            <w:shd w:val="clear" w:color="auto" w:fill="auto"/>
            <w:noWrap/>
            <w:vAlign w:val="center"/>
            <w:hideMark/>
          </w:tcPr>
          <w:p w14:paraId="2DA97A2A" w14:textId="544B8B48" w:rsidR="00B86AC3" w:rsidRPr="001D4028" w:rsidRDefault="00B86AC3" w:rsidP="003A7E90">
            <w:pPr>
              <w:spacing w:line="360" w:lineRule="auto"/>
              <w:rPr>
                <w:color w:val="000000"/>
              </w:rPr>
            </w:pPr>
            <w:r w:rsidRPr="001D4028">
              <w:rPr>
                <w:color w:val="000000"/>
              </w:rPr>
              <w:t>0 (0.0 %)</w:t>
            </w:r>
          </w:p>
        </w:tc>
      </w:tr>
    </w:tbl>
    <w:p w14:paraId="16E69A1F" w14:textId="374809DB" w:rsidR="00B86AC3" w:rsidRPr="001D4028" w:rsidRDefault="00B86AC3" w:rsidP="003A7E90">
      <w:pPr>
        <w:autoSpaceDE w:val="0"/>
        <w:autoSpaceDN w:val="0"/>
        <w:adjustRightInd w:val="0"/>
        <w:spacing w:line="360" w:lineRule="auto"/>
        <w:jc w:val="both"/>
        <w:rPr>
          <w:color w:val="FF0000"/>
        </w:rPr>
      </w:pPr>
      <w:r w:rsidRPr="001D4028">
        <w:rPr>
          <w:rFonts w:eastAsiaTheme="majorEastAsia"/>
          <w:i/>
          <w:iCs/>
          <w:lang w:val="en-GB"/>
        </w:rPr>
        <w:t>All percentages expressed with denominator of total number of survey responses.</w:t>
      </w:r>
    </w:p>
    <w:p w14:paraId="2AFF34B6" w14:textId="77777777" w:rsidR="005B490C" w:rsidRDefault="005B490C" w:rsidP="003A7E90">
      <w:pPr>
        <w:autoSpaceDE w:val="0"/>
        <w:autoSpaceDN w:val="0"/>
        <w:adjustRightInd w:val="0"/>
        <w:spacing w:line="360" w:lineRule="auto"/>
        <w:jc w:val="both"/>
        <w:rPr>
          <w:color w:val="FF0000"/>
        </w:rPr>
      </w:pPr>
    </w:p>
    <w:p w14:paraId="207F836C" w14:textId="77777777" w:rsidR="003A7E90" w:rsidRDefault="003A7E90" w:rsidP="003A7E90">
      <w:pPr>
        <w:autoSpaceDE w:val="0"/>
        <w:autoSpaceDN w:val="0"/>
        <w:adjustRightInd w:val="0"/>
        <w:spacing w:line="360" w:lineRule="auto"/>
        <w:jc w:val="both"/>
        <w:rPr>
          <w:color w:val="FF0000"/>
        </w:rPr>
      </w:pPr>
    </w:p>
    <w:p w14:paraId="1A516FFE" w14:textId="77777777" w:rsidR="003A7E90" w:rsidRDefault="003A7E90" w:rsidP="003A7E90">
      <w:pPr>
        <w:autoSpaceDE w:val="0"/>
        <w:autoSpaceDN w:val="0"/>
        <w:adjustRightInd w:val="0"/>
        <w:spacing w:line="360" w:lineRule="auto"/>
        <w:jc w:val="both"/>
        <w:rPr>
          <w:color w:val="FF0000"/>
        </w:rPr>
      </w:pPr>
    </w:p>
    <w:p w14:paraId="32600FFB" w14:textId="77777777" w:rsidR="003A7E90" w:rsidRDefault="003A7E90" w:rsidP="003A7E90">
      <w:pPr>
        <w:autoSpaceDE w:val="0"/>
        <w:autoSpaceDN w:val="0"/>
        <w:adjustRightInd w:val="0"/>
        <w:spacing w:line="360" w:lineRule="auto"/>
        <w:jc w:val="both"/>
        <w:rPr>
          <w:color w:val="FF0000"/>
        </w:rPr>
      </w:pPr>
    </w:p>
    <w:p w14:paraId="37B2EE7F" w14:textId="77777777" w:rsidR="003A7E90" w:rsidRDefault="003A7E90" w:rsidP="003A7E90">
      <w:pPr>
        <w:autoSpaceDE w:val="0"/>
        <w:autoSpaceDN w:val="0"/>
        <w:adjustRightInd w:val="0"/>
        <w:spacing w:line="360" w:lineRule="auto"/>
        <w:jc w:val="both"/>
        <w:rPr>
          <w:color w:val="FF0000"/>
        </w:rPr>
      </w:pPr>
    </w:p>
    <w:p w14:paraId="3502B703" w14:textId="77777777" w:rsidR="003A7E90" w:rsidRDefault="003A7E90" w:rsidP="003A7E90">
      <w:pPr>
        <w:autoSpaceDE w:val="0"/>
        <w:autoSpaceDN w:val="0"/>
        <w:adjustRightInd w:val="0"/>
        <w:spacing w:line="360" w:lineRule="auto"/>
        <w:jc w:val="both"/>
        <w:rPr>
          <w:color w:val="FF0000"/>
        </w:rPr>
      </w:pPr>
    </w:p>
    <w:p w14:paraId="36E58C0B" w14:textId="77777777" w:rsidR="003A7E90" w:rsidRDefault="003A7E90" w:rsidP="003A7E90">
      <w:pPr>
        <w:autoSpaceDE w:val="0"/>
        <w:autoSpaceDN w:val="0"/>
        <w:adjustRightInd w:val="0"/>
        <w:spacing w:line="360" w:lineRule="auto"/>
        <w:jc w:val="both"/>
        <w:rPr>
          <w:color w:val="FF0000"/>
        </w:rPr>
      </w:pPr>
    </w:p>
    <w:p w14:paraId="443C7122" w14:textId="77777777" w:rsidR="003A7E90" w:rsidRDefault="003A7E90" w:rsidP="003A7E90">
      <w:pPr>
        <w:autoSpaceDE w:val="0"/>
        <w:autoSpaceDN w:val="0"/>
        <w:adjustRightInd w:val="0"/>
        <w:spacing w:line="360" w:lineRule="auto"/>
        <w:jc w:val="both"/>
        <w:rPr>
          <w:color w:val="FF0000"/>
        </w:rPr>
      </w:pPr>
    </w:p>
    <w:p w14:paraId="5437C18E" w14:textId="77777777" w:rsidR="003A7E90" w:rsidRPr="001D4028" w:rsidRDefault="003A7E90" w:rsidP="003A7E90">
      <w:pPr>
        <w:autoSpaceDE w:val="0"/>
        <w:autoSpaceDN w:val="0"/>
        <w:adjustRightInd w:val="0"/>
        <w:spacing w:line="360" w:lineRule="auto"/>
        <w:jc w:val="both"/>
        <w:rPr>
          <w:color w:val="FF0000"/>
        </w:rPr>
      </w:pPr>
    </w:p>
    <w:p w14:paraId="7AA9BE7E" w14:textId="40EB7F0F" w:rsidR="004D3A62" w:rsidRPr="001D4028" w:rsidRDefault="004F4AE5" w:rsidP="003A7E90">
      <w:pPr>
        <w:autoSpaceDE w:val="0"/>
        <w:autoSpaceDN w:val="0"/>
        <w:adjustRightInd w:val="0"/>
        <w:spacing w:line="360" w:lineRule="auto"/>
        <w:rPr>
          <w:i/>
          <w:iCs/>
        </w:rPr>
      </w:pPr>
      <w:r w:rsidRPr="001D4028">
        <w:rPr>
          <w:b/>
          <w:bCs/>
        </w:rPr>
        <w:lastRenderedPageBreak/>
        <w:t xml:space="preserve">Table </w:t>
      </w:r>
      <w:r w:rsidR="00EE1B1F" w:rsidRPr="001D4028">
        <w:rPr>
          <w:b/>
          <w:bCs/>
        </w:rPr>
        <w:t>S</w:t>
      </w:r>
      <w:r w:rsidRPr="001D4028">
        <w:rPr>
          <w:b/>
          <w:bCs/>
        </w:rPr>
        <w:t>3: Responses to potential risk prediction model</w:t>
      </w:r>
      <w:r w:rsidR="00BD4B17" w:rsidRPr="001D4028">
        <w:rPr>
          <w:b/>
          <w:bCs/>
        </w:rPr>
        <w:t>.</w:t>
      </w:r>
      <w:r w:rsidR="00D766CD" w:rsidRPr="001D4028">
        <w:rPr>
          <w:b/>
          <w:bCs/>
        </w:rPr>
        <w:t xml:space="preserve"> </w:t>
      </w:r>
      <w:r w:rsidR="00D766CD" w:rsidRPr="001D4028">
        <w:rPr>
          <w:i/>
          <w:iCs/>
        </w:rPr>
        <w:t>n = 40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562"/>
        <w:gridCol w:w="1984"/>
      </w:tblGrid>
      <w:tr w:rsidR="00EE6E4B" w:rsidRPr="001D4028" w14:paraId="0E23BC7F" w14:textId="77777777" w:rsidTr="001D4028">
        <w:trPr>
          <w:trHeight w:val="300"/>
        </w:trPr>
        <w:tc>
          <w:tcPr>
            <w:tcW w:w="7230" w:type="dxa"/>
            <w:shd w:val="clear" w:color="auto" w:fill="000000" w:themeFill="text1"/>
            <w:noWrap/>
            <w:vAlign w:val="center"/>
            <w:hideMark/>
          </w:tcPr>
          <w:p w14:paraId="22892DD4" w14:textId="3EDC8FE0" w:rsidR="004F4AE5" w:rsidRPr="001D4028" w:rsidRDefault="004F4AE5" w:rsidP="003A7E90">
            <w:pPr>
              <w:spacing w:line="360" w:lineRule="auto"/>
              <w:jc w:val="center"/>
              <w:rPr>
                <w:b/>
                <w:bCs/>
                <w:color w:val="FFFFFF" w:themeColor="background1"/>
              </w:rPr>
            </w:pPr>
            <w:r w:rsidRPr="001D4028">
              <w:rPr>
                <w:b/>
                <w:bCs/>
                <w:color w:val="FFFFFF" w:themeColor="background1"/>
              </w:rPr>
              <w:t>Survey Question</w:t>
            </w:r>
          </w:p>
        </w:tc>
        <w:tc>
          <w:tcPr>
            <w:tcW w:w="2546" w:type="dxa"/>
            <w:gridSpan w:val="2"/>
            <w:shd w:val="clear" w:color="auto" w:fill="000000" w:themeFill="text1"/>
            <w:noWrap/>
            <w:vAlign w:val="center"/>
            <w:hideMark/>
          </w:tcPr>
          <w:p w14:paraId="03AFE653" w14:textId="77777777" w:rsidR="004F4AE5" w:rsidRPr="001D4028" w:rsidRDefault="004F4AE5" w:rsidP="003A7E90">
            <w:pPr>
              <w:spacing w:line="360" w:lineRule="auto"/>
              <w:jc w:val="center"/>
              <w:rPr>
                <w:b/>
                <w:bCs/>
                <w:color w:val="FFFFFF" w:themeColor="background1"/>
              </w:rPr>
            </w:pPr>
            <w:r w:rsidRPr="001D4028">
              <w:rPr>
                <w:b/>
                <w:bCs/>
                <w:color w:val="FFFFFF" w:themeColor="background1"/>
              </w:rPr>
              <w:t>Response (%)</w:t>
            </w:r>
          </w:p>
        </w:tc>
      </w:tr>
      <w:tr w:rsidR="00EC68AE" w:rsidRPr="001D4028" w14:paraId="2E4CFB1B" w14:textId="77777777" w:rsidTr="001D4028">
        <w:trPr>
          <w:trHeight w:val="300"/>
        </w:trPr>
        <w:tc>
          <w:tcPr>
            <w:tcW w:w="9776" w:type="dxa"/>
            <w:gridSpan w:val="3"/>
            <w:shd w:val="clear" w:color="auto" w:fill="D9D9D9" w:themeFill="background1" w:themeFillShade="D9"/>
            <w:noWrap/>
            <w:vAlign w:val="center"/>
            <w:hideMark/>
          </w:tcPr>
          <w:p w14:paraId="178D99AB" w14:textId="7C0AC4C3" w:rsidR="00EC68AE" w:rsidRPr="001D4028" w:rsidRDefault="00984B69" w:rsidP="003A7E90">
            <w:pPr>
              <w:spacing w:line="360" w:lineRule="auto"/>
              <w:rPr>
                <w:color w:val="000000"/>
              </w:rPr>
            </w:pPr>
            <w:r w:rsidRPr="001D4028">
              <w:rPr>
                <w:color w:val="000000"/>
              </w:rPr>
              <w:t xml:space="preserve">Question 11. </w:t>
            </w:r>
            <w:r w:rsidR="00EC68AE" w:rsidRPr="001D4028">
              <w:rPr>
                <w:color w:val="000000"/>
              </w:rPr>
              <w:t>Assuming an irAE risk prediction tool is developed and validated for the cancer setting, how likely are you to use it in your current practice?</w:t>
            </w:r>
          </w:p>
        </w:tc>
      </w:tr>
      <w:tr w:rsidR="00EC68AE" w:rsidRPr="001D4028" w14:paraId="6421B0AB" w14:textId="77777777" w:rsidTr="001D4028">
        <w:trPr>
          <w:trHeight w:val="300"/>
        </w:trPr>
        <w:tc>
          <w:tcPr>
            <w:tcW w:w="7792" w:type="dxa"/>
            <w:gridSpan w:val="2"/>
            <w:shd w:val="clear" w:color="auto" w:fill="auto"/>
            <w:noWrap/>
            <w:vAlign w:val="center"/>
            <w:hideMark/>
          </w:tcPr>
          <w:p w14:paraId="5A4A074F" w14:textId="77777777" w:rsidR="00EC68AE" w:rsidRPr="001D4028" w:rsidRDefault="00EC68AE" w:rsidP="003A7E90">
            <w:pPr>
              <w:spacing w:line="360" w:lineRule="auto"/>
              <w:rPr>
                <w:color w:val="000000"/>
              </w:rPr>
            </w:pPr>
            <w:r w:rsidRPr="001D4028">
              <w:rPr>
                <w:color w:val="000000"/>
              </w:rPr>
              <w:t>Certainly</w:t>
            </w:r>
          </w:p>
        </w:tc>
        <w:tc>
          <w:tcPr>
            <w:tcW w:w="1984" w:type="dxa"/>
            <w:shd w:val="clear" w:color="auto" w:fill="auto"/>
            <w:noWrap/>
            <w:vAlign w:val="center"/>
            <w:hideMark/>
          </w:tcPr>
          <w:p w14:paraId="65074CFF" w14:textId="77777777" w:rsidR="00EC68AE" w:rsidRPr="001D4028" w:rsidRDefault="00EC68AE" w:rsidP="003A7E90">
            <w:pPr>
              <w:spacing w:line="360" w:lineRule="auto"/>
              <w:rPr>
                <w:color w:val="000000"/>
              </w:rPr>
            </w:pPr>
            <w:r w:rsidRPr="001D4028">
              <w:rPr>
                <w:color w:val="000000"/>
              </w:rPr>
              <w:t>11 (27.5 %)</w:t>
            </w:r>
          </w:p>
        </w:tc>
      </w:tr>
      <w:tr w:rsidR="00EC68AE" w:rsidRPr="001D4028" w14:paraId="32D4756A" w14:textId="77777777" w:rsidTr="001D4028">
        <w:trPr>
          <w:trHeight w:val="300"/>
        </w:trPr>
        <w:tc>
          <w:tcPr>
            <w:tcW w:w="7792" w:type="dxa"/>
            <w:gridSpan w:val="2"/>
            <w:shd w:val="clear" w:color="auto" w:fill="auto"/>
            <w:noWrap/>
            <w:vAlign w:val="center"/>
            <w:hideMark/>
          </w:tcPr>
          <w:p w14:paraId="7B838EBF" w14:textId="77777777" w:rsidR="00EC68AE" w:rsidRPr="001D4028" w:rsidRDefault="00EC68AE" w:rsidP="003A7E90">
            <w:pPr>
              <w:spacing w:line="360" w:lineRule="auto"/>
              <w:rPr>
                <w:color w:val="000000"/>
              </w:rPr>
            </w:pPr>
            <w:r w:rsidRPr="001D4028">
              <w:rPr>
                <w:color w:val="000000"/>
              </w:rPr>
              <w:t>Likely</w:t>
            </w:r>
          </w:p>
        </w:tc>
        <w:tc>
          <w:tcPr>
            <w:tcW w:w="1984" w:type="dxa"/>
            <w:shd w:val="clear" w:color="auto" w:fill="auto"/>
            <w:noWrap/>
            <w:vAlign w:val="center"/>
            <w:hideMark/>
          </w:tcPr>
          <w:p w14:paraId="0108348B" w14:textId="77777777" w:rsidR="00EC68AE" w:rsidRPr="001D4028" w:rsidRDefault="00EC68AE" w:rsidP="003A7E90">
            <w:pPr>
              <w:spacing w:line="360" w:lineRule="auto"/>
              <w:rPr>
                <w:color w:val="000000"/>
              </w:rPr>
            </w:pPr>
            <w:r w:rsidRPr="001D4028">
              <w:rPr>
                <w:color w:val="000000"/>
              </w:rPr>
              <w:t>22 (55.0 %)</w:t>
            </w:r>
          </w:p>
        </w:tc>
      </w:tr>
      <w:tr w:rsidR="00EC68AE" w:rsidRPr="001D4028" w14:paraId="1431952A" w14:textId="77777777" w:rsidTr="001D4028">
        <w:trPr>
          <w:trHeight w:val="300"/>
        </w:trPr>
        <w:tc>
          <w:tcPr>
            <w:tcW w:w="7792" w:type="dxa"/>
            <w:gridSpan w:val="2"/>
            <w:shd w:val="clear" w:color="auto" w:fill="auto"/>
            <w:noWrap/>
            <w:vAlign w:val="center"/>
            <w:hideMark/>
          </w:tcPr>
          <w:p w14:paraId="1BA930D6" w14:textId="77777777" w:rsidR="00EC68AE" w:rsidRPr="001D4028" w:rsidRDefault="00EC68AE" w:rsidP="003A7E90">
            <w:pPr>
              <w:spacing w:line="360" w:lineRule="auto"/>
              <w:rPr>
                <w:color w:val="000000"/>
              </w:rPr>
            </w:pPr>
            <w:r w:rsidRPr="001D4028">
              <w:rPr>
                <w:color w:val="000000"/>
              </w:rPr>
              <w:t>Possibly</w:t>
            </w:r>
          </w:p>
        </w:tc>
        <w:tc>
          <w:tcPr>
            <w:tcW w:w="1984" w:type="dxa"/>
            <w:shd w:val="clear" w:color="auto" w:fill="auto"/>
            <w:noWrap/>
            <w:vAlign w:val="center"/>
            <w:hideMark/>
          </w:tcPr>
          <w:p w14:paraId="44C3521A" w14:textId="77777777" w:rsidR="00EC68AE" w:rsidRPr="001D4028" w:rsidRDefault="00EC68AE" w:rsidP="003A7E90">
            <w:pPr>
              <w:spacing w:line="360" w:lineRule="auto"/>
              <w:rPr>
                <w:color w:val="000000"/>
              </w:rPr>
            </w:pPr>
            <w:r w:rsidRPr="001D4028">
              <w:rPr>
                <w:color w:val="000000"/>
              </w:rPr>
              <w:t>7 (17.5 %)</w:t>
            </w:r>
          </w:p>
        </w:tc>
      </w:tr>
      <w:tr w:rsidR="00EC68AE" w:rsidRPr="001D4028" w14:paraId="0373CF1D" w14:textId="77777777" w:rsidTr="001D4028">
        <w:trPr>
          <w:trHeight w:val="300"/>
        </w:trPr>
        <w:tc>
          <w:tcPr>
            <w:tcW w:w="7792" w:type="dxa"/>
            <w:gridSpan w:val="2"/>
            <w:shd w:val="clear" w:color="auto" w:fill="auto"/>
            <w:noWrap/>
            <w:vAlign w:val="center"/>
            <w:hideMark/>
          </w:tcPr>
          <w:p w14:paraId="4D3422BB" w14:textId="77777777" w:rsidR="00EC68AE" w:rsidRPr="001D4028" w:rsidRDefault="00EC68AE" w:rsidP="003A7E90">
            <w:pPr>
              <w:spacing w:line="360" w:lineRule="auto"/>
              <w:rPr>
                <w:color w:val="000000"/>
              </w:rPr>
            </w:pPr>
            <w:r w:rsidRPr="001D4028">
              <w:rPr>
                <w:color w:val="000000"/>
              </w:rPr>
              <w:t>Unlikely</w:t>
            </w:r>
          </w:p>
        </w:tc>
        <w:tc>
          <w:tcPr>
            <w:tcW w:w="1984" w:type="dxa"/>
            <w:shd w:val="clear" w:color="auto" w:fill="auto"/>
            <w:noWrap/>
            <w:vAlign w:val="center"/>
            <w:hideMark/>
          </w:tcPr>
          <w:p w14:paraId="64253BCB" w14:textId="77777777" w:rsidR="00EC68AE" w:rsidRPr="001D4028" w:rsidRDefault="00EC68AE" w:rsidP="003A7E90">
            <w:pPr>
              <w:spacing w:line="360" w:lineRule="auto"/>
              <w:rPr>
                <w:color w:val="000000"/>
              </w:rPr>
            </w:pPr>
            <w:r w:rsidRPr="001D4028">
              <w:rPr>
                <w:color w:val="000000"/>
              </w:rPr>
              <w:t>0 (0.0 %)</w:t>
            </w:r>
          </w:p>
        </w:tc>
      </w:tr>
      <w:tr w:rsidR="00EC68AE" w:rsidRPr="001D4028" w14:paraId="3BADDA4F" w14:textId="77777777" w:rsidTr="001D4028">
        <w:trPr>
          <w:trHeight w:val="300"/>
        </w:trPr>
        <w:tc>
          <w:tcPr>
            <w:tcW w:w="7792" w:type="dxa"/>
            <w:gridSpan w:val="2"/>
            <w:shd w:val="clear" w:color="auto" w:fill="auto"/>
            <w:noWrap/>
            <w:vAlign w:val="center"/>
            <w:hideMark/>
          </w:tcPr>
          <w:p w14:paraId="0CDD4263" w14:textId="77777777" w:rsidR="00EC68AE" w:rsidRPr="001D4028" w:rsidRDefault="00EC68AE" w:rsidP="003A7E90">
            <w:pPr>
              <w:spacing w:line="360" w:lineRule="auto"/>
              <w:rPr>
                <w:color w:val="000000"/>
              </w:rPr>
            </w:pPr>
            <w:r w:rsidRPr="001D4028">
              <w:rPr>
                <w:color w:val="000000"/>
              </w:rPr>
              <w:t>Not at all</w:t>
            </w:r>
          </w:p>
        </w:tc>
        <w:tc>
          <w:tcPr>
            <w:tcW w:w="1984" w:type="dxa"/>
            <w:shd w:val="clear" w:color="auto" w:fill="auto"/>
            <w:noWrap/>
            <w:vAlign w:val="center"/>
            <w:hideMark/>
          </w:tcPr>
          <w:p w14:paraId="1F4881F2" w14:textId="77777777" w:rsidR="00EC68AE" w:rsidRPr="001D4028" w:rsidRDefault="00EC68AE" w:rsidP="003A7E90">
            <w:pPr>
              <w:spacing w:line="360" w:lineRule="auto"/>
              <w:rPr>
                <w:color w:val="000000"/>
              </w:rPr>
            </w:pPr>
            <w:r w:rsidRPr="001D4028">
              <w:rPr>
                <w:color w:val="000000"/>
              </w:rPr>
              <w:t>0 (0.0 %)</w:t>
            </w:r>
          </w:p>
        </w:tc>
      </w:tr>
      <w:tr w:rsidR="00EC68AE" w:rsidRPr="001D4028" w14:paraId="5CCC8B10" w14:textId="77777777" w:rsidTr="001D4028">
        <w:trPr>
          <w:trHeight w:val="300"/>
        </w:trPr>
        <w:tc>
          <w:tcPr>
            <w:tcW w:w="9776" w:type="dxa"/>
            <w:gridSpan w:val="3"/>
            <w:shd w:val="clear" w:color="auto" w:fill="D9D9D9" w:themeFill="background1" w:themeFillShade="D9"/>
            <w:noWrap/>
            <w:vAlign w:val="center"/>
            <w:hideMark/>
          </w:tcPr>
          <w:p w14:paraId="73D56690" w14:textId="61C6F992" w:rsidR="00EC68AE" w:rsidRPr="001D4028" w:rsidRDefault="00984B69" w:rsidP="003A7E90">
            <w:pPr>
              <w:spacing w:line="360" w:lineRule="auto"/>
              <w:rPr>
                <w:color w:val="000000"/>
              </w:rPr>
            </w:pPr>
            <w:r w:rsidRPr="001D4028">
              <w:rPr>
                <w:color w:val="000000"/>
              </w:rPr>
              <w:t xml:space="preserve">Question 12. </w:t>
            </w:r>
            <w:r w:rsidR="00EC68AE" w:rsidRPr="001D4028">
              <w:rPr>
                <w:color w:val="000000"/>
              </w:rPr>
              <w:t>How likely are you to use irAE risk prediction in treatment discussions with individual patients?</w:t>
            </w:r>
          </w:p>
        </w:tc>
      </w:tr>
      <w:tr w:rsidR="00EC68AE" w:rsidRPr="001D4028" w14:paraId="1FA178B7" w14:textId="77777777" w:rsidTr="001D4028">
        <w:trPr>
          <w:trHeight w:val="300"/>
        </w:trPr>
        <w:tc>
          <w:tcPr>
            <w:tcW w:w="7792" w:type="dxa"/>
            <w:gridSpan w:val="2"/>
            <w:shd w:val="clear" w:color="auto" w:fill="auto"/>
            <w:noWrap/>
            <w:vAlign w:val="center"/>
            <w:hideMark/>
          </w:tcPr>
          <w:p w14:paraId="2DFFBC1B" w14:textId="77777777" w:rsidR="00EC68AE" w:rsidRPr="001D4028" w:rsidRDefault="00EC68AE" w:rsidP="003A7E90">
            <w:pPr>
              <w:spacing w:line="360" w:lineRule="auto"/>
              <w:rPr>
                <w:color w:val="000000"/>
              </w:rPr>
            </w:pPr>
            <w:r w:rsidRPr="001D4028">
              <w:rPr>
                <w:color w:val="000000"/>
              </w:rPr>
              <w:t>Certainly</w:t>
            </w:r>
          </w:p>
        </w:tc>
        <w:tc>
          <w:tcPr>
            <w:tcW w:w="1984" w:type="dxa"/>
            <w:shd w:val="clear" w:color="auto" w:fill="auto"/>
            <w:noWrap/>
            <w:vAlign w:val="center"/>
            <w:hideMark/>
          </w:tcPr>
          <w:p w14:paraId="46E022BD" w14:textId="77777777" w:rsidR="00EC68AE" w:rsidRPr="001D4028" w:rsidRDefault="00EC68AE" w:rsidP="003A7E90">
            <w:pPr>
              <w:spacing w:line="360" w:lineRule="auto"/>
              <w:rPr>
                <w:color w:val="000000"/>
              </w:rPr>
            </w:pPr>
            <w:r w:rsidRPr="001D4028">
              <w:rPr>
                <w:color w:val="000000"/>
              </w:rPr>
              <w:t>12 (30.0 %)</w:t>
            </w:r>
          </w:p>
        </w:tc>
      </w:tr>
      <w:tr w:rsidR="00EC68AE" w:rsidRPr="001D4028" w14:paraId="220F36CB" w14:textId="77777777" w:rsidTr="001D4028">
        <w:trPr>
          <w:trHeight w:val="300"/>
        </w:trPr>
        <w:tc>
          <w:tcPr>
            <w:tcW w:w="7792" w:type="dxa"/>
            <w:gridSpan w:val="2"/>
            <w:shd w:val="clear" w:color="auto" w:fill="auto"/>
            <w:noWrap/>
            <w:vAlign w:val="center"/>
            <w:hideMark/>
          </w:tcPr>
          <w:p w14:paraId="10A0C5F9" w14:textId="77777777" w:rsidR="00EC68AE" w:rsidRPr="001D4028" w:rsidRDefault="00EC68AE" w:rsidP="003A7E90">
            <w:pPr>
              <w:spacing w:line="360" w:lineRule="auto"/>
              <w:rPr>
                <w:color w:val="000000"/>
              </w:rPr>
            </w:pPr>
            <w:r w:rsidRPr="001D4028">
              <w:rPr>
                <w:color w:val="000000"/>
              </w:rPr>
              <w:t>Likely</w:t>
            </w:r>
          </w:p>
        </w:tc>
        <w:tc>
          <w:tcPr>
            <w:tcW w:w="1984" w:type="dxa"/>
            <w:shd w:val="clear" w:color="auto" w:fill="auto"/>
            <w:noWrap/>
            <w:vAlign w:val="center"/>
            <w:hideMark/>
          </w:tcPr>
          <w:p w14:paraId="02D78B7F" w14:textId="77777777" w:rsidR="00EC68AE" w:rsidRPr="001D4028" w:rsidRDefault="00EC68AE" w:rsidP="003A7E90">
            <w:pPr>
              <w:spacing w:line="360" w:lineRule="auto"/>
              <w:rPr>
                <w:color w:val="000000"/>
              </w:rPr>
            </w:pPr>
            <w:r w:rsidRPr="001D4028">
              <w:rPr>
                <w:color w:val="000000"/>
              </w:rPr>
              <w:t>24 (60.0 %)</w:t>
            </w:r>
          </w:p>
        </w:tc>
      </w:tr>
      <w:tr w:rsidR="00EC68AE" w:rsidRPr="001D4028" w14:paraId="6CE9869F" w14:textId="77777777" w:rsidTr="001D4028">
        <w:trPr>
          <w:trHeight w:val="300"/>
        </w:trPr>
        <w:tc>
          <w:tcPr>
            <w:tcW w:w="7792" w:type="dxa"/>
            <w:gridSpan w:val="2"/>
            <w:shd w:val="clear" w:color="auto" w:fill="auto"/>
            <w:noWrap/>
            <w:vAlign w:val="center"/>
            <w:hideMark/>
          </w:tcPr>
          <w:p w14:paraId="3CB5D14E" w14:textId="77777777" w:rsidR="00EC68AE" w:rsidRPr="001D4028" w:rsidRDefault="00EC68AE" w:rsidP="003A7E90">
            <w:pPr>
              <w:spacing w:line="360" w:lineRule="auto"/>
              <w:rPr>
                <w:color w:val="000000"/>
              </w:rPr>
            </w:pPr>
            <w:r w:rsidRPr="001D4028">
              <w:rPr>
                <w:color w:val="000000"/>
              </w:rPr>
              <w:t>Possibly</w:t>
            </w:r>
          </w:p>
        </w:tc>
        <w:tc>
          <w:tcPr>
            <w:tcW w:w="1984" w:type="dxa"/>
            <w:shd w:val="clear" w:color="auto" w:fill="auto"/>
            <w:noWrap/>
            <w:vAlign w:val="center"/>
            <w:hideMark/>
          </w:tcPr>
          <w:p w14:paraId="262B79B9" w14:textId="77777777" w:rsidR="00EC68AE" w:rsidRPr="001D4028" w:rsidRDefault="00EC68AE" w:rsidP="003A7E90">
            <w:pPr>
              <w:spacing w:line="360" w:lineRule="auto"/>
              <w:rPr>
                <w:color w:val="000000"/>
              </w:rPr>
            </w:pPr>
            <w:r w:rsidRPr="001D4028">
              <w:rPr>
                <w:color w:val="000000"/>
              </w:rPr>
              <w:t>4 (10.0 %)</w:t>
            </w:r>
          </w:p>
        </w:tc>
      </w:tr>
      <w:tr w:rsidR="00EC68AE" w:rsidRPr="001D4028" w14:paraId="5C432FDA" w14:textId="77777777" w:rsidTr="001D4028">
        <w:trPr>
          <w:trHeight w:val="300"/>
        </w:trPr>
        <w:tc>
          <w:tcPr>
            <w:tcW w:w="7792" w:type="dxa"/>
            <w:gridSpan w:val="2"/>
            <w:shd w:val="clear" w:color="auto" w:fill="auto"/>
            <w:noWrap/>
            <w:vAlign w:val="center"/>
            <w:hideMark/>
          </w:tcPr>
          <w:p w14:paraId="55DE687D" w14:textId="77777777" w:rsidR="00EC68AE" w:rsidRPr="001D4028" w:rsidRDefault="00EC68AE" w:rsidP="003A7E90">
            <w:pPr>
              <w:spacing w:line="360" w:lineRule="auto"/>
              <w:rPr>
                <w:color w:val="000000"/>
              </w:rPr>
            </w:pPr>
            <w:r w:rsidRPr="001D4028">
              <w:rPr>
                <w:color w:val="000000"/>
              </w:rPr>
              <w:t>Unlikely</w:t>
            </w:r>
          </w:p>
        </w:tc>
        <w:tc>
          <w:tcPr>
            <w:tcW w:w="1984" w:type="dxa"/>
            <w:shd w:val="clear" w:color="auto" w:fill="auto"/>
            <w:noWrap/>
            <w:vAlign w:val="center"/>
            <w:hideMark/>
          </w:tcPr>
          <w:p w14:paraId="505B5E73" w14:textId="77777777" w:rsidR="00EC68AE" w:rsidRPr="001D4028" w:rsidRDefault="00EC68AE" w:rsidP="003A7E90">
            <w:pPr>
              <w:spacing w:line="360" w:lineRule="auto"/>
              <w:rPr>
                <w:color w:val="000000"/>
              </w:rPr>
            </w:pPr>
            <w:r w:rsidRPr="001D4028">
              <w:rPr>
                <w:color w:val="000000"/>
              </w:rPr>
              <w:t>0 (0.0 %)</w:t>
            </w:r>
          </w:p>
        </w:tc>
      </w:tr>
      <w:tr w:rsidR="00EC68AE" w:rsidRPr="001D4028" w14:paraId="2F7DA5DA" w14:textId="77777777" w:rsidTr="001D4028">
        <w:trPr>
          <w:trHeight w:val="300"/>
        </w:trPr>
        <w:tc>
          <w:tcPr>
            <w:tcW w:w="7792" w:type="dxa"/>
            <w:gridSpan w:val="2"/>
            <w:shd w:val="clear" w:color="auto" w:fill="auto"/>
            <w:noWrap/>
            <w:vAlign w:val="center"/>
            <w:hideMark/>
          </w:tcPr>
          <w:p w14:paraId="188FA261" w14:textId="77777777" w:rsidR="00EC68AE" w:rsidRPr="001D4028" w:rsidRDefault="00EC68AE" w:rsidP="003A7E90">
            <w:pPr>
              <w:spacing w:line="360" w:lineRule="auto"/>
              <w:rPr>
                <w:color w:val="000000"/>
              </w:rPr>
            </w:pPr>
            <w:r w:rsidRPr="001D4028">
              <w:rPr>
                <w:color w:val="000000"/>
              </w:rPr>
              <w:t>Not at all</w:t>
            </w:r>
          </w:p>
        </w:tc>
        <w:tc>
          <w:tcPr>
            <w:tcW w:w="1984" w:type="dxa"/>
            <w:shd w:val="clear" w:color="auto" w:fill="auto"/>
            <w:noWrap/>
            <w:vAlign w:val="center"/>
            <w:hideMark/>
          </w:tcPr>
          <w:p w14:paraId="59551118" w14:textId="77777777" w:rsidR="00EC68AE" w:rsidRPr="001D4028" w:rsidRDefault="00EC68AE" w:rsidP="003A7E90">
            <w:pPr>
              <w:spacing w:line="360" w:lineRule="auto"/>
              <w:rPr>
                <w:color w:val="000000"/>
              </w:rPr>
            </w:pPr>
            <w:r w:rsidRPr="001D4028">
              <w:rPr>
                <w:color w:val="000000"/>
              </w:rPr>
              <w:t>0 (0.0 %)</w:t>
            </w:r>
          </w:p>
        </w:tc>
      </w:tr>
      <w:tr w:rsidR="00EC68AE" w:rsidRPr="001D4028" w14:paraId="1D081CD5" w14:textId="77777777" w:rsidTr="001D4028">
        <w:trPr>
          <w:trHeight w:val="300"/>
        </w:trPr>
        <w:tc>
          <w:tcPr>
            <w:tcW w:w="9776" w:type="dxa"/>
            <w:gridSpan w:val="3"/>
            <w:shd w:val="clear" w:color="auto" w:fill="D9D9D9" w:themeFill="background1" w:themeFillShade="D9"/>
            <w:noWrap/>
            <w:vAlign w:val="center"/>
            <w:hideMark/>
          </w:tcPr>
          <w:p w14:paraId="3F3CDD71" w14:textId="46799A9A" w:rsidR="00EC68AE" w:rsidRPr="001D4028" w:rsidRDefault="009C55CD" w:rsidP="003A7E90">
            <w:pPr>
              <w:spacing w:line="360" w:lineRule="auto"/>
              <w:rPr>
                <w:color w:val="000000"/>
              </w:rPr>
            </w:pPr>
            <w:r w:rsidRPr="001D4028">
              <w:rPr>
                <w:color w:val="000000"/>
              </w:rPr>
              <w:t xml:space="preserve">Question 13. </w:t>
            </w:r>
            <w:r w:rsidR="00EC68AE" w:rsidRPr="001D4028">
              <w:rPr>
                <w:color w:val="000000"/>
              </w:rPr>
              <w:t>How likely are you to use irAE risk prediction in treatment decision-making?</w:t>
            </w:r>
          </w:p>
        </w:tc>
      </w:tr>
      <w:tr w:rsidR="00EC68AE" w:rsidRPr="001D4028" w14:paraId="05C172A9" w14:textId="77777777" w:rsidTr="001D4028">
        <w:trPr>
          <w:trHeight w:val="300"/>
        </w:trPr>
        <w:tc>
          <w:tcPr>
            <w:tcW w:w="7792" w:type="dxa"/>
            <w:gridSpan w:val="2"/>
            <w:shd w:val="clear" w:color="auto" w:fill="auto"/>
            <w:noWrap/>
            <w:vAlign w:val="center"/>
            <w:hideMark/>
          </w:tcPr>
          <w:p w14:paraId="5B46D69E" w14:textId="77777777" w:rsidR="00EC68AE" w:rsidRPr="001D4028" w:rsidRDefault="00EC68AE" w:rsidP="003A7E90">
            <w:pPr>
              <w:spacing w:line="360" w:lineRule="auto"/>
              <w:rPr>
                <w:color w:val="000000"/>
              </w:rPr>
            </w:pPr>
            <w:r w:rsidRPr="001D4028">
              <w:rPr>
                <w:color w:val="000000"/>
              </w:rPr>
              <w:t>Certainly</w:t>
            </w:r>
          </w:p>
        </w:tc>
        <w:tc>
          <w:tcPr>
            <w:tcW w:w="1984" w:type="dxa"/>
            <w:shd w:val="clear" w:color="auto" w:fill="auto"/>
            <w:noWrap/>
            <w:vAlign w:val="center"/>
            <w:hideMark/>
          </w:tcPr>
          <w:p w14:paraId="47A450ED" w14:textId="77777777" w:rsidR="00EC68AE" w:rsidRPr="001D4028" w:rsidRDefault="00EC68AE" w:rsidP="003A7E90">
            <w:pPr>
              <w:spacing w:line="360" w:lineRule="auto"/>
              <w:rPr>
                <w:color w:val="000000"/>
              </w:rPr>
            </w:pPr>
            <w:r w:rsidRPr="001D4028">
              <w:rPr>
                <w:color w:val="000000"/>
              </w:rPr>
              <w:t>9 (22.5 %)</w:t>
            </w:r>
          </w:p>
        </w:tc>
      </w:tr>
      <w:tr w:rsidR="00EC68AE" w:rsidRPr="001D4028" w14:paraId="3D6F9E10" w14:textId="77777777" w:rsidTr="001D4028">
        <w:trPr>
          <w:trHeight w:val="300"/>
        </w:trPr>
        <w:tc>
          <w:tcPr>
            <w:tcW w:w="7792" w:type="dxa"/>
            <w:gridSpan w:val="2"/>
            <w:shd w:val="clear" w:color="auto" w:fill="auto"/>
            <w:noWrap/>
            <w:vAlign w:val="center"/>
            <w:hideMark/>
          </w:tcPr>
          <w:p w14:paraId="695879B6" w14:textId="77777777" w:rsidR="00EC68AE" w:rsidRPr="001D4028" w:rsidRDefault="00EC68AE" w:rsidP="003A7E90">
            <w:pPr>
              <w:spacing w:line="360" w:lineRule="auto"/>
              <w:rPr>
                <w:color w:val="000000"/>
              </w:rPr>
            </w:pPr>
            <w:r w:rsidRPr="001D4028">
              <w:rPr>
                <w:color w:val="000000"/>
              </w:rPr>
              <w:t>Likely</w:t>
            </w:r>
          </w:p>
        </w:tc>
        <w:tc>
          <w:tcPr>
            <w:tcW w:w="1984" w:type="dxa"/>
            <w:shd w:val="clear" w:color="auto" w:fill="auto"/>
            <w:noWrap/>
            <w:vAlign w:val="center"/>
            <w:hideMark/>
          </w:tcPr>
          <w:p w14:paraId="02421D6D" w14:textId="77777777" w:rsidR="00EC68AE" w:rsidRPr="001D4028" w:rsidRDefault="00EC68AE" w:rsidP="003A7E90">
            <w:pPr>
              <w:spacing w:line="360" w:lineRule="auto"/>
              <w:rPr>
                <w:color w:val="000000"/>
              </w:rPr>
            </w:pPr>
            <w:r w:rsidRPr="001D4028">
              <w:rPr>
                <w:color w:val="000000"/>
              </w:rPr>
              <w:t>19 (47.5 %)</w:t>
            </w:r>
          </w:p>
        </w:tc>
      </w:tr>
      <w:tr w:rsidR="00EC68AE" w:rsidRPr="001D4028" w14:paraId="104786B7" w14:textId="77777777" w:rsidTr="001D4028">
        <w:trPr>
          <w:trHeight w:val="300"/>
        </w:trPr>
        <w:tc>
          <w:tcPr>
            <w:tcW w:w="7792" w:type="dxa"/>
            <w:gridSpan w:val="2"/>
            <w:shd w:val="clear" w:color="auto" w:fill="auto"/>
            <w:noWrap/>
            <w:vAlign w:val="center"/>
            <w:hideMark/>
          </w:tcPr>
          <w:p w14:paraId="7E0F9FE2" w14:textId="77777777" w:rsidR="00EC68AE" w:rsidRPr="001D4028" w:rsidRDefault="00EC68AE" w:rsidP="003A7E90">
            <w:pPr>
              <w:spacing w:line="360" w:lineRule="auto"/>
              <w:rPr>
                <w:color w:val="000000"/>
              </w:rPr>
            </w:pPr>
            <w:r w:rsidRPr="001D4028">
              <w:rPr>
                <w:color w:val="000000"/>
              </w:rPr>
              <w:t>Possibly</w:t>
            </w:r>
          </w:p>
        </w:tc>
        <w:tc>
          <w:tcPr>
            <w:tcW w:w="1984" w:type="dxa"/>
            <w:shd w:val="clear" w:color="auto" w:fill="auto"/>
            <w:noWrap/>
            <w:vAlign w:val="center"/>
            <w:hideMark/>
          </w:tcPr>
          <w:p w14:paraId="38758A4D" w14:textId="77777777" w:rsidR="00EC68AE" w:rsidRPr="001D4028" w:rsidRDefault="00EC68AE" w:rsidP="003A7E90">
            <w:pPr>
              <w:spacing w:line="360" w:lineRule="auto"/>
              <w:rPr>
                <w:color w:val="000000"/>
              </w:rPr>
            </w:pPr>
            <w:r w:rsidRPr="001D4028">
              <w:rPr>
                <w:color w:val="000000"/>
              </w:rPr>
              <w:t>12 (30.0 %)</w:t>
            </w:r>
          </w:p>
        </w:tc>
      </w:tr>
      <w:tr w:rsidR="00EC68AE" w:rsidRPr="001D4028" w14:paraId="3A211B19" w14:textId="77777777" w:rsidTr="001D4028">
        <w:trPr>
          <w:trHeight w:val="300"/>
        </w:trPr>
        <w:tc>
          <w:tcPr>
            <w:tcW w:w="7792" w:type="dxa"/>
            <w:gridSpan w:val="2"/>
            <w:shd w:val="clear" w:color="auto" w:fill="auto"/>
            <w:noWrap/>
            <w:vAlign w:val="center"/>
            <w:hideMark/>
          </w:tcPr>
          <w:p w14:paraId="2307CCAF" w14:textId="77777777" w:rsidR="00EC68AE" w:rsidRPr="001D4028" w:rsidRDefault="00EC68AE" w:rsidP="003A7E90">
            <w:pPr>
              <w:spacing w:line="360" w:lineRule="auto"/>
              <w:rPr>
                <w:color w:val="000000"/>
              </w:rPr>
            </w:pPr>
            <w:r w:rsidRPr="001D4028">
              <w:rPr>
                <w:color w:val="000000"/>
              </w:rPr>
              <w:t>Unlikely</w:t>
            </w:r>
          </w:p>
        </w:tc>
        <w:tc>
          <w:tcPr>
            <w:tcW w:w="1984" w:type="dxa"/>
            <w:shd w:val="clear" w:color="auto" w:fill="auto"/>
            <w:noWrap/>
            <w:vAlign w:val="center"/>
            <w:hideMark/>
          </w:tcPr>
          <w:p w14:paraId="7D4423DF" w14:textId="77777777" w:rsidR="00EC68AE" w:rsidRPr="001D4028" w:rsidRDefault="00EC68AE" w:rsidP="003A7E90">
            <w:pPr>
              <w:spacing w:line="360" w:lineRule="auto"/>
              <w:rPr>
                <w:color w:val="000000"/>
              </w:rPr>
            </w:pPr>
            <w:r w:rsidRPr="001D4028">
              <w:rPr>
                <w:color w:val="000000"/>
              </w:rPr>
              <w:t>0 (0.0 %)</w:t>
            </w:r>
          </w:p>
        </w:tc>
      </w:tr>
      <w:tr w:rsidR="00EC68AE" w:rsidRPr="001D4028" w14:paraId="69911B69" w14:textId="77777777" w:rsidTr="001D4028">
        <w:trPr>
          <w:trHeight w:val="300"/>
        </w:trPr>
        <w:tc>
          <w:tcPr>
            <w:tcW w:w="7792" w:type="dxa"/>
            <w:gridSpan w:val="2"/>
            <w:shd w:val="clear" w:color="auto" w:fill="auto"/>
            <w:noWrap/>
            <w:vAlign w:val="center"/>
            <w:hideMark/>
          </w:tcPr>
          <w:p w14:paraId="231955F1" w14:textId="77777777" w:rsidR="00EC68AE" w:rsidRPr="001D4028" w:rsidRDefault="00EC68AE" w:rsidP="003A7E90">
            <w:pPr>
              <w:spacing w:line="360" w:lineRule="auto"/>
              <w:rPr>
                <w:color w:val="000000"/>
              </w:rPr>
            </w:pPr>
            <w:r w:rsidRPr="001D4028">
              <w:rPr>
                <w:color w:val="000000"/>
              </w:rPr>
              <w:t>Not at all</w:t>
            </w:r>
          </w:p>
        </w:tc>
        <w:tc>
          <w:tcPr>
            <w:tcW w:w="1984" w:type="dxa"/>
            <w:shd w:val="clear" w:color="auto" w:fill="auto"/>
            <w:noWrap/>
            <w:vAlign w:val="center"/>
            <w:hideMark/>
          </w:tcPr>
          <w:p w14:paraId="1E02B972" w14:textId="77777777" w:rsidR="00EC68AE" w:rsidRPr="001D4028" w:rsidRDefault="00EC68AE" w:rsidP="003A7E90">
            <w:pPr>
              <w:spacing w:line="360" w:lineRule="auto"/>
              <w:rPr>
                <w:color w:val="000000"/>
              </w:rPr>
            </w:pPr>
            <w:r w:rsidRPr="001D4028">
              <w:rPr>
                <w:color w:val="000000"/>
              </w:rPr>
              <w:t>0 (0.0 %)</w:t>
            </w:r>
          </w:p>
        </w:tc>
      </w:tr>
      <w:tr w:rsidR="00EC68AE" w:rsidRPr="001D4028" w14:paraId="63ABD41C" w14:textId="77777777" w:rsidTr="001D4028">
        <w:trPr>
          <w:trHeight w:val="300"/>
        </w:trPr>
        <w:tc>
          <w:tcPr>
            <w:tcW w:w="9776" w:type="dxa"/>
            <w:gridSpan w:val="3"/>
            <w:shd w:val="clear" w:color="auto" w:fill="D9D9D9" w:themeFill="background1" w:themeFillShade="D9"/>
            <w:noWrap/>
            <w:vAlign w:val="center"/>
            <w:hideMark/>
          </w:tcPr>
          <w:p w14:paraId="67E8A917" w14:textId="5CCC0448" w:rsidR="00EC68AE" w:rsidRPr="001D4028" w:rsidRDefault="009C55CD" w:rsidP="003A7E90">
            <w:pPr>
              <w:spacing w:line="360" w:lineRule="auto"/>
              <w:rPr>
                <w:color w:val="000000"/>
              </w:rPr>
            </w:pPr>
            <w:r w:rsidRPr="001D4028">
              <w:rPr>
                <w:color w:val="000000"/>
              </w:rPr>
              <w:t xml:space="preserve">Question 14. </w:t>
            </w:r>
            <w:r w:rsidR="00EC68AE" w:rsidRPr="001D4028">
              <w:rPr>
                <w:color w:val="000000"/>
              </w:rPr>
              <w:t>If required to inform irAE risk prediction, how likely are you to perform simple additional baseline assessment(s) for an individual patient prior to commencing checkpoint inhibitor immunotherapy? For example, standard laboratory testing.</w:t>
            </w:r>
          </w:p>
        </w:tc>
      </w:tr>
      <w:tr w:rsidR="00EC68AE" w:rsidRPr="001D4028" w14:paraId="5016C011" w14:textId="77777777" w:rsidTr="001D4028">
        <w:trPr>
          <w:trHeight w:val="300"/>
        </w:trPr>
        <w:tc>
          <w:tcPr>
            <w:tcW w:w="7792" w:type="dxa"/>
            <w:gridSpan w:val="2"/>
            <w:shd w:val="clear" w:color="auto" w:fill="auto"/>
            <w:noWrap/>
            <w:vAlign w:val="center"/>
            <w:hideMark/>
          </w:tcPr>
          <w:p w14:paraId="51F52092" w14:textId="77777777" w:rsidR="00EC68AE" w:rsidRPr="001D4028" w:rsidRDefault="00EC68AE" w:rsidP="003A7E90">
            <w:pPr>
              <w:spacing w:line="360" w:lineRule="auto"/>
              <w:rPr>
                <w:color w:val="000000"/>
              </w:rPr>
            </w:pPr>
            <w:r w:rsidRPr="001D4028">
              <w:rPr>
                <w:color w:val="000000"/>
              </w:rPr>
              <w:t>Certainly</w:t>
            </w:r>
          </w:p>
        </w:tc>
        <w:tc>
          <w:tcPr>
            <w:tcW w:w="1984" w:type="dxa"/>
            <w:shd w:val="clear" w:color="auto" w:fill="auto"/>
            <w:noWrap/>
            <w:vAlign w:val="center"/>
            <w:hideMark/>
          </w:tcPr>
          <w:p w14:paraId="43EF582E" w14:textId="77777777" w:rsidR="00EC68AE" w:rsidRPr="001D4028" w:rsidRDefault="00EC68AE" w:rsidP="003A7E90">
            <w:pPr>
              <w:spacing w:line="360" w:lineRule="auto"/>
              <w:rPr>
                <w:color w:val="000000"/>
              </w:rPr>
            </w:pPr>
            <w:r w:rsidRPr="001D4028">
              <w:rPr>
                <w:color w:val="000000"/>
              </w:rPr>
              <w:t>19 (47.5 %)</w:t>
            </w:r>
          </w:p>
        </w:tc>
      </w:tr>
      <w:tr w:rsidR="00EC68AE" w:rsidRPr="001D4028" w14:paraId="5A4FBE1B" w14:textId="77777777" w:rsidTr="001D4028">
        <w:trPr>
          <w:trHeight w:val="300"/>
        </w:trPr>
        <w:tc>
          <w:tcPr>
            <w:tcW w:w="7792" w:type="dxa"/>
            <w:gridSpan w:val="2"/>
            <w:shd w:val="clear" w:color="auto" w:fill="auto"/>
            <w:noWrap/>
            <w:vAlign w:val="center"/>
            <w:hideMark/>
          </w:tcPr>
          <w:p w14:paraId="13D32079" w14:textId="77777777" w:rsidR="00EC68AE" w:rsidRPr="001D4028" w:rsidRDefault="00EC68AE" w:rsidP="003A7E90">
            <w:pPr>
              <w:spacing w:line="360" w:lineRule="auto"/>
              <w:rPr>
                <w:color w:val="000000"/>
              </w:rPr>
            </w:pPr>
            <w:r w:rsidRPr="001D4028">
              <w:rPr>
                <w:color w:val="000000"/>
              </w:rPr>
              <w:t>Likely</w:t>
            </w:r>
          </w:p>
        </w:tc>
        <w:tc>
          <w:tcPr>
            <w:tcW w:w="1984" w:type="dxa"/>
            <w:shd w:val="clear" w:color="auto" w:fill="auto"/>
            <w:noWrap/>
            <w:vAlign w:val="center"/>
            <w:hideMark/>
          </w:tcPr>
          <w:p w14:paraId="259182B2" w14:textId="77777777" w:rsidR="00EC68AE" w:rsidRPr="001D4028" w:rsidRDefault="00EC68AE" w:rsidP="003A7E90">
            <w:pPr>
              <w:spacing w:line="360" w:lineRule="auto"/>
              <w:rPr>
                <w:color w:val="000000"/>
              </w:rPr>
            </w:pPr>
            <w:r w:rsidRPr="001D4028">
              <w:rPr>
                <w:color w:val="000000"/>
              </w:rPr>
              <w:t>19 (47.5 %)</w:t>
            </w:r>
          </w:p>
        </w:tc>
      </w:tr>
      <w:tr w:rsidR="00EC68AE" w:rsidRPr="001D4028" w14:paraId="34E9BFA2" w14:textId="77777777" w:rsidTr="001D4028">
        <w:trPr>
          <w:trHeight w:val="300"/>
        </w:trPr>
        <w:tc>
          <w:tcPr>
            <w:tcW w:w="7792" w:type="dxa"/>
            <w:gridSpan w:val="2"/>
            <w:shd w:val="clear" w:color="auto" w:fill="auto"/>
            <w:noWrap/>
            <w:vAlign w:val="center"/>
            <w:hideMark/>
          </w:tcPr>
          <w:p w14:paraId="403CEAAD" w14:textId="77777777" w:rsidR="00EC68AE" w:rsidRPr="001D4028" w:rsidRDefault="00EC68AE" w:rsidP="003A7E90">
            <w:pPr>
              <w:spacing w:line="360" w:lineRule="auto"/>
              <w:rPr>
                <w:color w:val="000000"/>
              </w:rPr>
            </w:pPr>
            <w:r w:rsidRPr="001D4028">
              <w:rPr>
                <w:color w:val="000000"/>
              </w:rPr>
              <w:t>Possibly</w:t>
            </w:r>
          </w:p>
        </w:tc>
        <w:tc>
          <w:tcPr>
            <w:tcW w:w="1984" w:type="dxa"/>
            <w:shd w:val="clear" w:color="auto" w:fill="auto"/>
            <w:noWrap/>
            <w:vAlign w:val="center"/>
            <w:hideMark/>
          </w:tcPr>
          <w:p w14:paraId="7C03B2A8" w14:textId="77777777" w:rsidR="00EC68AE" w:rsidRPr="001D4028" w:rsidRDefault="00EC68AE" w:rsidP="003A7E90">
            <w:pPr>
              <w:spacing w:line="360" w:lineRule="auto"/>
              <w:rPr>
                <w:color w:val="000000"/>
              </w:rPr>
            </w:pPr>
            <w:r w:rsidRPr="001D4028">
              <w:rPr>
                <w:color w:val="000000"/>
              </w:rPr>
              <w:t>1 (2.5 %)</w:t>
            </w:r>
          </w:p>
        </w:tc>
      </w:tr>
      <w:tr w:rsidR="00EC68AE" w:rsidRPr="001D4028" w14:paraId="36729FE7" w14:textId="77777777" w:rsidTr="001D4028">
        <w:trPr>
          <w:trHeight w:val="300"/>
        </w:trPr>
        <w:tc>
          <w:tcPr>
            <w:tcW w:w="7792" w:type="dxa"/>
            <w:gridSpan w:val="2"/>
            <w:shd w:val="clear" w:color="auto" w:fill="auto"/>
            <w:noWrap/>
            <w:vAlign w:val="center"/>
            <w:hideMark/>
          </w:tcPr>
          <w:p w14:paraId="06697336" w14:textId="77777777" w:rsidR="00EC68AE" w:rsidRPr="001D4028" w:rsidRDefault="00EC68AE" w:rsidP="003A7E90">
            <w:pPr>
              <w:spacing w:line="360" w:lineRule="auto"/>
              <w:rPr>
                <w:color w:val="000000"/>
              </w:rPr>
            </w:pPr>
            <w:r w:rsidRPr="001D4028">
              <w:rPr>
                <w:color w:val="000000"/>
              </w:rPr>
              <w:t>Unlikely</w:t>
            </w:r>
          </w:p>
        </w:tc>
        <w:tc>
          <w:tcPr>
            <w:tcW w:w="1984" w:type="dxa"/>
            <w:shd w:val="clear" w:color="auto" w:fill="auto"/>
            <w:noWrap/>
            <w:vAlign w:val="center"/>
            <w:hideMark/>
          </w:tcPr>
          <w:p w14:paraId="16758B6D" w14:textId="77777777" w:rsidR="00EC68AE" w:rsidRPr="001D4028" w:rsidRDefault="00EC68AE" w:rsidP="003A7E90">
            <w:pPr>
              <w:spacing w:line="360" w:lineRule="auto"/>
              <w:rPr>
                <w:color w:val="000000"/>
              </w:rPr>
            </w:pPr>
            <w:r w:rsidRPr="001D4028">
              <w:rPr>
                <w:color w:val="000000"/>
              </w:rPr>
              <w:t>1 (2.5 %)</w:t>
            </w:r>
          </w:p>
        </w:tc>
      </w:tr>
      <w:tr w:rsidR="00EC68AE" w:rsidRPr="001D4028" w14:paraId="052D5C74" w14:textId="77777777" w:rsidTr="001D4028">
        <w:trPr>
          <w:trHeight w:val="300"/>
        </w:trPr>
        <w:tc>
          <w:tcPr>
            <w:tcW w:w="7792" w:type="dxa"/>
            <w:gridSpan w:val="2"/>
            <w:shd w:val="clear" w:color="auto" w:fill="auto"/>
            <w:noWrap/>
            <w:vAlign w:val="center"/>
            <w:hideMark/>
          </w:tcPr>
          <w:p w14:paraId="666D2972" w14:textId="77777777" w:rsidR="00EC68AE" w:rsidRPr="001D4028" w:rsidRDefault="00EC68AE" w:rsidP="003A7E90">
            <w:pPr>
              <w:spacing w:line="360" w:lineRule="auto"/>
              <w:rPr>
                <w:color w:val="000000"/>
              </w:rPr>
            </w:pPr>
            <w:r w:rsidRPr="001D4028">
              <w:rPr>
                <w:color w:val="000000"/>
              </w:rPr>
              <w:t>Not at all</w:t>
            </w:r>
          </w:p>
        </w:tc>
        <w:tc>
          <w:tcPr>
            <w:tcW w:w="1984" w:type="dxa"/>
            <w:shd w:val="clear" w:color="auto" w:fill="auto"/>
            <w:noWrap/>
            <w:vAlign w:val="center"/>
            <w:hideMark/>
          </w:tcPr>
          <w:p w14:paraId="04DBF407" w14:textId="77777777" w:rsidR="00EC68AE" w:rsidRPr="001D4028" w:rsidRDefault="00EC68AE" w:rsidP="003A7E90">
            <w:pPr>
              <w:spacing w:line="360" w:lineRule="auto"/>
              <w:rPr>
                <w:color w:val="000000"/>
              </w:rPr>
            </w:pPr>
            <w:r w:rsidRPr="001D4028">
              <w:rPr>
                <w:color w:val="000000"/>
              </w:rPr>
              <w:t>0 (0.0 %)</w:t>
            </w:r>
          </w:p>
        </w:tc>
      </w:tr>
      <w:tr w:rsidR="00EC68AE" w:rsidRPr="001D4028" w14:paraId="2DE2D416" w14:textId="77777777" w:rsidTr="001D4028">
        <w:trPr>
          <w:trHeight w:val="300"/>
        </w:trPr>
        <w:tc>
          <w:tcPr>
            <w:tcW w:w="9776" w:type="dxa"/>
            <w:gridSpan w:val="3"/>
            <w:shd w:val="clear" w:color="auto" w:fill="D9D9D9" w:themeFill="background1" w:themeFillShade="D9"/>
            <w:noWrap/>
            <w:vAlign w:val="center"/>
            <w:hideMark/>
          </w:tcPr>
          <w:p w14:paraId="7B4C0182" w14:textId="0380713D" w:rsidR="00EC68AE" w:rsidRPr="001D4028" w:rsidRDefault="009C55CD" w:rsidP="003A7E90">
            <w:pPr>
              <w:spacing w:line="360" w:lineRule="auto"/>
              <w:rPr>
                <w:color w:val="000000"/>
              </w:rPr>
            </w:pPr>
            <w:r w:rsidRPr="001D4028">
              <w:rPr>
                <w:color w:val="000000"/>
              </w:rPr>
              <w:lastRenderedPageBreak/>
              <w:t xml:space="preserve">Question 15. </w:t>
            </w:r>
            <w:r w:rsidR="00EC68AE" w:rsidRPr="001D4028">
              <w:rPr>
                <w:color w:val="000000"/>
              </w:rPr>
              <w:t>If required to inform irAE risk prediction, how likely are you to perform complex additional baseline assessment(s) for an individual patient prior to initiating checkpoint inhibitor immunotherapy? For example, genomic testing.</w:t>
            </w:r>
          </w:p>
        </w:tc>
      </w:tr>
      <w:tr w:rsidR="00EC68AE" w:rsidRPr="001D4028" w14:paraId="2E57A3E1" w14:textId="77777777" w:rsidTr="001D4028">
        <w:trPr>
          <w:trHeight w:val="300"/>
        </w:trPr>
        <w:tc>
          <w:tcPr>
            <w:tcW w:w="7792" w:type="dxa"/>
            <w:gridSpan w:val="2"/>
            <w:shd w:val="clear" w:color="auto" w:fill="auto"/>
            <w:noWrap/>
            <w:vAlign w:val="center"/>
            <w:hideMark/>
          </w:tcPr>
          <w:p w14:paraId="71EF0D35" w14:textId="77777777" w:rsidR="00EC68AE" w:rsidRPr="001D4028" w:rsidRDefault="00EC68AE" w:rsidP="003A7E90">
            <w:pPr>
              <w:spacing w:line="360" w:lineRule="auto"/>
              <w:rPr>
                <w:color w:val="000000"/>
              </w:rPr>
            </w:pPr>
            <w:r w:rsidRPr="001D4028">
              <w:rPr>
                <w:color w:val="000000"/>
              </w:rPr>
              <w:t>Certainly</w:t>
            </w:r>
          </w:p>
        </w:tc>
        <w:tc>
          <w:tcPr>
            <w:tcW w:w="1984" w:type="dxa"/>
            <w:shd w:val="clear" w:color="auto" w:fill="auto"/>
            <w:noWrap/>
            <w:vAlign w:val="center"/>
            <w:hideMark/>
          </w:tcPr>
          <w:p w14:paraId="7ADA9373" w14:textId="77777777" w:rsidR="00EC68AE" w:rsidRPr="001D4028" w:rsidRDefault="00EC68AE" w:rsidP="003A7E90">
            <w:pPr>
              <w:spacing w:line="360" w:lineRule="auto"/>
              <w:rPr>
                <w:color w:val="000000"/>
              </w:rPr>
            </w:pPr>
            <w:r w:rsidRPr="001D4028">
              <w:rPr>
                <w:color w:val="000000"/>
              </w:rPr>
              <w:t>3 (7.5 %)</w:t>
            </w:r>
          </w:p>
        </w:tc>
      </w:tr>
      <w:tr w:rsidR="00EC68AE" w:rsidRPr="001D4028" w14:paraId="63F2AED3" w14:textId="77777777" w:rsidTr="001D4028">
        <w:trPr>
          <w:trHeight w:val="300"/>
        </w:trPr>
        <w:tc>
          <w:tcPr>
            <w:tcW w:w="7792" w:type="dxa"/>
            <w:gridSpan w:val="2"/>
            <w:shd w:val="clear" w:color="auto" w:fill="auto"/>
            <w:noWrap/>
            <w:vAlign w:val="center"/>
            <w:hideMark/>
          </w:tcPr>
          <w:p w14:paraId="7336C760" w14:textId="77777777" w:rsidR="00EC68AE" w:rsidRPr="001D4028" w:rsidRDefault="00EC68AE" w:rsidP="003A7E90">
            <w:pPr>
              <w:spacing w:line="360" w:lineRule="auto"/>
              <w:rPr>
                <w:color w:val="000000"/>
              </w:rPr>
            </w:pPr>
            <w:r w:rsidRPr="001D4028">
              <w:rPr>
                <w:color w:val="000000"/>
              </w:rPr>
              <w:t>Likely</w:t>
            </w:r>
          </w:p>
        </w:tc>
        <w:tc>
          <w:tcPr>
            <w:tcW w:w="1984" w:type="dxa"/>
            <w:shd w:val="clear" w:color="auto" w:fill="auto"/>
            <w:noWrap/>
            <w:vAlign w:val="center"/>
            <w:hideMark/>
          </w:tcPr>
          <w:p w14:paraId="178BA982" w14:textId="77777777" w:rsidR="00EC68AE" w:rsidRPr="001D4028" w:rsidRDefault="00EC68AE" w:rsidP="003A7E90">
            <w:pPr>
              <w:spacing w:line="360" w:lineRule="auto"/>
              <w:rPr>
                <w:color w:val="000000"/>
              </w:rPr>
            </w:pPr>
            <w:r w:rsidRPr="001D4028">
              <w:rPr>
                <w:color w:val="000000"/>
              </w:rPr>
              <w:t>7 (17.5 %)</w:t>
            </w:r>
          </w:p>
        </w:tc>
      </w:tr>
      <w:tr w:rsidR="00EC68AE" w:rsidRPr="001D4028" w14:paraId="24942798" w14:textId="77777777" w:rsidTr="001D4028">
        <w:trPr>
          <w:trHeight w:val="300"/>
        </w:trPr>
        <w:tc>
          <w:tcPr>
            <w:tcW w:w="7792" w:type="dxa"/>
            <w:gridSpan w:val="2"/>
            <w:shd w:val="clear" w:color="auto" w:fill="auto"/>
            <w:noWrap/>
            <w:vAlign w:val="center"/>
            <w:hideMark/>
          </w:tcPr>
          <w:p w14:paraId="7029C33E" w14:textId="77777777" w:rsidR="00EC68AE" w:rsidRPr="001D4028" w:rsidRDefault="00EC68AE" w:rsidP="003A7E90">
            <w:pPr>
              <w:spacing w:line="360" w:lineRule="auto"/>
              <w:rPr>
                <w:color w:val="000000"/>
              </w:rPr>
            </w:pPr>
            <w:r w:rsidRPr="001D4028">
              <w:rPr>
                <w:color w:val="000000"/>
              </w:rPr>
              <w:t>Possibly</w:t>
            </w:r>
          </w:p>
        </w:tc>
        <w:tc>
          <w:tcPr>
            <w:tcW w:w="1984" w:type="dxa"/>
            <w:shd w:val="clear" w:color="auto" w:fill="auto"/>
            <w:noWrap/>
            <w:vAlign w:val="center"/>
            <w:hideMark/>
          </w:tcPr>
          <w:p w14:paraId="0D3425A0" w14:textId="77777777" w:rsidR="00EC68AE" w:rsidRPr="001D4028" w:rsidRDefault="00EC68AE" w:rsidP="003A7E90">
            <w:pPr>
              <w:spacing w:line="360" w:lineRule="auto"/>
              <w:rPr>
                <w:color w:val="000000"/>
              </w:rPr>
            </w:pPr>
            <w:r w:rsidRPr="001D4028">
              <w:rPr>
                <w:color w:val="000000"/>
              </w:rPr>
              <w:t>17 (42.5 %)</w:t>
            </w:r>
          </w:p>
        </w:tc>
      </w:tr>
      <w:tr w:rsidR="00EC68AE" w:rsidRPr="001D4028" w14:paraId="41ADBCF1" w14:textId="77777777" w:rsidTr="001D4028">
        <w:trPr>
          <w:trHeight w:val="300"/>
        </w:trPr>
        <w:tc>
          <w:tcPr>
            <w:tcW w:w="7792" w:type="dxa"/>
            <w:gridSpan w:val="2"/>
            <w:shd w:val="clear" w:color="auto" w:fill="auto"/>
            <w:noWrap/>
            <w:vAlign w:val="center"/>
            <w:hideMark/>
          </w:tcPr>
          <w:p w14:paraId="62BFBC19" w14:textId="77777777" w:rsidR="00EC68AE" w:rsidRPr="001D4028" w:rsidRDefault="00EC68AE" w:rsidP="003A7E90">
            <w:pPr>
              <w:spacing w:line="360" w:lineRule="auto"/>
              <w:rPr>
                <w:color w:val="000000"/>
              </w:rPr>
            </w:pPr>
            <w:r w:rsidRPr="001D4028">
              <w:rPr>
                <w:color w:val="000000"/>
              </w:rPr>
              <w:t>Unlikely</w:t>
            </w:r>
          </w:p>
        </w:tc>
        <w:tc>
          <w:tcPr>
            <w:tcW w:w="1984" w:type="dxa"/>
            <w:shd w:val="clear" w:color="auto" w:fill="auto"/>
            <w:noWrap/>
            <w:vAlign w:val="center"/>
            <w:hideMark/>
          </w:tcPr>
          <w:p w14:paraId="709FE8AA" w14:textId="77777777" w:rsidR="00EC68AE" w:rsidRPr="001D4028" w:rsidRDefault="00EC68AE" w:rsidP="003A7E90">
            <w:pPr>
              <w:spacing w:line="360" w:lineRule="auto"/>
              <w:rPr>
                <w:color w:val="000000"/>
              </w:rPr>
            </w:pPr>
            <w:r w:rsidRPr="001D4028">
              <w:rPr>
                <w:color w:val="000000"/>
              </w:rPr>
              <w:t>13 (32.5 %)</w:t>
            </w:r>
          </w:p>
        </w:tc>
      </w:tr>
      <w:tr w:rsidR="00EC68AE" w:rsidRPr="001D4028" w14:paraId="66E337D1" w14:textId="77777777" w:rsidTr="001D4028">
        <w:trPr>
          <w:trHeight w:val="300"/>
        </w:trPr>
        <w:tc>
          <w:tcPr>
            <w:tcW w:w="7792" w:type="dxa"/>
            <w:gridSpan w:val="2"/>
            <w:shd w:val="clear" w:color="auto" w:fill="auto"/>
            <w:noWrap/>
            <w:vAlign w:val="center"/>
            <w:hideMark/>
          </w:tcPr>
          <w:p w14:paraId="413634B4" w14:textId="77777777" w:rsidR="00EC68AE" w:rsidRPr="001D4028" w:rsidRDefault="00EC68AE" w:rsidP="003A7E90">
            <w:pPr>
              <w:spacing w:line="360" w:lineRule="auto"/>
              <w:rPr>
                <w:color w:val="000000"/>
              </w:rPr>
            </w:pPr>
            <w:r w:rsidRPr="001D4028">
              <w:rPr>
                <w:color w:val="000000"/>
              </w:rPr>
              <w:t>Not at all</w:t>
            </w:r>
          </w:p>
        </w:tc>
        <w:tc>
          <w:tcPr>
            <w:tcW w:w="1984" w:type="dxa"/>
            <w:shd w:val="clear" w:color="auto" w:fill="auto"/>
            <w:noWrap/>
            <w:vAlign w:val="center"/>
            <w:hideMark/>
          </w:tcPr>
          <w:p w14:paraId="5790BE59" w14:textId="77777777" w:rsidR="00EC68AE" w:rsidRPr="001D4028" w:rsidRDefault="00EC68AE" w:rsidP="003A7E90">
            <w:pPr>
              <w:spacing w:line="360" w:lineRule="auto"/>
              <w:rPr>
                <w:color w:val="000000"/>
              </w:rPr>
            </w:pPr>
            <w:r w:rsidRPr="001D4028">
              <w:rPr>
                <w:color w:val="000000"/>
              </w:rPr>
              <w:t>0 (0.0 %)</w:t>
            </w:r>
          </w:p>
        </w:tc>
      </w:tr>
      <w:tr w:rsidR="00EC68AE" w:rsidRPr="001D4028" w14:paraId="302F2BAF" w14:textId="77777777" w:rsidTr="001D4028">
        <w:trPr>
          <w:trHeight w:val="300"/>
        </w:trPr>
        <w:tc>
          <w:tcPr>
            <w:tcW w:w="9776" w:type="dxa"/>
            <w:gridSpan w:val="3"/>
            <w:shd w:val="clear" w:color="auto" w:fill="D9D9D9" w:themeFill="background1" w:themeFillShade="D9"/>
            <w:noWrap/>
            <w:vAlign w:val="center"/>
            <w:hideMark/>
          </w:tcPr>
          <w:p w14:paraId="17F1BEBE" w14:textId="1C2C3EDA" w:rsidR="00EC68AE" w:rsidRPr="001D4028" w:rsidRDefault="009C55CD" w:rsidP="003A7E90">
            <w:pPr>
              <w:spacing w:line="360" w:lineRule="auto"/>
              <w:rPr>
                <w:color w:val="000000"/>
              </w:rPr>
            </w:pPr>
            <w:r w:rsidRPr="001D4028">
              <w:rPr>
                <w:color w:val="000000"/>
              </w:rPr>
              <w:t xml:space="preserve">Question 16. </w:t>
            </w:r>
            <w:r w:rsidR="00EC68AE" w:rsidRPr="001D4028">
              <w:rPr>
                <w:color w:val="000000"/>
              </w:rPr>
              <w:t>What do you think are potential barriers to integrating irAE risk prediction into clinical practice? Please indicate from the list below</w:t>
            </w:r>
            <w:r w:rsidR="004F4AE5" w:rsidRPr="001D4028">
              <w:rPr>
                <w:color w:val="000000"/>
              </w:rPr>
              <w:t>.</w:t>
            </w:r>
          </w:p>
        </w:tc>
      </w:tr>
      <w:tr w:rsidR="00EC68AE" w:rsidRPr="001D4028" w14:paraId="19ECB5A7" w14:textId="77777777" w:rsidTr="001D4028">
        <w:trPr>
          <w:trHeight w:val="300"/>
        </w:trPr>
        <w:tc>
          <w:tcPr>
            <w:tcW w:w="7792" w:type="dxa"/>
            <w:gridSpan w:val="2"/>
            <w:shd w:val="clear" w:color="auto" w:fill="auto"/>
            <w:noWrap/>
            <w:vAlign w:val="center"/>
            <w:hideMark/>
          </w:tcPr>
          <w:p w14:paraId="1CAB95F1" w14:textId="77777777" w:rsidR="00EC68AE" w:rsidRPr="001D4028" w:rsidRDefault="00EC68AE" w:rsidP="003A7E90">
            <w:pPr>
              <w:spacing w:line="360" w:lineRule="auto"/>
              <w:rPr>
                <w:color w:val="000000"/>
              </w:rPr>
            </w:pPr>
            <w:r w:rsidRPr="001D4028">
              <w:rPr>
                <w:color w:val="000000"/>
              </w:rPr>
              <w:t>Cost implications or reimbursement of additional test/s</w:t>
            </w:r>
          </w:p>
        </w:tc>
        <w:tc>
          <w:tcPr>
            <w:tcW w:w="1984" w:type="dxa"/>
            <w:shd w:val="clear" w:color="auto" w:fill="auto"/>
            <w:noWrap/>
            <w:vAlign w:val="center"/>
            <w:hideMark/>
          </w:tcPr>
          <w:p w14:paraId="7DA40F52" w14:textId="77777777" w:rsidR="00EC68AE" w:rsidRPr="001D4028" w:rsidRDefault="00EC68AE" w:rsidP="003A7E90">
            <w:pPr>
              <w:spacing w:line="360" w:lineRule="auto"/>
              <w:rPr>
                <w:color w:val="000000"/>
              </w:rPr>
            </w:pPr>
            <w:r w:rsidRPr="001D4028">
              <w:rPr>
                <w:color w:val="000000"/>
              </w:rPr>
              <w:t>30 (75.0 %)</w:t>
            </w:r>
          </w:p>
        </w:tc>
      </w:tr>
      <w:tr w:rsidR="00EC68AE" w:rsidRPr="001D4028" w14:paraId="23DD1295" w14:textId="77777777" w:rsidTr="001D4028">
        <w:trPr>
          <w:trHeight w:val="300"/>
        </w:trPr>
        <w:tc>
          <w:tcPr>
            <w:tcW w:w="7792" w:type="dxa"/>
            <w:gridSpan w:val="2"/>
            <w:shd w:val="clear" w:color="auto" w:fill="auto"/>
            <w:noWrap/>
            <w:vAlign w:val="center"/>
            <w:hideMark/>
          </w:tcPr>
          <w:p w14:paraId="29017AB2" w14:textId="77777777" w:rsidR="00EC68AE" w:rsidRPr="001D4028" w:rsidRDefault="00EC68AE" w:rsidP="003A7E90">
            <w:pPr>
              <w:spacing w:line="360" w:lineRule="auto"/>
              <w:rPr>
                <w:color w:val="000000"/>
              </w:rPr>
            </w:pPr>
            <w:r w:rsidRPr="001D4028">
              <w:rPr>
                <w:color w:val="000000"/>
              </w:rPr>
              <w:t>Timing of additional assessment/s prior to treatment</w:t>
            </w:r>
          </w:p>
        </w:tc>
        <w:tc>
          <w:tcPr>
            <w:tcW w:w="1984" w:type="dxa"/>
            <w:shd w:val="clear" w:color="auto" w:fill="auto"/>
            <w:noWrap/>
            <w:vAlign w:val="center"/>
            <w:hideMark/>
          </w:tcPr>
          <w:p w14:paraId="38CCCCE4" w14:textId="77777777" w:rsidR="00EC68AE" w:rsidRPr="001D4028" w:rsidRDefault="00EC68AE" w:rsidP="003A7E90">
            <w:pPr>
              <w:spacing w:line="360" w:lineRule="auto"/>
              <w:rPr>
                <w:color w:val="000000"/>
              </w:rPr>
            </w:pPr>
            <w:r w:rsidRPr="001D4028">
              <w:rPr>
                <w:color w:val="000000"/>
              </w:rPr>
              <w:t>30 (75.0 %)</w:t>
            </w:r>
          </w:p>
        </w:tc>
      </w:tr>
      <w:tr w:rsidR="00EC68AE" w:rsidRPr="001D4028" w14:paraId="4FEA90E5" w14:textId="77777777" w:rsidTr="001D4028">
        <w:trPr>
          <w:trHeight w:val="300"/>
        </w:trPr>
        <w:tc>
          <w:tcPr>
            <w:tcW w:w="7792" w:type="dxa"/>
            <w:gridSpan w:val="2"/>
            <w:shd w:val="clear" w:color="auto" w:fill="auto"/>
            <w:noWrap/>
            <w:vAlign w:val="center"/>
            <w:hideMark/>
          </w:tcPr>
          <w:p w14:paraId="731EAA1A" w14:textId="77777777" w:rsidR="00EC68AE" w:rsidRPr="001D4028" w:rsidRDefault="00EC68AE" w:rsidP="003A7E90">
            <w:pPr>
              <w:spacing w:line="360" w:lineRule="auto"/>
              <w:rPr>
                <w:color w:val="000000"/>
              </w:rPr>
            </w:pPr>
            <w:r w:rsidRPr="001D4028">
              <w:rPr>
                <w:color w:val="000000"/>
              </w:rPr>
              <w:t>Unknown accuracy and specificity</w:t>
            </w:r>
          </w:p>
        </w:tc>
        <w:tc>
          <w:tcPr>
            <w:tcW w:w="1984" w:type="dxa"/>
            <w:shd w:val="clear" w:color="auto" w:fill="auto"/>
            <w:noWrap/>
            <w:vAlign w:val="center"/>
            <w:hideMark/>
          </w:tcPr>
          <w:p w14:paraId="7A70AEB0" w14:textId="77777777" w:rsidR="00EC68AE" w:rsidRPr="001D4028" w:rsidRDefault="00EC68AE" w:rsidP="003A7E90">
            <w:pPr>
              <w:spacing w:line="360" w:lineRule="auto"/>
              <w:rPr>
                <w:color w:val="000000"/>
              </w:rPr>
            </w:pPr>
            <w:r w:rsidRPr="001D4028">
              <w:rPr>
                <w:color w:val="000000"/>
              </w:rPr>
              <w:t>30 (75.0 %)</w:t>
            </w:r>
          </w:p>
        </w:tc>
      </w:tr>
      <w:tr w:rsidR="00EC68AE" w:rsidRPr="001D4028" w14:paraId="2222C601" w14:textId="77777777" w:rsidTr="001D4028">
        <w:trPr>
          <w:trHeight w:val="300"/>
        </w:trPr>
        <w:tc>
          <w:tcPr>
            <w:tcW w:w="7792" w:type="dxa"/>
            <w:gridSpan w:val="2"/>
            <w:shd w:val="clear" w:color="auto" w:fill="auto"/>
            <w:noWrap/>
            <w:vAlign w:val="center"/>
            <w:hideMark/>
          </w:tcPr>
          <w:p w14:paraId="74C57DE0" w14:textId="77777777" w:rsidR="00EC68AE" w:rsidRPr="001D4028" w:rsidRDefault="00EC68AE" w:rsidP="003A7E90">
            <w:pPr>
              <w:spacing w:line="360" w:lineRule="auto"/>
              <w:rPr>
                <w:color w:val="000000"/>
              </w:rPr>
            </w:pPr>
            <w:r w:rsidRPr="001D4028">
              <w:rPr>
                <w:color w:val="000000"/>
              </w:rPr>
              <w:t>Complexity of baseline assessment/s</w:t>
            </w:r>
          </w:p>
        </w:tc>
        <w:tc>
          <w:tcPr>
            <w:tcW w:w="1984" w:type="dxa"/>
            <w:shd w:val="clear" w:color="auto" w:fill="auto"/>
            <w:noWrap/>
            <w:vAlign w:val="center"/>
            <w:hideMark/>
          </w:tcPr>
          <w:p w14:paraId="577AEEAA" w14:textId="77777777" w:rsidR="00EC68AE" w:rsidRPr="001D4028" w:rsidRDefault="00EC68AE" w:rsidP="003A7E90">
            <w:pPr>
              <w:spacing w:line="360" w:lineRule="auto"/>
              <w:rPr>
                <w:color w:val="000000"/>
              </w:rPr>
            </w:pPr>
            <w:r w:rsidRPr="001D4028">
              <w:rPr>
                <w:color w:val="000000"/>
              </w:rPr>
              <w:t>26 (65.0 %)</w:t>
            </w:r>
          </w:p>
        </w:tc>
      </w:tr>
      <w:tr w:rsidR="00EC68AE" w:rsidRPr="001D4028" w14:paraId="6526A9DB" w14:textId="77777777" w:rsidTr="001D4028">
        <w:trPr>
          <w:trHeight w:val="300"/>
        </w:trPr>
        <w:tc>
          <w:tcPr>
            <w:tcW w:w="7792" w:type="dxa"/>
            <w:gridSpan w:val="2"/>
            <w:shd w:val="clear" w:color="auto" w:fill="auto"/>
            <w:noWrap/>
            <w:vAlign w:val="center"/>
            <w:hideMark/>
          </w:tcPr>
          <w:p w14:paraId="2B12CA77" w14:textId="77777777" w:rsidR="00EC68AE" w:rsidRPr="001D4028" w:rsidRDefault="00EC68AE" w:rsidP="003A7E90">
            <w:pPr>
              <w:spacing w:line="360" w:lineRule="auto"/>
              <w:rPr>
                <w:color w:val="000000"/>
              </w:rPr>
            </w:pPr>
            <w:r w:rsidRPr="001D4028">
              <w:rPr>
                <w:color w:val="000000"/>
              </w:rPr>
              <w:t>Additional work for clinicians</w:t>
            </w:r>
          </w:p>
        </w:tc>
        <w:tc>
          <w:tcPr>
            <w:tcW w:w="1984" w:type="dxa"/>
            <w:shd w:val="clear" w:color="auto" w:fill="auto"/>
            <w:noWrap/>
            <w:vAlign w:val="center"/>
            <w:hideMark/>
          </w:tcPr>
          <w:p w14:paraId="0AEDF041" w14:textId="77777777" w:rsidR="00EC68AE" w:rsidRPr="001D4028" w:rsidRDefault="00EC68AE" w:rsidP="003A7E90">
            <w:pPr>
              <w:spacing w:line="360" w:lineRule="auto"/>
              <w:rPr>
                <w:color w:val="000000"/>
              </w:rPr>
            </w:pPr>
            <w:r w:rsidRPr="001D4028">
              <w:rPr>
                <w:color w:val="000000"/>
              </w:rPr>
              <w:t>18 (45.0 %)</w:t>
            </w:r>
          </w:p>
        </w:tc>
      </w:tr>
      <w:tr w:rsidR="00EC68AE" w:rsidRPr="001D4028" w14:paraId="599E00C6" w14:textId="77777777" w:rsidTr="001D4028">
        <w:trPr>
          <w:trHeight w:val="300"/>
        </w:trPr>
        <w:tc>
          <w:tcPr>
            <w:tcW w:w="7792" w:type="dxa"/>
            <w:gridSpan w:val="2"/>
            <w:shd w:val="clear" w:color="auto" w:fill="auto"/>
            <w:noWrap/>
            <w:vAlign w:val="center"/>
            <w:hideMark/>
          </w:tcPr>
          <w:p w14:paraId="174F11E6" w14:textId="77777777" w:rsidR="00EC68AE" w:rsidRPr="001D4028" w:rsidRDefault="00EC68AE" w:rsidP="003A7E90">
            <w:pPr>
              <w:spacing w:line="360" w:lineRule="auto"/>
              <w:rPr>
                <w:color w:val="000000"/>
              </w:rPr>
            </w:pPr>
            <w:r w:rsidRPr="001D4028">
              <w:rPr>
                <w:color w:val="000000"/>
              </w:rPr>
              <w:t>Patient access to baseline assessment/s</w:t>
            </w:r>
          </w:p>
        </w:tc>
        <w:tc>
          <w:tcPr>
            <w:tcW w:w="1984" w:type="dxa"/>
            <w:shd w:val="clear" w:color="auto" w:fill="auto"/>
            <w:noWrap/>
            <w:vAlign w:val="center"/>
            <w:hideMark/>
          </w:tcPr>
          <w:p w14:paraId="4F6E6824" w14:textId="77777777" w:rsidR="00EC68AE" w:rsidRPr="001D4028" w:rsidRDefault="00EC68AE" w:rsidP="003A7E90">
            <w:pPr>
              <w:spacing w:line="360" w:lineRule="auto"/>
              <w:rPr>
                <w:color w:val="000000"/>
              </w:rPr>
            </w:pPr>
            <w:r w:rsidRPr="001D4028">
              <w:rPr>
                <w:color w:val="000000"/>
              </w:rPr>
              <w:t>17 (42.5 %)</w:t>
            </w:r>
          </w:p>
        </w:tc>
      </w:tr>
      <w:tr w:rsidR="00EC68AE" w:rsidRPr="001D4028" w14:paraId="34EA4590" w14:textId="77777777" w:rsidTr="001D4028">
        <w:trPr>
          <w:trHeight w:val="300"/>
        </w:trPr>
        <w:tc>
          <w:tcPr>
            <w:tcW w:w="7792" w:type="dxa"/>
            <w:gridSpan w:val="2"/>
            <w:shd w:val="clear" w:color="auto" w:fill="auto"/>
            <w:noWrap/>
            <w:vAlign w:val="center"/>
            <w:hideMark/>
          </w:tcPr>
          <w:p w14:paraId="1D9081A6" w14:textId="77777777" w:rsidR="00EC68AE" w:rsidRPr="001D4028" w:rsidRDefault="00EC68AE" w:rsidP="003A7E90">
            <w:pPr>
              <w:spacing w:line="360" w:lineRule="auto"/>
              <w:rPr>
                <w:color w:val="000000"/>
              </w:rPr>
            </w:pPr>
            <w:r w:rsidRPr="001D4028">
              <w:rPr>
                <w:color w:val="000000"/>
              </w:rPr>
              <w:t>Integration into existing systems or workflows</w:t>
            </w:r>
          </w:p>
        </w:tc>
        <w:tc>
          <w:tcPr>
            <w:tcW w:w="1984" w:type="dxa"/>
            <w:shd w:val="clear" w:color="auto" w:fill="auto"/>
            <w:noWrap/>
            <w:vAlign w:val="center"/>
            <w:hideMark/>
          </w:tcPr>
          <w:p w14:paraId="4BCA8F5A" w14:textId="77777777" w:rsidR="00EC68AE" w:rsidRPr="001D4028" w:rsidRDefault="00EC68AE" w:rsidP="003A7E90">
            <w:pPr>
              <w:spacing w:line="360" w:lineRule="auto"/>
              <w:rPr>
                <w:color w:val="000000"/>
              </w:rPr>
            </w:pPr>
            <w:r w:rsidRPr="001D4028">
              <w:rPr>
                <w:color w:val="000000"/>
              </w:rPr>
              <w:t>16 (40.0 %)</w:t>
            </w:r>
          </w:p>
        </w:tc>
      </w:tr>
      <w:tr w:rsidR="00EC68AE" w:rsidRPr="001D4028" w14:paraId="41521888" w14:textId="77777777" w:rsidTr="001D4028">
        <w:trPr>
          <w:trHeight w:val="300"/>
        </w:trPr>
        <w:tc>
          <w:tcPr>
            <w:tcW w:w="7792" w:type="dxa"/>
            <w:gridSpan w:val="2"/>
            <w:shd w:val="clear" w:color="auto" w:fill="auto"/>
            <w:noWrap/>
            <w:vAlign w:val="center"/>
            <w:hideMark/>
          </w:tcPr>
          <w:p w14:paraId="1A7B854C" w14:textId="77777777" w:rsidR="00EC68AE" w:rsidRPr="001D4028" w:rsidRDefault="00EC68AE" w:rsidP="003A7E90">
            <w:pPr>
              <w:spacing w:line="360" w:lineRule="auto"/>
              <w:rPr>
                <w:color w:val="000000"/>
              </w:rPr>
            </w:pPr>
            <w:r w:rsidRPr="001D4028">
              <w:rPr>
                <w:color w:val="000000"/>
              </w:rPr>
              <w:t>Ease of reporting additional assessment/s prior to treatment</w:t>
            </w:r>
          </w:p>
        </w:tc>
        <w:tc>
          <w:tcPr>
            <w:tcW w:w="1984" w:type="dxa"/>
            <w:shd w:val="clear" w:color="auto" w:fill="auto"/>
            <w:noWrap/>
            <w:vAlign w:val="center"/>
            <w:hideMark/>
          </w:tcPr>
          <w:p w14:paraId="0FB5823D" w14:textId="77777777" w:rsidR="00EC68AE" w:rsidRPr="001D4028" w:rsidRDefault="00EC68AE" w:rsidP="003A7E90">
            <w:pPr>
              <w:spacing w:line="360" w:lineRule="auto"/>
              <w:rPr>
                <w:color w:val="000000"/>
              </w:rPr>
            </w:pPr>
            <w:r w:rsidRPr="001D4028">
              <w:rPr>
                <w:color w:val="000000"/>
              </w:rPr>
              <w:t>11 (27.5 %)</w:t>
            </w:r>
          </w:p>
        </w:tc>
      </w:tr>
      <w:tr w:rsidR="00EC68AE" w:rsidRPr="001D4028" w14:paraId="1754BE71" w14:textId="77777777" w:rsidTr="001D4028">
        <w:trPr>
          <w:trHeight w:val="300"/>
        </w:trPr>
        <w:tc>
          <w:tcPr>
            <w:tcW w:w="7792" w:type="dxa"/>
            <w:gridSpan w:val="2"/>
            <w:shd w:val="clear" w:color="auto" w:fill="auto"/>
            <w:noWrap/>
            <w:vAlign w:val="center"/>
            <w:hideMark/>
          </w:tcPr>
          <w:p w14:paraId="0583DFFE" w14:textId="77777777" w:rsidR="00EC68AE" w:rsidRPr="001D4028" w:rsidRDefault="00EC68AE" w:rsidP="003A7E90">
            <w:pPr>
              <w:spacing w:line="360" w:lineRule="auto"/>
              <w:rPr>
                <w:color w:val="000000"/>
              </w:rPr>
            </w:pPr>
            <w:r w:rsidRPr="001D4028">
              <w:rPr>
                <w:color w:val="000000"/>
              </w:rPr>
              <w:t>Difficult to discuss baseline risk of adverse events with patients</w:t>
            </w:r>
          </w:p>
        </w:tc>
        <w:tc>
          <w:tcPr>
            <w:tcW w:w="1984" w:type="dxa"/>
            <w:shd w:val="clear" w:color="auto" w:fill="auto"/>
            <w:noWrap/>
            <w:vAlign w:val="center"/>
            <w:hideMark/>
          </w:tcPr>
          <w:p w14:paraId="2F34CACC" w14:textId="77777777" w:rsidR="00EC68AE" w:rsidRPr="001D4028" w:rsidRDefault="00EC68AE" w:rsidP="003A7E90">
            <w:pPr>
              <w:spacing w:line="360" w:lineRule="auto"/>
              <w:rPr>
                <w:color w:val="000000"/>
              </w:rPr>
            </w:pPr>
            <w:r w:rsidRPr="001D4028">
              <w:rPr>
                <w:color w:val="000000"/>
              </w:rPr>
              <w:t>7 (17.5 %)</w:t>
            </w:r>
          </w:p>
        </w:tc>
      </w:tr>
      <w:tr w:rsidR="00EC68AE" w:rsidRPr="001D4028" w14:paraId="044F3F61" w14:textId="77777777" w:rsidTr="001D4028">
        <w:trPr>
          <w:trHeight w:val="300"/>
        </w:trPr>
        <w:tc>
          <w:tcPr>
            <w:tcW w:w="7792" w:type="dxa"/>
            <w:gridSpan w:val="2"/>
            <w:shd w:val="clear" w:color="auto" w:fill="auto"/>
            <w:noWrap/>
            <w:vAlign w:val="center"/>
            <w:hideMark/>
          </w:tcPr>
          <w:p w14:paraId="291AAFB9" w14:textId="77777777" w:rsidR="00EC68AE" w:rsidRPr="001D4028" w:rsidRDefault="00EC68AE" w:rsidP="003A7E90">
            <w:pPr>
              <w:spacing w:line="360" w:lineRule="auto"/>
              <w:rPr>
                <w:color w:val="000000"/>
              </w:rPr>
            </w:pPr>
            <w:r w:rsidRPr="001D4028">
              <w:rPr>
                <w:color w:val="000000"/>
              </w:rPr>
              <w:t>Unlikely to inform treatment discussions or decision-making</w:t>
            </w:r>
          </w:p>
        </w:tc>
        <w:tc>
          <w:tcPr>
            <w:tcW w:w="1984" w:type="dxa"/>
            <w:shd w:val="clear" w:color="auto" w:fill="auto"/>
            <w:noWrap/>
            <w:vAlign w:val="center"/>
            <w:hideMark/>
          </w:tcPr>
          <w:p w14:paraId="7FD4084C" w14:textId="77777777" w:rsidR="00EC68AE" w:rsidRPr="001D4028" w:rsidRDefault="00EC68AE" w:rsidP="003A7E90">
            <w:pPr>
              <w:spacing w:line="360" w:lineRule="auto"/>
              <w:rPr>
                <w:color w:val="000000"/>
              </w:rPr>
            </w:pPr>
            <w:r w:rsidRPr="001D4028">
              <w:rPr>
                <w:color w:val="000000"/>
              </w:rPr>
              <w:t>6 (15.0 %)</w:t>
            </w:r>
          </w:p>
        </w:tc>
      </w:tr>
      <w:tr w:rsidR="00EC68AE" w:rsidRPr="001D4028" w14:paraId="662E9EE4" w14:textId="77777777" w:rsidTr="001D4028">
        <w:trPr>
          <w:trHeight w:val="300"/>
        </w:trPr>
        <w:tc>
          <w:tcPr>
            <w:tcW w:w="7792" w:type="dxa"/>
            <w:gridSpan w:val="2"/>
            <w:shd w:val="clear" w:color="auto" w:fill="auto"/>
            <w:noWrap/>
            <w:vAlign w:val="center"/>
            <w:hideMark/>
          </w:tcPr>
          <w:p w14:paraId="6BD21BEC" w14:textId="77777777" w:rsidR="00EC68AE" w:rsidRPr="001D4028" w:rsidRDefault="00EC68AE" w:rsidP="003A7E90">
            <w:pPr>
              <w:spacing w:line="360" w:lineRule="auto"/>
              <w:rPr>
                <w:color w:val="000000"/>
              </w:rPr>
            </w:pPr>
            <w:r w:rsidRPr="001D4028">
              <w:rPr>
                <w:color w:val="000000"/>
              </w:rPr>
              <w:t>Other</w:t>
            </w:r>
            <w:r w:rsidR="009C55CD" w:rsidRPr="001D4028">
              <w:rPr>
                <w:color w:val="000000"/>
              </w:rPr>
              <w:t>:</w:t>
            </w:r>
          </w:p>
          <w:p w14:paraId="6F3F11C6" w14:textId="0C66578E" w:rsidR="009C55CD" w:rsidRPr="001D4028" w:rsidRDefault="009C55CD" w:rsidP="003A7E90">
            <w:pPr>
              <w:spacing w:line="360" w:lineRule="auto"/>
              <w:rPr>
                <w:color w:val="000000"/>
              </w:rPr>
            </w:pPr>
            <w:r w:rsidRPr="001D4028">
              <w:rPr>
                <w:color w:val="000000"/>
              </w:rPr>
              <w:t>“If tool took weeks to come back and delayed initiating treatment risk prediction would not be helpful”</w:t>
            </w:r>
          </w:p>
        </w:tc>
        <w:tc>
          <w:tcPr>
            <w:tcW w:w="1984" w:type="dxa"/>
            <w:shd w:val="clear" w:color="auto" w:fill="auto"/>
            <w:noWrap/>
            <w:vAlign w:val="center"/>
            <w:hideMark/>
          </w:tcPr>
          <w:p w14:paraId="6199D935" w14:textId="77777777" w:rsidR="00EC68AE" w:rsidRPr="001D4028" w:rsidRDefault="00EC68AE" w:rsidP="003A7E90">
            <w:pPr>
              <w:spacing w:line="360" w:lineRule="auto"/>
              <w:rPr>
                <w:color w:val="000000"/>
              </w:rPr>
            </w:pPr>
            <w:r w:rsidRPr="001D4028">
              <w:rPr>
                <w:color w:val="000000"/>
              </w:rPr>
              <w:t>1 (2.5 %)</w:t>
            </w:r>
          </w:p>
        </w:tc>
      </w:tr>
      <w:tr w:rsidR="00EC68AE" w:rsidRPr="001D4028" w14:paraId="1603B3BA" w14:textId="77777777" w:rsidTr="001D4028">
        <w:trPr>
          <w:trHeight w:val="300"/>
        </w:trPr>
        <w:tc>
          <w:tcPr>
            <w:tcW w:w="9776" w:type="dxa"/>
            <w:gridSpan w:val="3"/>
            <w:shd w:val="clear" w:color="auto" w:fill="D9D9D9" w:themeFill="background1" w:themeFillShade="D9"/>
            <w:noWrap/>
            <w:vAlign w:val="center"/>
            <w:hideMark/>
          </w:tcPr>
          <w:p w14:paraId="33C13464" w14:textId="0C5E1DCF" w:rsidR="00EC68AE" w:rsidRPr="001D4028" w:rsidRDefault="00214877" w:rsidP="003A7E90">
            <w:pPr>
              <w:spacing w:line="360" w:lineRule="auto"/>
              <w:rPr>
                <w:color w:val="000000"/>
              </w:rPr>
            </w:pPr>
            <w:r w:rsidRPr="001D4028">
              <w:rPr>
                <w:color w:val="000000"/>
              </w:rPr>
              <w:t xml:space="preserve">Question 17. </w:t>
            </w:r>
            <w:r w:rsidR="00EC68AE" w:rsidRPr="001D4028">
              <w:rPr>
                <w:color w:val="000000"/>
              </w:rPr>
              <w:t>Which of the following management strategies would you consider if an irAE risk prediction tool were to indicate that an individual patient has a higher risk of immune-related adverse events? (Select all that apply)</w:t>
            </w:r>
          </w:p>
        </w:tc>
      </w:tr>
      <w:tr w:rsidR="00EC68AE" w:rsidRPr="001D4028" w14:paraId="077F8501" w14:textId="77777777" w:rsidTr="001D4028">
        <w:trPr>
          <w:trHeight w:val="300"/>
        </w:trPr>
        <w:tc>
          <w:tcPr>
            <w:tcW w:w="7792" w:type="dxa"/>
            <w:gridSpan w:val="2"/>
            <w:shd w:val="clear" w:color="auto" w:fill="auto"/>
            <w:noWrap/>
            <w:vAlign w:val="center"/>
            <w:hideMark/>
          </w:tcPr>
          <w:p w14:paraId="2712A06B" w14:textId="77777777" w:rsidR="00EC68AE" w:rsidRPr="001D4028" w:rsidRDefault="00EC68AE" w:rsidP="003A7E90">
            <w:pPr>
              <w:spacing w:line="360" w:lineRule="auto"/>
              <w:rPr>
                <w:color w:val="000000"/>
              </w:rPr>
            </w:pPr>
            <w:r w:rsidRPr="001D4028">
              <w:rPr>
                <w:color w:val="000000"/>
              </w:rPr>
              <w:t>Inform tailored patient instructions and education</w:t>
            </w:r>
          </w:p>
        </w:tc>
        <w:tc>
          <w:tcPr>
            <w:tcW w:w="1984" w:type="dxa"/>
            <w:shd w:val="clear" w:color="auto" w:fill="auto"/>
            <w:noWrap/>
            <w:vAlign w:val="center"/>
            <w:hideMark/>
          </w:tcPr>
          <w:p w14:paraId="10A0E50B" w14:textId="77777777" w:rsidR="00EC68AE" w:rsidRPr="001D4028" w:rsidRDefault="00EC68AE" w:rsidP="003A7E90">
            <w:pPr>
              <w:spacing w:line="360" w:lineRule="auto"/>
              <w:rPr>
                <w:color w:val="000000"/>
              </w:rPr>
            </w:pPr>
            <w:r w:rsidRPr="001D4028">
              <w:rPr>
                <w:color w:val="000000"/>
              </w:rPr>
              <w:t>32 (80.0 %)</w:t>
            </w:r>
          </w:p>
        </w:tc>
      </w:tr>
      <w:tr w:rsidR="00EC68AE" w:rsidRPr="001D4028" w14:paraId="7CD19928" w14:textId="77777777" w:rsidTr="001D4028">
        <w:trPr>
          <w:trHeight w:val="300"/>
        </w:trPr>
        <w:tc>
          <w:tcPr>
            <w:tcW w:w="7792" w:type="dxa"/>
            <w:gridSpan w:val="2"/>
            <w:shd w:val="clear" w:color="auto" w:fill="auto"/>
            <w:noWrap/>
            <w:vAlign w:val="center"/>
            <w:hideMark/>
          </w:tcPr>
          <w:p w14:paraId="421E3F12" w14:textId="77777777" w:rsidR="00EC68AE" w:rsidRPr="001D4028" w:rsidRDefault="00EC68AE" w:rsidP="003A7E90">
            <w:pPr>
              <w:spacing w:line="360" w:lineRule="auto"/>
              <w:rPr>
                <w:color w:val="000000"/>
              </w:rPr>
            </w:pPr>
            <w:r w:rsidRPr="001D4028">
              <w:rPr>
                <w:color w:val="000000"/>
              </w:rPr>
              <w:t>Increased follow up</w:t>
            </w:r>
          </w:p>
        </w:tc>
        <w:tc>
          <w:tcPr>
            <w:tcW w:w="1984" w:type="dxa"/>
            <w:shd w:val="clear" w:color="auto" w:fill="auto"/>
            <w:noWrap/>
            <w:vAlign w:val="center"/>
            <w:hideMark/>
          </w:tcPr>
          <w:p w14:paraId="1D6668DD" w14:textId="77777777" w:rsidR="00EC68AE" w:rsidRPr="001D4028" w:rsidRDefault="00EC68AE" w:rsidP="003A7E90">
            <w:pPr>
              <w:spacing w:line="360" w:lineRule="auto"/>
              <w:rPr>
                <w:color w:val="000000"/>
              </w:rPr>
            </w:pPr>
            <w:r w:rsidRPr="001D4028">
              <w:rPr>
                <w:color w:val="000000"/>
              </w:rPr>
              <w:t>30 (75.0 %)</w:t>
            </w:r>
          </w:p>
        </w:tc>
      </w:tr>
      <w:tr w:rsidR="00EC68AE" w:rsidRPr="001D4028" w14:paraId="4BBC12C9" w14:textId="77777777" w:rsidTr="001D4028">
        <w:trPr>
          <w:trHeight w:val="300"/>
        </w:trPr>
        <w:tc>
          <w:tcPr>
            <w:tcW w:w="7792" w:type="dxa"/>
            <w:gridSpan w:val="2"/>
            <w:shd w:val="clear" w:color="auto" w:fill="auto"/>
            <w:noWrap/>
            <w:vAlign w:val="center"/>
            <w:hideMark/>
          </w:tcPr>
          <w:p w14:paraId="0FEDA08D" w14:textId="77777777" w:rsidR="00EC68AE" w:rsidRPr="001D4028" w:rsidRDefault="00EC68AE" w:rsidP="003A7E90">
            <w:pPr>
              <w:spacing w:line="360" w:lineRule="auto"/>
              <w:rPr>
                <w:color w:val="000000"/>
              </w:rPr>
            </w:pPr>
            <w:r w:rsidRPr="001D4028">
              <w:rPr>
                <w:color w:val="000000"/>
              </w:rPr>
              <w:t>Earlier clinic review</w:t>
            </w:r>
          </w:p>
        </w:tc>
        <w:tc>
          <w:tcPr>
            <w:tcW w:w="1984" w:type="dxa"/>
            <w:shd w:val="clear" w:color="auto" w:fill="auto"/>
            <w:noWrap/>
            <w:vAlign w:val="center"/>
            <w:hideMark/>
          </w:tcPr>
          <w:p w14:paraId="2A34EEDB" w14:textId="77777777" w:rsidR="00EC68AE" w:rsidRPr="001D4028" w:rsidRDefault="00EC68AE" w:rsidP="003A7E90">
            <w:pPr>
              <w:spacing w:line="360" w:lineRule="auto"/>
              <w:rPr>
                <w:color w:val="000000"/>
              </w:rPr>
            </w:pPr>
            <w:r w:rsidRPr="001D4028">
              <w:rPr>
                <w:color w:val="000000"/>
              </w:rPr>
              <w:t>28 (70.0 %)</w:t>
            </w:r>
          </w:p>
        </w:tc>
      </w:tr>
      <w:tr w:rsidR="00EC68AE" w:rsidRPr="001D4028" w14:paraId="16E27B0E" w14:textId="77777777" w:rsidTr="001D4028">
        <w:trPr>
          <w:trHeight w:val="300"/>
        </w:trPr>
        <w:tc>
          <w:tcPr>
            <w:tcW w:w="7792" w:type="dxa"/>
            <w:gridSpan w:val="2"/>
            <w:shd w:val="clear" w:color="auto" w:fill="auto"/>
            <w:noWrap/>
            <w:vAlign w:val="center"/>
            <w:hideMark/>
          </w:tcPr>
          <w:p w14:paraId="092990F3" w14:textId="70CED9FC" w:rsidR="00EC68AE" w:rsidRPr="001D4028" w:rsidRDefault="00EC68AE" w:rsidP="003A7E90">
            <w:pPr>
              <w:spacing w:line="360" w:lineRule="auto"/>
              <w:rPr>
                <w:color w:val="000000"/>
              </w:rPr>
            </w:pPr>
            <w:r w:rsidRPr="001D4028">
              <w:rPr>
                <w:color w:val="000000"/>
              </w:rPr>
              <w:t>Avoid combination immunotherapy</w:t>
            </w:r>
          </w:p>
        </w:tc>
        <w:tc>
          <w:tcPr>
            <w:tcW w:w="1984" w:type="dxa"/>
            <w:shd w:val="clear" w:color="auto" w:fill="auto"/>
            <w:noWrap/>
            <w:vAlign w:val="center"/>
            <w:hideMark/>
          </w:tcPr>
          <w:p w14:paraId="1AAA6B48" w14:textId="77777777" w:rsidR="00EC68AE" w:rsidRPr="001D4028" w:rsidRDefault="00EC68AE" w:rsidP="003A7E90">
            <w:pPr>
              <w:spacing w:line="360" w:lineRule="auto"/>
              <w:rPr>
                <w:color w:val="000000"/>
              </w:rPr>
            </w:pPr>
            <w:r w:rsidRPr="001D4028">
              <w:rPr>
                <w:color w:val="000000"/>
              </w:rPr>
              <w:t>24 (60.0 %)</w:t>
            </w:r>
          </w:p>
        </w:tc>
      </w:tr>
      <w:tr w:rsidR="00EC68AE" w:rsidRPr="001D4028" w14:paraId="4D84CD16" w14:textId="77777777" w:rsidTr="001D4028">
        <w:trPr>
          <w:trHeight w:val="300"/>
        </w:trPr>
        <w:tc>
          <w:tcPr>
            <w:tcW w:w="7792" w:type="dxa"/>
            <w:gridSpan w:val="2"/>
            <w:shd w:val="clear" w:color="auto" w:fill="auto"/>
            <w:noWrap/>
            <w:vAlign w:val="center"/>
            <w:hideMark/>
          </w:tcPr>
          <w:p w14:paraId="09979005" w14:textId="77777777" w:rsidR="00EC68AE" w:rsidRPr="001D4028" w:rsidRDefault="00EC68AE" w:rsidP="003A7E90">
            <w:pPr>
              <w:spacing w:line="360" w:lineRule="auto"/>
              <w:rPr>
                <w:color w:val="000000"/>
              </w:rPr>
            </w:pPr>
            <w:r w:rsidRPr="001D4028">
              <w:rPr>
                <w:color w:val="000000"/>
              </w:rPr>
              <w:lastRenderedPageBreak/>
              <w:t>Increased supportive care</w:t>
            </w:r>
          </w:p>
        </w:tc>
        <w:tc>
          <w:tcPr>
            <w:tcW w:w="1984" w:type="dxa"/>
            <w:shd w:val="clear" w:color="auto" w:fill="auto"/>
            <w:noWrap/>
            <w:vAlign w:val="center"/>
            <w:hideMark/>
          </w:tcPr>
          <w:p w14:paraId="167CD1AE" w14:textId="77777777" w:rsidR="00EC68AE" w:rsidRPr="001D4028" w:rsidRDefault="00EC68AE" w:rsidP="003A7E90">
            <w:pPr>
              <w:spacing w:line="360" w:lineRule="auto"/>
              <w:rPr>
                <w:color w:val="000000"/>
              </w:rPr>
            </w:pPr>
            <w:r w:rsidRPr="001D4028">
              <w:rPr>
                <w:color w:val="000000"/>
              </w:rPr>
              <w:t>24 (60.0 %)</w:t>
            </w:r>
          </w:p>
        </w:tc>
      </w:tr>
      <w:tr w:rsidR="00EC68AE" w:rsidRPr="001D4028" w14:paraId="3E4472C7" w14:textId="77777777" w:rsidTr="001D4028">
        <w:trPr>
          <w:trHeight w:val="300"/>
        </w:trPr>
        <w:tc>
          <w:tcPr>
            <w:tcW w:w="7792" w:type="dxa"/>
            <w:gridSpan w:val="2"/>
            <w:shd w:val="clear" w:color="auto" w:fill="auto"/>
            <w:noWrap/>
            <w:vAlign w:val="center"/>
            <w:hideMark/>
          </w:tcPr>
          <w:p w14:paraId="7ABCACC4" w14:textId="77777777" w:rsidR="00EC68AE" w:rsidRPr="001D4028" w:rsidRDefault="00EC68AE" w:rsidP="003A7E90">
            <w:pPr>
              <w:spacing w:line="360" w:lineRule="auto"/>
              <w:rPr>
                <w:color w:val="000000"/>
              </w:rPr>
            </w:pPr>
            <w:r w:rsidRPr="001D4028">
              <w:rPr>
                <w:color w:val="000000"/>
              </w:rPr>
              <w:t>Additional clinical or laboratory assessment/s</w:t>
            </w:r>
          </w:p>
        </w:tc>
        <w:tc>
          <w:tcPr>
            <w:tcW w:w="1984" w:type="dxa"/>
            <w:shd w:val="clear" w:color="auto" w:fill="auto"/>
            <w:noWrap/>
            <w:vAlign w:val="center"/>
            <w:hideMark/>
          </w:tcPr>
          <w:p w14:paraId="333CCAFF" w14:textId="77777777" w:rsidR="00EC68AE" w:rsidRPr="001D4028" w:rsidRDefault="00EC68AE" w:rsidP="003A7E90">
            <w:pPr>
              <w:spacing w:line="360" w:lineRule="auto"/>
              <w:rPr>
                <w:color w:val="000000"/>
              </w:rPr>
            </w:pPr>
            <w:r w:rsidRPr="001D4028">
              <w:rPr>
                <w:color w:val="000000"/>
              </w:rPr>
              <w:t>15 (37.5 %)</w:t>
            </w:r>
          </w:p>
        </w:tc>
      </w:tr>
      <w:tr w:rsidR="00EC68AE" w:rsidRPr="001D4028" w14:paraId="26B208CC" w14:textId="77777777" w:rsidTr="001D4028">
        <w:trPr>
          <w:trHeight w:val="300"/>
        </w:trPr>
        <w:tc>
          <w:tcPr>
            <w:tcW w:w="7792" w:type="dxa"/>
            <w:gridSpan w:val="2"/>
            <w:shd w:val="clear" w:color="auto" w:fill="auto"/>
            <w:noWrap/>
            <w:vAlign w:val="center"/>
            <w:hideMark/>
          </w:tcPr>
          <w:p w14:paraId="62F40379" w14:textId="77777777" w:rsidR="00EC68AE" w:rsidRPr="001D4028" w:rsidRDefault="00EC68AE" w:rsidP="003A7E90">
            <w:pPr>
              <w:spacing w:line="360" w:lineRule="auto"/>
              <w:rPr>
                <w:color w:val="000000"/>
              </w:rPr>
            </w:pPr>
            <w:r w:rsidRPr="001D4028">
              <w:rPr>
                <w:color w:val="000000"/>
              </w:rPr>
              <w:t>Employ strategies to reduce risk e.g. immunomodulatory agents</w:t>
            </w:r>
          </w:p>
        </w:tc>
        <w:tc>
          <w:tcPr>
            <w:tcW w:w="1984" w:type="dxa"/>
            <w:shd w:val="clear" w:color="auto" w:fill="auto"/>
            <w:noWrap/>
            <w:vAlign w:val="center"/>
            <w:hideMark/>
          </w:tcPr>
          <w:p w14:paraId="4636283A" w14:textId="77777777" w:rsidR="00EC68AE" w:rsidRPr="001D4028" w:rsidRDefault="00EC68AE" w:rsidP="003A7E90">
            <w:pPr>
              <w:spacing w:line="360" w:lineRule="auto"/>
              <w:rPr>
                <w:color w:val="000000"/>
              </w:rPr>
            </w:pPr>
            <w:r w:rsidRPr="001D4028">
              <w:rPr>
                <w:color w:val="000000"/>
              </w:rPr>
              <w:t>9 (22.5 %)</w:t>
            </w:r>
          </w:p>
        </w:tc>
      </w:tr>
      <w:tr w:rsidR="00EC68AE" w:rsidRPr="001D4028" w14:paraId="7B3A56C6" w14:textId="77777777" w:rsidTr="001D4028">
        <w:trPr>
          <w:trHeight w:val="300"/>
        </w:trPr>
        <w:tc>
          <w:tcPr>
            <w:tcW w:w="7792" w:type="dxa"/>
            <w:gridSpan w:val="2"/>
            <w:shd w:val="clear" w:color="auto" w:fill="auto"/>
            <w:noWrap/>
            <w:vAlign w:val="center"/>
            <w:hideMark/>
          </w:tcPr>
          <w:p w14:paraId="170837C7" w14:textId="77777777" w:rsidR="00EC68AE" w:rsidRPr="001D4028" w:rsidRDefault="00EC68AE" w:rsidP="003A7E90">
            <w:pPr>
              <w:spacing w:line="360" w:lineRule="auto"/>
              <w:rPr>
                <w:color w:val="000000"/>
              </w:rPr>
            </w:pPr>
            <w:r w:rsidRPr="001D4028">
              <w:rPr>
                <w:color w:val="000000"/>
              </w:rPr>
              <w:t>Other (please specify)</w:t>
            </w:r>
          </w:p>
        </w:tc>
        <w:tc>
          <w:tcPr>
            <w:tcW w:w="1984" w:type="dxa"/>
            <w:shd w:val="clear" w:color="auto" w:fill="auto"/>
            <w:noWrap/>
            <w:vAlign w:val="center"/>
            <w:hideMark/>
          </w:tcPr>
          <w:p w14:paraId="31509394" w14:textId="77777777" w:rsidR="00EC68AE" w:rsidRPr="001D4028" w:rsidRDefault="00EC68AE" w:rsidP="003A7E90">
            <w:pPr>
              <w:spacing w:line="360" w:lineRule="auto"/>
              <w:rPr>
                <w:color w:val="000000"/>
              </w:rPr>
            </w:pPr>
            <w:r w:rsidRPr="001D4028">
              <w:rPr>
                <w:color w:val="000000"/>
              </w:rPr>
              <w:t>5 (12.5 %)</w:t>
            </w:r>
          </w:p>
        </w:tc>
      </w:tr>
      <w:tr w:rsidR="00EC68AE" w:rsidRPr="001D4028" w14:paraId="39AFDC26" w14:textId="77777777" w:rsidTr="001D4028">
        <w:trPr>
          <w:trHeight w:val="300"/>
        </w:trPr>
        <w:tc>
          <w:tcPr>
            <w:tcW w:w="7792" w:type="dxa"/>
            <w:gridSpan w:val="2"/>
            <w:shd w:val="clear" w:color="auto" w:fill="auto"/>
            <w:noWrap/>
            <w:vAlign w:val="center"/>
            <w:hideMark/>
          </w:tcPr>
          <w:p w14:paraId="081FEB1C" w14:textId="77777777" w:rsidR="00EC68AE" w:rsidRPr="001D4028" w:rsidRDefault="00EC68AE" w:rsidP="003A7E90">
            <w:pPr>
              <w:spacing w:line="360" w:lineRule="auto"/>
              <w:rPr>
                <w:color w:val="000000"/>
              </w:rPr>
            </w:pPr>
            <w:r w:rsidRPr="001D4028">
              <w:rPr>
                <w:color w:val="000000"/>
              </w:rPr>
              <w:t>Change in treatment interval</w:t>
            </w:r>
          </w:p>
        </w:tc>
        <w:tc>
          <w:tcPr>
            <w:tcW w:w="1984" w:type="dxa"/>
            <w:shd w:val="clear" w:color="auto" w:fill="auto"/>
            <w:noWrap/>
            <w:vAlign w:val="center"/>
            <w:hideMark/>
          </w:tcPr>
          <w:p w14:paraId="4B8B4A57" w14:textId="77777777" w:rsidR="00EC68AE" w:rsidRPr="001D4028" w:rsidRDefault="00EC68AE" w:rsidP="003A7E90">
            <w:pPr>
              <w:spacing w:line="360" w:lineRule="auto"/>
              <w:rPr>
                <w:color w:val="000000"/>
              </w:rPr>
            </w:pPr>
            <w:r w:rsidRPr="001D4028">
              <w:rPr>
                <w:color w:val="000000"/>
              </w:rPr>
              <w:t>4 (10.0 %)</w:t>
            </w:r>
          </w:p>
        </w:tc>
      </w:tr>
      <w:tr w:rsidR="00EC68AE" w:rsidRPr="001D4028" w14:paraId="45261444" w14:textId="77777777" w:rsidTr="001D4028">
        <w:trPr>
          <w:trHeight w:val="300"/>
        </w:trPr>
        <w:tc>
          <w:tcPr>
            <w:tcW w:w="7792" w:type="dxa"/>
            <w:gridSpan w:val="2"/>
            <w:shd w:val="clear" w:color="auto" w:fill="auto"/>
            <w:noWrap/>
            <w:vAlign w:val="center"/>
            <w:hideMark/>
          </w:tcPr>
          <w:p w14:paraId="2A9D70E7" w14:textId="77777777" w:rsidR="00EC68AE" w:rsidRPr="001D4028" w:rsidRDefault="00EC68AE" w:rsidP="003A7E90">
            <w:pPr>
              <w:spacing w:line="360" w:lineRule="auto"/>
              <w:rPr>
                <w:color w:val="000000"/>
              </w:rPr>
            </w:pPr>
            <w:r w:rsidRPr="001D4028">
              <w:rPr>
                <w:color w:val="000000"/>
              </w:rPr>
              <w:t>No change to current practice</w:t>
            </w:r>
          </w:p>
        </w:tc>
        <w:tc>
          <w:tcPr>
            <w:tcW w:w="1984" w:type="dxa"/>
            <w:shd w:val="clear" w:color="auto" w:fill="auto"/>
            <w:noWrap/>
            <w:vAlign w:val="center"/>
            <w:hideMark/>
          </w:tcPr>
          <w:p w14:paraId="75011240" w14:textId="77777777" w:rsidR="00EC68AE" w:rsidRPr="001D4028" w:rsidRDefault="00EC68AE" w:rsidP="003A7E90">
            <w:pPr>
              <w:spacing w:line="360" w:lineRule="auto"/>
              <w:rPr>
                <w:color w:val="000000"/>
              </w:rPr>
            </w:pPr>
            <w:r w:rsidRPr="001D4028">
              <w:rPr>
                <w:color w:val="000000"/>
              </w:rPr>
              <w:t>2 (5.0 %)</w:t>
            </w:r>
          </w:p>
        </w:tc>
      </w:tr>
      <w:tr w:rsidR="00214877" w:rsidRPr="001D4028" w14:paraId="2F173829" w14:textId="77777777" w:rsidTr="001D4028">
        <w:trPr>
          <w:trHeight w:val="300"/>
        </w:trPr>
        <w:tc>
          <w:tcPr>
            <w:tcW w:w="7792" w:type="dxa"/>
            <w:gridSpan w:val="2"/>
            <w:shd w:val="clear" w:color="auto" w:fill="auto"/>
            <w:noWrap/>
            <w:vAlign w:val="center"/>
          </w:tcPr>
          <w:p w14:paraId="784D4766" w14:textId="77777777" w:rsidR="00214877" w:rsidRPr="001D4028" w:rsidRDefault="00214877" w:rsidP="003A7E90">
            <w:pPr>
              <w:spacing w:line="360" w:lineRule="auto"/>
              <w:rPr>
                <w:color w:val="000000"/>
              </w:rPr>
            </w:pPr>
            <w:r w:rsidRPr="001D4028">
              <w:rPr>
                <w:color w:val="000000"/>
              </w:rPr>
              <w:t>Other:</w:t>
            </w:r>
          </w:p>
          <w:p w14:paraId="6A63BE23" w14:textId="77777777" w:rsidR="00214877" w:rsidRPr="001D4028" w:rsidRDefault="00214877" w:rsidP="003A7E90">
            <w:pPr>
              <w:spacing w:line="360" w:lineRule="auto"/>
              <w:rPr>
                <w:color w:val="000000"/>
              </w:rPr>
            </w:pPr>
            <w:r w:rsidRPr="001D4028">
              <w:rPr>
                <w:color w:val="000000"/>
              </w:rPr>
              <w:t>“Consider avoiding immunotherapy if modest benefit but high risk”</w:t>
            </w:r>
          </w:p>
          <w:p w14:paraId="453B01A2" w14:textId="77777777" w:rsidR="00214877" w:rsidRPr="001D4028" w:rsidRDefault="00214877" w:rsidP="003A7E90">
            <w:pPr>
              <w:spacing w:line="360" w:lineRule="auto"/>
              <w:rPr>
                <w:color w:val="000000"/>
              </w:rPr>
            </w:pPr>
            <w:r w:rsidRPr="001D4028">
              <w:rPr>
                <w:color w:val="000000"/>
              </w:rPr>
              <w:t xml:space="preserve">“May also help some patients with borderline indications for ICI (e.g. neoadjuvant breast cancer patients with node-negative tumours) decide whether to include ICI in their treatment regimen - a patient a high risk of irAE who already </w:t>
            </w:r>
            <w:proofErr w:type="gramStart"/>
            <w:r w:rsidRPr="001D4028">
              <w:rPr>
                <w:color w:val="000000"/>
              </w:rPr>
              <w:t xml:space="preserve">has a good chance of </w:t>
            </w:r>
            <w:proofErr w:type="spellStart"/>
            <w:r w:rsidRPr="001D4028">
              <w:rPr>
                <w:color w:val="000000"/>
              </w:rPr>
              <w:t>pCR</w:t>
            </w:r>
            <w:proofErr w:type="spellEnd"/>
            <w:r w:rsidRPr="001D4028">
              <w:rPr>
                <w:color w:val="000000"/>
              </w:rPr>
              <w:t xml:space="preserve"> [pathological complete response] with chemo alone</w:t>
            </w:r>
            <w:proofErr w:type="gramEnd"/>
            <w:r w:rsidRPr="001D4028">
              <w:rPr>
                <w:color w:val="000000"/>
              </w:rPr>
              <w:t xml:space="preserve"> may elect to omit ICI.”</w:t>
            </w:r>
          </w:p>
          <w:p w14:paraId="2D6937D4" w14:textId="77777777" w:rsidR="00214877" w:rsidRPr="001D4028" w:rsidRDefault="00214877" w:rsidP="003A7E90">
            <w:pPr>
              <w:spacing w:line="360" w:lineRule="auto"/>
              <w:rPr>
                <w:color w:val="000000"/>
              </w:rPr>
            </w:pPr>
            <w:r w:rsidRPr="001D4028">
              <w:rPr>
                <w:color w:val="000000"/>
              </w:rPr>
              <w:t>“Advise treating Doctors/Oncologists as they would be the ones potentially modifying the treatment plan.”</w:t>
            </w:r>
          </w:p>
          <w:p w14:paraId="384133DE" w14:textId="77777777" w:rsidR="00214877" w:rsidRPr="001D4028" w:rsidRDefault="00214877" w:rsidP="003A7E90">
            <w:pPr>
              <w:spacing w:line="360" w:lineRule="auto"/>
              <w:rPr>
                <w:color w:val="000000"/>
              </w:rPr>
            </w:pPr>
            <w:r w:rsidRPr="001D4028">
              <w:rPr>
                <w:color w:val="000000"/>
              </w:rPr>
              <w:t>“Education is key. Needs to be provided in different ways to meet different learning needs.”</w:t>
            </w:r>
          </w:p>
          <w:p w14:paraId="0937461B" w14:textId="065047E4" w:rsidR="00214877" w:rsidRPr="001D4028" w:rsidRDefault="00214877" w:rsidP="003A7E90">
            <w:pPr>
              <w:spacing w:line="360" w:lineRule="auto"/>
              <w:rPr>
                <w:color w:val="000000"/>
              </w:rPr>
            </w:pPr>
            <w:r w:rsidRPr="001D4028">
              <w:rPr>
                <w:color w:val="000000"/>
              </w:rPr>
              <w:t>“Consider availability of non-immunotherapy treatment options, and if in metastatic setting other options available defer use of immunotherapy till a later-line on discussion case-by-case with individual patients”</w:t>
            </w:r>
          </w:p>
        </w:tc>
        <w:tc>
          <w:tcPr>
            <w:tcW w:w="1984" w:type="dxa"/>
            <w:shd w:val="clear" w:color="auto" w:fill="auto"/>
            <w:noWrap/>
            <w:vAlign w:val="center"/>
          </w:tcPr>
          <w:p w14:paraId="28891C81" w14:textId="0D65D018" w:rsidR="00214877" w:rsidRPr="001D4028" w:rsidRDefault="00214877" w:rsidP="003A7E90">
            <w:pPr>
              <w:spacing w:line="360" w:lineRule="auto"/>
              <w:rPr>
                <w:color w:val="000000"/>
              </w:rPr>
            </w:pPr>
            <w:r w:rsidRPr="001D4028">
              <w:rPr>
                <w:color w:val="000000"/>
              </w:rPr>
              <w:t>5 (12.5 %)</w:t>
            </w:r>
          </w:p>
        </w:tc>
      </w:tr>
      <w:tr w:rsidR="00EC68AE" w:rsidRPr="001D4028" w14:paraId="5364F53B" w14:textId="77777777" w:rsidTr="001D4028">
        <w:trPr>
          <w:trHeight w:val="300"/>
        </w:trPr>
        <w:tc>
          <w:tcPr>
            <w:tcW w:w="9776" w:type="dxa"/>
            <w:gridSpan w:val="3"/>
            <w:shd w:val="clear" w:color="auto" w:fill="D9D9D9" w:themeFill="background1" w:themeFillShade="D9"/>
            <w:noWrap/>
            <w:vAlign w:val="center"/>
            <w:hideMark/>
          </w:tcPr>
          <w:p w14:paraId="292389AA" w14:textId="6E76CAEB" w:rsidR="00EC68AE" w:rsidRPr="001D4028" w:rsidRDefault="00214877" w:rsidP="003A7E90">
            <w:pPr>
              <w:spacing w:line="360" w:lineRule="auto"/>
              <w:rPr>
                <w:color w:val="000000"/>
              </w:rPr>
            </w:pPr>
            <w:r w:rsidRPr="001D4028">
              <w:rPr>
                <w:color w:val="000000"/>
              </w:rPr>
              <w:t xml:space="preserve">Question 18. </w:t>
            </w:r>
            <w:r w:rsidR="00EC68AE" w:rsidRPr="001D4028">
              <w:rPr>
                <w:color w:val="000000"/>
              </w:rPr>
              <w:t>Which risk score format would you find most useful when considering immune-related adverse events?</w:t>
            </w:r>
          </w:p>
        </w:tc>
      </w:tr>
      <w:tr w:rsidR="00EC68AE" w:rsidRPr="001D4028" w14:paraId="4FC55EE2" w14:textId="77777777" w:rsidTr="001D4028">
        <w:trPr>
          <w:trHeight w:val="300"/>
        </w:trPr>
        <w:tc>
          <w:tcPr>
            <w:tcW w:w="7792" w:type="dxa"/>
            <w:gridSpan w:val="2"/>
            <w:shd w:val="clear" w:color="auto" w:fill="auto"/>
            <w:noWrap/>
            <w:vAlign w:val="center"/>
            <w:hideMark/>
          </w:tcPr>
          <w:p w14:paraId="6320B44B" w14:textId="77777777" w:rsidR="00EC68AE" w:rsidRPr="001D4028" w:rsidRDefault="00EC68AE" w:rsidP="003A7E90">
            <w:pPr>
              <w:spacing w:line="360" w:lineRule="auto"/>
              <w:rPr>
                <w:color w:val="000000"/>
              </w:rPr>
            </w:pPr>
            <w:r w:rsidRPr="001D4028">
              <w:rPr>
                <w:color w:val="000000"/>
              </w:rPr>
              <w:t>Percentage range e.g. 5-10%, 10-20%</w:t>
            </w:r>
          </w:p>
        </w:tc>
        <w:tc>
          <w:tcPr>
            <w:tcW w:w="1984" w:type="dxa"/>
            <w:shd w:val="clear" w:color="auto" w:fill="auto"/>
            <w:noWrap/>
            <w:vAlign w:val="center"/>
            <w:hideMark/>
          </w:tcPr>
          <w:p w14:paraId="78B1959B" w14:textId="77777777" w:rsidR="00EC68AE" w:rsidRPr="001D4028" w:rsidRDefault="00EC68AE" w:rsidP="003A7E90">
            <w:pPr>
              <w:spacing w:line="360" w:lineRule="auto"/>
              <w:rPr>
                <w:color w:val="000000"/>
              </w:rPr>
            </w:pPr>
            <w:r w:rsidRPr="001D4028">
              <w:rPr>
                <w:color w:val="000000"/>
              </w:rPr>
              <w:t>15 (37.5 %)</w:t>
            </w:r>
          </w:p>
        </w:tc>
      </w:tr>
      <w:tr w:rsidR="00EC68AE" w:rsidRPr="001D4028" w14:paraId="39E97649" w14:textId="77777777" w:rsidTr="001D4028">
        <w:trPr>
          <w:trHeight w:val="300"/>
        </w:trPr>
        <w:tc>
          <w:tcPr>
            <w:tcW w:w="7792" w:type="dxa"/>
            <w:gridSpan w:val="2"/>
            <w:shd w:val="clear" w:color="auto" w:fill="auto"/>
            <w:noWrap/>
            <w:vAlign w:val="center"/>
            <w:hideMark/>
          </w:tcPr>
          <w:p w14:paraId="61D5DC71" w14:textId="77777777" w:rsidR="00EC68AE" w:rsidRPr="001D4028" w:rsidRDefault="00EC68AE" w:rsidP="003A7E90">
            <w:pPr>
              <w:spacing w:line="360" w:lineRule="auto"/>
              <w:rPr>
                <w:color w:val="000000"/>
              </w:rPr>
            </w:pPr>
            <w:r w:rsidRPr="001D4028">
              <w:rPr>
                <w:color w:val="000000"/>
              </w:rPr>
              <w:t>Category e.g. low, medium, high</w:t>
            </w:r>
          </w:p>
        </w:tc>
        <w:tc>
          <w:tcPr>
            <w:tcW w:w="1984" w:type="dxa"/>
            <w:shd w:val="clear" w:color="auto" w:fill="auto"/>
            <w:noWrap/>
            <w:vAlign w:val="center"/>
            <w:hideMark/>
          </w:tcPr>
          <w:p w14:paraId="6476BACF" w14:textId="77777777" w:rsidR="00EC68AE" w:rsidRPr="001D4028" w:rsidRDefault="00EC68AE" w:rsidP="003A7E90">
            <w:pPr>
              <w:spacing w:line="360" w:lineRule="auto"/>
              <w:rPr>
                <w:color w:val="000000"/>
              </w:rPr>
            </w:pPr>
            <w:r w:rsidRPr="001D4028">
              <w:rPr>
                <w:color w:val="000000"/>
              </w:rPr>
              <w:t>9 (22.5 %)</w:t>
            </w:r>
          </w:p>
        </w:tc>
      </w:tr>
      <w:tr w:rsidR="00EC68AE" w:rsidRPr="001D4028" w14:paraId="62282EFD" w14:textId="77777777" w:rsidTr="001D4028">
        <w:trPr>
          <w:trHeight w:val="300"/>
        </w:trPr>
        <w:tc>
          <w:tcPr>
            <w:tcW w:w="7792" w:type="dxa"/>
            <w:gridSpan w:val="2"/>
            <w:shd w:val="clear" w:color="auto" w:fill="auto"/>
            <w:noWrap/>
            <w:vAlign w:val="center"/>
            <w:hideMark/>
          </w:tcPr>
          <w:p w14:paraId="4C6B9540" w14:textId="77777777" w:rsidR="00EC68AE" w:rsidRPr="001D4028" w:rsidRDefault="00EC68AE" w:rsidP="003A7E90">
            <w:pPr>
              <w:spacing w:line="360" w:lineRule="auto"/>
              <w:rPr>
                <w:color w:val="000000"/>
              </w:rPr>
            </w:pPr>
            <w:r w:rsidRPr="001D4028">
              <w:rPr>
                <w:color w:val="000000"/>
              </w:rPr>
              <w:t>I don't have a preference</w:t>
            </w:r>
          </w:p>
        </w:tc>
        <w:tc>
          <w:tcPr>
            <w:tcW w:w="1984" w:type="dxa"/>
            <w:shd w:val="clear" w:color="auto" w:fill="auto"/>
            <w:noWrap/>
            <w:vAlign w:val="center"/>
            <w:hideMark/>
          </w:tcPr>
          <w:p w14:paraId="5649A412" w14:textId="77777777" w:rsidR="00EC68AE" w:rsidRPr="001D4028" w:rsidRDefault="00EC68AE" w:rsidP="003A7E90">
            <w:pPr>
              <w:spacing w:line="360" w:lineRule="auto"/>
              <w:rPr>
                <w:color w:val="000000"/>
              </w:rPr>
            </w:pPr>
            <w:r w:rsidRPr="001D4028">
              <w:rPr>
                <w:color w:val="000000"/>
              </w:rPr>
              <w:t>8 (20.0 %)</w:t>
            </w:r>
          </w:p>
        </w:tc>
      </w:tr>
      <w:tr w:rsidR="00EC68AE" w:rsidRPr="001D4028" w14:paraId="5955BD08" w14:textId="77777777" w:rsidTr="001D4028">
        <w:trPr>
          <w:trHeight w:val="300"/>
        </w:trPr>
        <w:tc>
          <w:tcPr>
            <w:tcW w:w="7792" w:type="dxa"/>
            <w:gridSpan w:val="2"/>
            <w:shd w:val="clear" w:color="auto" w:fill="auto"/>
            <w:noWrap/>
            <w:vAlign w:val="center"/>
            <w:hideMark/>
          </w:tcPr>
          <w:p w14:paraId="3A9F81B1" w14:textId="77777777" w:rsidR="00EC68AE" w:rsidRPr="001D4028" w:rsidRDefault="00EC68AE" w:rsidP="003A7E90">
            <w:pPr>
              <w:spacing w:line="360" w:lineRule="auto"/>
              <w:rPr>
                <w:color w:val="000000"/>
              </w:rPr>
            </w:pPr>
            <w:r w:rsidRPr="001D4028">
              <w:rPr>
                <w:color w:val="000000"/>
              </w:rPr>
              <w:t>Discrete percentage e.g. 25% chance of irAE</w:t>
            </w:r>
          </w:p>
        </w:tc>
        <w:tc>
          <w:tcPr>
            <w:tcW w:w="1984" w:type="dxa"/>
            <w:shd w:val="clear" w:color="auto" w:fill="auto"/>
            <w:noWrap/>
            <w:vAlign w:val="center"/>
            <w:hideMark/>
          </w:tcPr>
          <w:p w14:paraId="143F3EB7" w14:textId="77777777" w:rsidR="00EC68AE" w:rsidRPr="001D4028" w:rsidRDefault="00EC68AE" w:rsidP="003A7E90">
            <w:pPr>
              <w:spacing w:line="360" w:lineRule="auto"/>
              <w:rPr>
                <w:color w:val="000000"/>
              </w:rPr>
            </w:pPr>
            <w:r w:rsidRPr="001D4028">
              <w:rPr>
                <w:color w:val="000000"/>
              </w:rPr>
              <w:t>3 (7.5 %)</w:t>
            </w:r>
          </w:p>
        </w:tc>
      </w:tr>
      <w:tr w:rsidR="00EC68AE" w:rsidRPr="001D4028" w14:paraId="3B405FD7" w14:textId="77777777" w:rsidTr="001D4028">
        <w:trPr>
          <w:trHeight w:val="300"/>
        </w:trPr>
        <w:tc>
          <w:tcPr>
            <w:tcW w:w="7792" w:type="dxa"/>
            <w:gridSpan w:val="2"/>
            <w:shd w:val="clear" w:color="auto" w:fill="auto"/>
            <w:noWrap/>
            <w:vAlign w:val="center"/>
            <w:hideMark/>
          </w:tcPr>
          <w:p w14:paraId="4941D1D8" w14:textId="77777777" w:rsidR="00EC68AE" w:rsidRPr="001D4028" w:rsidRDefault="00EC68AE" w:rsidP="003A7E90">
            <w:pPr>
              <w:spacing w:line="360" w:lineRule="auto"/>
              <w:rPr>
                <w:color w:val="000000"/>
              </w:rPr>
            </w:pPr>
            <w:r w:rsidRPr="001D4028">
              <w:rPr>
                <w:color w:val="000000"/>
              </w:rPr>
              <w:t>Grading e.g. 1 (for lowest) to 5 (for highest)</w:t>
            </w:r>
          </w:p>
        </w:tc>
        <w:tc>
          <w:tcPr>
            <w:tcW w:w="1984" w:type="dxa"/>
            <w:shd w:val="clear" w:color="auto" w:fill="auto"/>
            <w:noWrap/>
            <w:vAlign w:val="center"/>
            <w:hideMark/>
          </w:tcPr>
          <w:p w14:paraId="7D1C218F" w14:textId="77777777" w:rsidR="00EC68AE" w:rsidRPr="001D4028" w:rsidRDefault="00EC68AE" w:rsidP="003A7E90">
            <w:pPr>
              <w:spacing w:line="360" w:lineRule="auto"/>
              <w:rPr>
                <w:color w:val="000000"/>
              </w:rPr>
            </w:pPr>
            <w:r w:rsidRPr="001D4028">
              <w:rPr>
                <w:color w:val="000000"/>
              </w:rPr>
              <w:t>3 (7.5 %)</w:t>
            </w:r>
          </w:p>
        </w:tc>
      </w:tr>
      <w:tr w:rsidR="00EC68AE" w:rsidRPr="001D4028" w14:paraId="05477CBF" w14:textId="77777777" w:rsidTr="001D4028">
        <w:trPr>
          <w:trHeight w:val="300"/>
        </w:trPr>
        <w:tc>
          <w:tcPr>
            <w:tcW w:w="7792" w:type="dxa"/>
            <w:gridSpan w:val="2"/>
            <w:shd w:val="clear" w:color="auto" w:fill="auto"/>
            <w:noWrap/>
            <w:vAlign w:val="center"/>
            <w:hideMark/>
          </w:tcPr>
          <w:p w14:paraId="0B29D999" w14:textId="77777777" w:rsidR="00EC68AE" w:rsidRPr="001D4028" w:rsidRDefault="00EC68AE" w:rsidP="003A7E90">
            <w:pPr>
              <w:spacing w:line="360" w:lineRule="auto"/>
              <w:rPr>
                <w:color w:val="000000"/>
              </w:rPr>
            </w:pPr>
            <w:r w:rsidRPr="001D4028">
              <w:rPr>
                <w:color w:val="000000"/>
              </w:rPr>
              <w:t>Other</w:t>
            </w:r>
            <w:r w:rsidR="00214877" w:rsidRPr="001D4028">
              <w:rPr>
                <w:color w:val="000000"/>
              </w:rPr>
              <w:t>:</w:t>
            </w:r>
          </w:p>
          <w:p w14:paraId="2506EDCB" w14:textId="6D76E08D" w:rsidR="00214877" w:rsidRPr="001D4028" w:rsidRDefault="00214877" w:rsidP="003A7E90">
            <w:pPr>
              <w:spacing w:line="360" w:lineRule="auto"/>
              <w:rPr>
                <w:color w:val="000000"/>
              </w:rPr>
            </w:pPr>
            <w:r w:rsidRPr="001D4028">
              <w:rPr>
                <w:color w:val="000000"/>
              </w:rPr>
              <w:t>“I think quantification is problematic as may over-emphasise minor irAE (e.g. hypothyroidism)”</w:t>
            </w:r>
          </w:p>
          <w:p w14:paraId="2FA97C5F" w14:textId="11160CAB" w:rsidR="00214877" w:rsidRPr="001D4028" w:rsidRDefault="00214877" w:rsidP="003A7E90">
            <w:pPr>
              <w:spacing w:line="360" w:lineRule="auto"/>
              <w:rPr>
                <w:color w:val="000000"/>
              </w:rPr>
            </w:pPr>
            <w:r w:rsidRPr="001D4028">
              <w:rPr>
                <w:color w:val="000000"/>
              </w:rPr>
              <w:lastRenderedPageBreak/>
              <w:t>“Grading 1 to 5 in line with CTCAE [Common Terminology Criteria for Adverse Events]”</w:t>
            </w:r>
          </w:p>
        </w:tc>
        <w:tc>
          <w:tcPr>
            <w:tcW w:w="1984" w:type="dxa"/>
            <w:shd w:val="clear" w:color="auto" w:fill="auto"/>
            <w:noWrap/>
            <w:vAlign w:val="center"/>
            <w:hideMark/>
          </w:tcPr>
          <w:p w14:paraId="14150402" w14:textId="77777777" w:rsidR="00EC68AE" w:rsidRPr="001D4028" w:rsidRDefault="00EC68AE" w:rsidP="003A7E90">
            <w:pPr>
              <w:spacing w:line="360" w:lineRule="auto"/>
              <w:rPr>
                <w:color w:val="000000"/>
              </w:rPr>
            </w:pPr>
            <w:r w:rsidRPr="001D4028">
              <w:rPr>
                <w:color w:val="000000"/>
              </w:rPr>
              <w:lastRenderedPageBreak/>
              <w:t>2 (5.0 %)</w:t>
            </w:r>
          </w:p>
        </w:tc>
      </w:tr>
    </w:tbl>
    <w:p w14:paraId="3513139C" w14:textId="77777777" w:rsidR="004F4AE5" w:rsidRPr="001D4028" w:rsidRDefault="004F4AE5" w:rsidP="003A7E90">
      <w:pPr>
        <w:autoSpaceDE w:val="0"/>
        <w:autoSpaceDN w:val="0"/>
        <w:adjustRightInd w:val="0"/>
        <w:spacing w:line="360" w:lineRule="auto"/>
        <w:jc w:val="both"/>
        <w:rPr>
          <w:color w:val="FF0000"/>
        </w:rPr>
      </w:pPr>
      <w:r w:rsidRPr="001D4028">
        <w:rPr>
          <w:rFonts w:eastAsiaTheme="majorEastAsia"/>
          <w:i/>
          <w:iCs/>
          <w:lang w:val="en-GB"/>
        </w:rPr>
        <w:t>All percentages expressed with denominator of total number of survey responses.</w:t>
      </w:r>
    </w:p>
    <w:p w14:paraId="44C91E39" w14:textId="77777777" w:rsidR="004D3A62" w:rsidRDefault="004D3A62" w:rsidP="003A7E90">
      <w:pPr>
        <w:autoSpaceDE w:val="0"/>
        <w:autoSpaceDN w:val="0"/>
        <w:adjustRightInd w:val="0"/>
        <w:spacing w:line="360" w:lineRule="auto"/>
        <w:jc w:val="both"/>
      </w:pPr>
    </w:p>
    <w:p w14:paraId="3D1AC640" w14:textId="77777777" w:rsidR="003A7E90" w:rsidRDefault="003A7E90" w:rsidP="003A7E90">
      <w:pPr>
        <w:autoSpaceDE w:val="0"/>
        <w:autoSpaceDN w:val="0"/>
        <w:adjustRightInd w:val="0"/>
        <w:spacing w:line="360" w:lineRule="auto"/>
        <w:jc w:val="both"/>
      </w:pPr>
    </w:p>
    <w:p w14:paraId="12D7C150" w14:textId="77777777" w:rsidR="003A7E90" w:rsidRDefault="003A7E90" w:rsidP="003A7E90">
      <w:pPr>
        <w:autoSpaceDE w:val="0"/>
        <w:autoSpaceDN w:val="0"/>
        <w:adjustRightInd w:val="0"/>
        <w:spacing w:line="360" w:lineRule="auto"/>
        <w:jc w:val="both"/>
      </w:pPr>
    </w:p>
    <w:p w14:paraId="56701613" w14:textId="77777777" w:rsidR="003A7E90" w:rsidRDefault="003A7E90" w:rsidP="003A7E90">
      <w:pPr>
        <w:autoSpaceDE w:val="0"/>
        <w:autoSpaceDN w:val="0"/>
        <w:adjustRightInd w:val="0"/>
        <w:spacing w:line="360" w:lineRule="auto"/>
        <w:jc w:val="both"/>
      </w:pPr>
    </w:p>
    <w:p w14:paraId="22883F7B" w14:textId="77777777" w:rsidR="003A7E90" w:rsidRDefault="003A7E90" w:rsidP="003A7E90">
      <w:pPr>
        <w:autoSpaceDE w:val="0"/>
        <w:autoSpaceDN w:val="0"/>
        <w:adjustRightInd w:val="0"/>
        <w:spacing w:line="360" w:lineRule="auto"/>
        <w:jc w:val="both"/>
      </w:pPr>
    </w:p>
    <w:p w14:paraId="3A2FFEEF" w14:textId="77777777" w:rsidR="003A7E90" w:rsidRDefault="003A7E90" w:rsidP="003A7E90">
      <w:pPr>
        <w:autoSpaceDE w:val="0"/>
        <w:autoSpaceDN w:val="0"/>
        <w:adjustRightInd w:val="0"/>
        <w:spacing w:line="360" w:lineRule="auto"/>
        <w:jc w:val="both"/>
      </w:pPr>
    </w:p>
    <w:p w14:paraId="340A4004" w14:textId="77777777" w:rsidR="003A7E90" w:rsidRDefault="003A7E90" w:rsidP="003A7E90">
      <w:pPr>
        <w:autoSpaceDE w:val="0"/>
        <w:autoSpaceDN w:val="0"/>
        <w:adjustRightInd w:val="0"/>
        <w:spacing w:line="360" w:lineRule="auto"/>
        <w:jc w:val="both"/>
      </w:pPr>
    </w:p>
    <w:p w14:paraId="2F047BCF" w14:textId="77777777" w:rsidR="003A7E90" w:rsidRDefault="003A7E90" w:rsidP="003A7E90">
      <w:pPr>
        <w:autoSpaceDE w:val="0"/>
        <w:autoSpaceDN w:val="0"/>
        <w:adjustRightInd w:val="0"/>
        <w:spacing w:line="360" w:lineRule="auto"/>
        <w:jc w:val="both"/>
      </w:pPr>
    </w:p>
    <w:p w14:paraId="07358733" w14:textId="77777777" w:rsidR="003A7E90" w:rsidRDefault="003A7E90" w:rsidP="003A7E90">
      <w:pPr>
        <w:autoSpaceDE w:val="0"/>
        <w:autoSpaceDN w:val="0"/>
        <w:adjustRightInd w:val="0"/>
        <w:spacing w:line="360" w:lineRule="auto"/>
        <w:jc w:val="both"/>
      </w:pPr>
    </w:p>
    <w:p w14:paraId="5786EC95" w14:textId="77777777" w:rsidR="003A7E90" w:rsidRDefault="003A7E90" w:rsidP="003A7E90">
      <w:pPr>
        <w:autoSpaceDE w:val="0"/>
        <w:autoSpaceDN w:val="0"/>
        <w:adjustRightInd w:val="0"/>
        <w:spacing w:line="360" w:lineRule="auto"/>
        <w:jc w:val="both"/>
      </w:pPr>
    </w:p>
    <w:p w14:paraId="27517A2E" w14:textId="77777777" w:rsidR="003A7E90" w:rsidRDefault="003A7E90" w:rsidP="003A7E90">
      <w:pPr>
        <w:autoSpaceDE w:val="0"/>
        <w:autoSpaceDN w:val="0"/>
        <w:adjustRightInd w:val="0"/>
        <w:spacing w:line="360" w:lineRule="auto"/>
        <w:jc w:val="both"/>
      </w:pPr>
    </w:p>
    <w:p w14:paraId="46E09FD2" w14:textId="77777777" w:rsidR="003A7E90" w:rsidRDefault="003A7E90" w:rsidP="003A7E90">
      <w:pPr>
        <w:autoSpaceDE w:val="0"/>
        <w:autoSpaceDN w:val="0"/>
        <w:adjustRightInd w:val="0"/>
        <w:spacing w:line="360" w:lineRule="auto"/>
        <w:jc w:val="both"/>
      </w:pPr>
    </w:p>
    <w:p w14:paraId="125D7C95" w14:textId="77777777" w:rsidR="003A7E90" w:rsidRDefault="003A7E90" w:rsidP="003A7E90">
      <w:pPr>
        <w:autoSpaceDE w:val="0"/>
        <w:autoSpaceDN w:val="0"/>
        <w:adjustRightInd w:val="0"/>
        <w:spacing w:line="360" w:lineRule="auto"/>
        <w:jc w:val="both"/>
      </w:pPr>
    </w:p>
    <w:p w14:paraId="4D5D9107" w14:textId="77777777" w:rsidR="003A7E90" w:rsidRDefault="003A7E90" w:rsidP="003A7E90">
      <w:pPr>
        <w:autoSpaceDE w:val="0"/>
        <w:autoSpaceDN w:val="0"/>
        <w:adjustRightInd w:val="0"/>
        <w:spacing w:line="360" w:lineRule="auto"/>
        <w:jc w:val="both"/>
      </w:pPr>
    </w:p>
    <w:p w14:paraId="6A705CDD" w14:textId="77777777" w:rsidR="003A7E90" w:rsidRDefault="003A7E90" w:rsidP="003A7E90">
      <w:pPr>
        <w:autoSpaceDE w:val="0"/>
        <w:autoSpaceDN w:val="0"/>
        <w:adjustRightInd w:val="0"/>
        <w:spacing w:line="360" w:lineRule="auto"/>
        <w:jc w:val="both"/>
      </w:pPr>
    </w:p>
    <w:p w14:paraId="641D4CAC" w14:textId="77777777" w:rsidR="003A7E90" w:rsidRDefault="003A7E90" w:rsidP="003A7E90">
      <w:pPr>
        <w:autoSpaceDE w:val="0"/>
        <w:autoSpaceDN w:val="0"/>
        <w:adjustRightInd w:val="0"/>
        <w:spacing w:line="360" w:lineRule="auto"/>
        <w:jc w:val="both"/>
      </w:pPr>
    </w:p>
    <w:p w14:paraId="0DCD175B" w14:textId="77777777" w:rsidR="003A7E90" w:rsidRDefault="003A7E90" w:rsidP="003A7E90">
      <w:pPr>
        <w:autoSpaceDE w:val="0"/>
        <w:autoSpaceDN w:val="0"/>
        <w:adjustRightInd w:val="0"/>
        <w:spacing w:line="360" w:lineRule="auto"/>
        <w:jc w:val="both"/>
      </w:pPr>
    </w:p>
    <w:p w14:paraId="642090F2" w14:textId="77777777" w:rsidR="003A7E90" w:rsidRDefault="003A7E90" w:rsidP="003A7E90">
      <w:pPr>
        <w:autoSpaceDE w:val="0"/>
        <w:autoSpaceDN w:val="0"/>
        <w:adjustRightInd w:val="0"/>
        <w:spacing w:line="360" w:lineRule="auto"/>
        <w:jc w:val="both"/>
      </w:pPr>
    </w:p>
    <w:p w14:paraId="10D0D1CE" w14:textId="77777777" w:rsidR="003A7E90" w:rsidRDefault="003A7E90" w:rsidP="003A7E90">
      <w:pPr>
        <w:autoSpaceDE w:val="0"/>
        <w:autoSpaceDN w:val="0"/>
        <w:adjustRightInd w:val="0"/>
        <w:spacing w:line="360" w:lineRule="auto"/>
        <w:jc w:val="both"/>
      </w:pPr>
    </w:p>
    <w:p w14:paraId="1171ABFC" w14:textId="77777777" w:rsidR="003A7E90" w:rsidRDefault="003A7E90" w:rsidP="003A7E90">
      <w:pPr>
        <w:autoSpaceDE w:val="0"/>
        <w:autoSpaceDN w:val="0"/>
        <w:adjustRightInd w:val="0"/>
        <w:spacing w:line="360" w:lineRule="auto"/>
        <w:jc w:val="both"/>
      </w:pPr>
    </w:p>
    <w:p w14:paraId="40919954" w14:textId="77777777" w:rsidR="003A7E90" w:rsidRDefault="003A7E90" w:rsidP="003A7E90">
      <w:pPr>
        <w:autoSpaceDE w:val="0"/>
        <w:autoSpaceDN w:val="0"/>
        <w:adjustRightInd w:val="0"/>
        <w:spacing w:line="360" w:lineRule="auto"/>
        <w:jc w:val="both"/>
      </w:pPr>
    </w:p>
    <w:p w14:paraId="2C416C52" w14:textId="77777777" w:rsidR="003A7E90" w:rsidRDefault="003A7E90" w:rsidP="003A7E90">
      <w:pPr>
        <w:autoSpaceDE w:val="0"/>
        <w:autoSpaceDN w:val="0"/>
        <w:adjustRightInd w:val="0"/>
        <w:spacing w:line="360" w:lineRule="auto"/>
        <w:jc w:val="both"/>
      </w:pPr>
    </w:p>
    <w:p w14:paraId="4A293535" w14:textId="77777777" w:rsidR="003A7E90" w:rsidRDefault="003A7E90" w:rsidP="003A7E90">
      <w:pPr>
        <w:autoSpaceDE w:val="0"/>
        <w:autoSpaceDN w:val="0"/>
        <w:adjustRightInd w:val="0"/>
        <w:spacing w:line="360" w:lineRule="auto"/>
        <w:jc w:val="both"/>
      </w:pPr>
    </w:p>
    <w:p w14:paraId="0AF6B966" w14:textId="77777777" w:rsidR="003A7E90" w:rsidRDefault="003A7E90" w:rsidP="003A7E90">
      <w:pPr>
        <w:autoSpaceDE w:val="0"/>
        <w:autoSpaceDN w:val="0"/>
        <w:adjustRightInd w:val="0"/>
        <w:spacing w:line="360" w:lineRule="auto"/>
        <w:jc w:val="both"/>
      </w:pPr>
    </w:p>
    <w:p w14:paraId="12E1BB6A" w14:textId="77777777" w:rsidR="003A7E90" w:rsidRDefault="003A7E90" w:rsidP="003A7E90">
      <w:pPr>
        <w:autoSpaceDE w:val="0"/>
        <w:autoSpaceDN w:val="0"/>
        <w:adjustRightInd w:val="0"/>
        <w:spacing w:line="360" w:lineRule="auto"/>
        <w:jc w:val="both"/>
      </w:pPr>
    </w:p>
    <w:p w14:paraId="2DEEA733" w14:textId="77777777" w:rsidR="003A7E90" w:rsidRDefault="003A7E90" w:rsidP="003A7E90">
      <w:pPr>
        <w:autoSpaceDE w:val="0"/>
        <w:autoSpaceDN w:val="0"/>
        <w:adjustRightInd w:val="0"/>
        <w:spacing w:line="360" w:lineRule="auto"/>
        <w:jc w:val="both"/>
      </w:pPr>
    </w:p>
    <w:p w14:paraId="3DFAA3A6" w14:textId="77777777" w:rsidR="003A7E90" w:rsidRDefault="003A7E90" w:rsidP="003A7E90">
      <w:pPr>
        <w:autoSpaceDE w:val="0"/>
        <w:autoSpaceDN w:val="0"/>
        <w:adjustRightInd w:val="0"/>
        <w:spacing w:line="360" w:lineRule="auto"/>
        <w:jc w:val="both"/>
      </w:pPr>
    </w:p>
    <w:p w14:paraId="411366B0" w14:textId="77777777" w:rsidR="003A7E90" w:rsidRPr="001D4028" w:rsidRDefault="003A7E90" w:rsidP="003A7E90">
      <w:pPr>
        <w:autoSpaceDE w:val="0"/>
        <w:autoSpaceDN w:val="0"/>
        <w:adjustRightInd w:val="0"/>
        <w:spacing w:line="360" w:lineRule="auto"/>
        <w:jc w:val="both"/>
      </w:pPr>
    </w:p>
    <w:p w14:paraId="604D023A" w14:textId="557D675C" w:rsidR="00527187" w:rsidRPr="001D4028" w:rsidRDefault="00D766CD" w:rsidP="003A7E90">
      <w:pPr>
        <w:autoSpaceDE w:val="0"/>
        <w:autoSpaceDN w:val="0"/>
        <w:adjustRightInd w:val="0"/>
        <w:spacing w:line="360" w:lineRule="auto"/>
        <w:jc w:val="both"/>
        <w:rPr>
          <w:b/>
          <w:bCs/>
          <w:i/>
          <w:iCs/>
        </w:rPr>
      </w:pPr>
      <w:r w:rsidRPr="001D4028">
        <w:rPr>
          <w:b/>
          <w:bCs/>
        </w:rPr>
        <w:lastRenderedPageBreak/>
        <w:t xml:space="preserve">Table </w:t>
      </w:r>
      <w:r w:rsidR="00EE1B1F" w:rsidRPr="001D4028">
        <w:rPr>
          <w:b/>
          <w:bCs/>
        </w:rPr>
        <w:t>S</w:t>
      </w:r>
      <w:r w:rsidRPr="001D4028">
        <w:rPr>
          <w:b/>
          <w:bCs/>
        </w:rPr>
        <w:t xml:space="preserve">4: Responses from scenario 1. </w:t>
      </w:r>
      <w:r w:rsidRPr="001D4028">
        <w:rPr>
          <w:i/>
          <w:iCs/>
        </w:rPr>
        <w:t>n = 38</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EE6E4B" w:rsidRPr="001D4028" w14:paraId="60B53A27" w14:textId="77777777" w:rsidTr="001D4028">
        <w:trPr>
          <w:trHeight w:val="300"/>
        </w:trPr>
        <w:tc>
          <w:tcPr>
            <w:tcW w:w="7792" w:type="dxa"/>
            <w:shd w:val="clear" w:color="auto" w:fill="000000" w:themeFill="text1"/>
            <w:noWrap/>
            <w:vAlign w:val="center"/>
            <w:hideMark/>
          </w:tcPr>
          <w:p w14:paraId="41C0BB5E" w14:textId="6195E62D" w:rsidR="00527187" w:rsidRPr="001D4028" w:rsidRDefault="00C32659" w:rsidP="003A7E90">
            <w:pPr>
              <w:spacing w:line="360" w:lineRule="auto"/>
              <w:jc w:val="center"/>
              <w:rPr>
                <w:b/>
                <w:bCs/>
                <w:color w:val="FFFFFF" w:themeColor="background1"/>
              </w:rPr>
            </w:pPr>
            <w:r w:rsidRPr="001D4028">
              <w:rPr>
                <w:b/>
                <w:bCs/>
                <w:color w:val="FFFFFF" w:themeColor="background1"/>
              </w:rPr>
              <w:t>Scenario 1</w:t>
            </w:r>
          </w:p>
        </w:tc>
        <w:tc>
          <w:tcPr>
            <w:tcW w:w="1984" w:type="dxa"/>
            <w:shd w:val="clear" w:color="auto" w:fill="000000" w:themeFill="text1"/>
            <w:noWrap/>
            <w:vAlign w:val="center"/>
            <w:hideMark/>
          </w:tcPr>
          <w:p w14:paraId="19E0D0C1" w14:textId="77777777" w:rsidR="00527187" w:rsidRPr="001D4028" w:rsidRDefault="00527187" w:rsidP="003A7E90">
            <w:pPr>
              <w:spacing w:line="360" w:lineRule="auto"/>
              <w:jc w:val="center"/>
              <w:rPr>
                <w:b/>
                <w:bCs/>
                <w:color w:val="FFFFFF" w:themeColor="background1"/>
              </w:rPr>
            </w:pPr>
            <w:r w:rsidRPr="001D4028">
              <w:rPr>
                <w:b/>
                <w:bCs/>
                <w:color w:val="FFFFFF" w:themeColor="background1"/>
              </w:rPr>
              <w:t>Response (%)</w:t>
            </w:r>
          </w:p>
        </w:tc>
      </w:tr>
      <w:tr w:rsidR="00527187" w:rsidRPr="001D4028" w14:paraId="2F5A64A4" w14:textId="77777777" w:rsidTr="001D4028">
        <w:trPr>
          <w:trHeight w:val="300"/>
        </w:trPr>
        <w:tc>
          <w:tcPr>
            <w:tcW w:w="9776" w:type="dxa"/>
            <w:gridSpan w:val="2"/>
            <w:shd w:val="clear" w:color="auto" w:fill="D9D9D9" w:themeFill="background1" w:themeFillShade="D9"/>
            <w:noWrap/>
            <w:vAlign w:val="center"/>
            <w:hideMark/>
          </w:tcPr>
          <w:p w14:paraId="02DB3A5B" w14:textId="5F897F54" w:rsidR="00527187" w:rsidRPr="001D4028" w:rsidRDefault="00527187" w:rsidP="003A7E90">
            <w:pPr>
              <w:spacing w:line="360" w:lineRule="auto"/>
              <w:rPr>
                <w:color w:val="000000"/>
              </w:rPr>
            </w:pPr>
            <w:r w:rsidRPr="001D4028">
              <w:rPr>
                <w:color w:val="000000"/>
              </w:rPr>
              <w:t xml:space="preserve">Patient A is a 30-year-old newly diagnosed with BRAF mutant disease with evidence of brain </w:t>
            </w:r>
            <w:r w:rsidR="008426A3" w:rsidRPr="001D4028">
              <w:rPr>
                <w:color w:val="000000"/>
              </w:rPr>
              <w:t>m</w:t>
            </w:r>
            <w:r w:rsidRPr="001D4028">
              <w:rPr>
                <w:color w:val="000000"/>
              </w:rPr>
              <w:t>etastases. Patient A has no previous medical history. Would you consider checkpoint inhibitor immunotherapy for this patient?</w:t>
            </w:r>
          </w:p>
        </w:tc>
      </w:tr>
      <w:tr w:rsidR="00527187" w:rsidRPr="001D4028" w14:paraId="2EAFEEF4" w14:textId="77777777" w:rsidTr="001D4028">
        <w:trPr>
          <w:trHeight w:val="300"/>
        </w:trPr>
        <w:tc>
          <w:tcPr>
            <w:tcW w:w="7792" w:type="dxa"/>
            <w:shd w:val="clear" w:color="auto" w:fill="auto"/>
            <w:noWrap/>
            <w:vAlign w:val="center"/>
            <w:hideMark/>
          </w:tcPr>
          <w:p w14:paraId="51797C07" w14:textId="77777777" w:rsidR="00527187" w:rsidRPr="001D4028" w:rsidRDefault="00527187"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3C9802CB" w14:textId="77777777" w:rsidR="00527187" w:rsidRPr="001D4028" w:rsidRDefault="00527187" w:rsidP="003A7E90">
            <w:pPr>
              <w:spacing w:line="360" w:lineRule="auto"/>
              <w:rPr>
                <w:color w:val="000000"/>
              </w:rPr>
            </w:pPr>
            <w:r w:rsidRPr="001D4028">
              <w:rPr>
                <w:color w:val="000000"/>
              </w:rPr>
              <w:t>34 (89.5 %)</w:t>
            </w:r>
          </w:p>
        </w:tc>
      </w:tr>
      <w:tr w:rsidR="00527187" w:rsidRPr="001D4028" w14:paraId="13BEDC85" w14:textId="77777777" w:rsidTr="001D4028">
        <w:trPr>
          <w:trHeight w:val="300"/>
        </w:trPr>
        <w:tc>
          <w:tcPr>
            <w:tcW w:w="7792" w:type="dxa"/>
            <w:shd w:val="clear" w:color="auto" w:fill="auto"/>
            <w:noWrap/>
            <w:vAlign w:val="center"/>
            <w:hideMark/>
          </w:tcPr>
          <w:p w14:paraId="2E6ECBE0" w14:textId="77777777" w:rsidR="00527187" w:rsidRPr="001D4028" w:rsidRDefault="00527187"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6B9023EB" w14:textId="77777777" w:rsidR="00527187" w:rsidRPr="001D4028" w:rsidRDefault="00527187" w:rsidP="003A7E90">
            <w:pPr>
              <w:spacing w:line="360" w:lineRule="auto"/>
              <w:rPr>
                <w:color w:val="000000"/>
              </w:rPr>
            </w:pPr>
            <w:r w:rsidRPr="001D4028">
              <w:rPr>
                <w:color w:val="000000"/>
              </w:rPr>
              <w:t>3 (7.9 %)</w:t>
            </w:r>
          </w:p>
        </w:tc>
      </w:tr>
      <w:tr w:rsidR="00527187" w:rsidRPr="001D4028" w14:paraId="4F9C3B9B" w14:textId="77777777" w:rsidTr="001D4028">
        <w:trPr>
          <w:trHeight w:val="300"/>
        </w:trPr>
        <w:tc>
          <w:tcPr>
            <w:tcW w:w="7792" w:type="dxa"/>
            <w:shd w:val="clear" w:color="auto" w:fill="auto"/>
            <w:noWrap/>
            <w:vAlign w:val="center"/>
            <w:hideMark/>
          </w:tcPr>
          <w:p w14:paraId="1C1E8E3F" w14:textId="0C364A37" w:rsidR="00527187" w:rsidRPr="001D4028" w:rsidRDefault="00527187"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5B43B5A4" w14:textId="77777777" w:rsidR="00527187" w:rsidRPr="001D4028" w:rsidRDefault="00527187" w:rsidP="003A7E90">
            <w:pPr>
              <w:spacing w:line="360" w:lineRule="auto"/>
              <w:rPr>
                <w:color w:val="000000"/>
              </w:rPr>
            </w:pPr>
            <w:r w:rsidRPr="001D4028">
              <w:rPr>
                <w:color w:val="000000"/>
              </w:rPr>
              <w:t>0 (0.0 %)</w:t>
            </w:r>
          </w:p>
        </w:tc>
      </w:tr>
      <w:tr w:rsidR="00527187" w:rsidRPr="001D4028" w14:paraId="7325DF60" w14:textId="77777777" w:rsidTr="001D4028">
        <w:trPr>
          <w:trHeight w:val="300"/>
        </w:trPr>
        <w:tc>
          <w:tcPr>
            <w:tcW w:w="7792" w:type="dxa"/>
            <w:shd w:val="clear" w:color="auto" w:fill="auto"/>
            <w:noWrap/>
            <w:vAlign w:val="center"/>
            <w:hideMark/>
          </w:tcPr>
          <w:p w14:paraId="37A779C8" w14:textId="77777777" w:rsidR="00527187" w:rsidRPr="001D4028" w:rsidRDefault="00527187"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2EF7CAA5" w14:textId="77777777" w:rsidR="00527187" w:rsidRPr="001D4028" w:rsidRDefault="00527187" w:rsidP="003A7E90">
            <w:pPr>
              <w:spacing w:line="360" w:lineRule="auto"/>
              <w:rPr>
                <w:color w:val="000000"/>
              </w:rPr>
            </w:pPr>
            <w:r w:rsidRPr="001D4028">
              <w:rPr>
                <w:color w:val="000000"/>
              </w:rPr>
              <w:t>1 (2.6 %)</w:t>
            </w:r>
          </w:p>
        </w:tc>
      </w:tr>
      <w:tr w:rsidR="00527187" w:rsidRPr="001D4028" w14:paraId="1886F1F7" w14:textId="77777777" w:rsidTr="001D4028">
        <w:trPr>
          <w:trHeight w:val="300"/>
        </w:trPr>
        <w:tc>
          <w:tcPr>
            <w:tcW w:w="9776" w:type="dxa"/>
            <w:gridSpan w:val="2"/>
            <w:shd w:val="clear" w:color="auto" w:fill="D9D9D9" w:themeFill="background1" w:themeFillShade="D9"/>
            <w:noWrap/>
            <w:vAlign w:val="center"/>
            <w:hideMark/>
          </w:tcPr>
          <w:p w14:paraId="21CB8A57" w14:textId="430F0C90" w:rsidR="00527187" w:rsidRPr="001D4028" w:rsidRDefault="00527187" w:rsidP="003A7E90">
            <w:pPr>
              <w:spacing w:line="360" w:lineRule="auto"/>
              <w:rPr>
                <w:color w:val="000000"/>
              </w:rPr>
            </w:pPr>
            <w:r w:rsidRPr="001D4028">
              <w:rPr>
                <w:color w:val="000000"/>
              </w:rPr>
              <w:t>The risk prediction model indicates that Patient A has a high risk of immunotherapy-induced colitis. Would you consider checkpoint inhibitor immunotherapy for this patient?</w:t>
            </w:r>
          </w:p>
        </w:tc>
      </w:tr>
      <w:tr w:rsidR="00527187" w:rsidRPr="001D4028" w14:paraId="4885F21B" w14:textId="77777777" w:rsidTr="001D4028">
        <w:trPr>
          <w:trHeight w:val="300"/>
        </w:trPr>
        <w:tc>
          <w:tcPr>
            <w:tcW w:w="7792" w:type="dxa"/>
            <w:shd w:val="clear" w:color="auto" w:fill="auto"/>
            <w:noWrap/>
            <w:vAlign w:val="center"/>
            <w:hideMark/>
          </w:tcPr>
          <w:p w14:paraId="0BFD59B7" w14:textId="77777777" w:rsidR="00527187" w:rsidRPr="001D4028" w:rsidRDefault="00527187"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116771D0" w14:textId="77777777" w:rsidR="00527187" w:rsidRPr="001D4028" w:rsidRDefault="00527187" w:rsidP="003A7E90">
            <w:pPr>
              <w:spacing w:line="360" w:lineRule="auto"/>
              <w:rPr>
                <w:color w:val="000000"/>
              </w:rPr>
            </w:pPr>
            <w:r w:rsidRPr="001D4028">
              <w:rPr>
                <w:color w:val="000000"/>
              </w:rPr>
              <w:t>25 (65.8 %)</w:t>
            </w:r>
          </w:p>
        </w:tc>
      </w:tr>
      <w:tr w:rsidR="00527187" w:rsidRPr="001D4028" w14:paraId="70960838" w14:textId="77777777" w:rsidTr="001D4028">
        <w:trPr>
          <w:trHeight w:val="300"/>
        </w:trPr>
        <w:tc>
          <w:tcPr>
            <w:tcW w:w="7792" w:type="dxa"/>
            <w:shd w:val="clear" w:color="auto" w:fill="auto"/>
            <w:noWrap/>
            <w:vAlign w:val="center"/>
            <w:hideMark/>
          </w:tcPr>
          <w:p w14:paraId="55A5E2D4" w14:textId="77777777" w:rsidR="00527187" w:rsidRPr="001D4028" w:rsidRDefault="00527187"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57FBC3DE" w14:textId="77777777" w:rsidR="00527187" w:rsidRPr="001D4028" w:rsidRDefault="00527187" w:rsidP="003A7E90">
            <w:pPr>
              <w:spacing w:line="360" w:lineRule="auto"/>
              <w:rPr>
                <w:color w:val="000000"/>
              </w:rPr>
            </w:pPr>
            <w:r w:rsidRPr="001D4028">
              <w:rPr>
                <w:color w:val="000000"/>
              </w:rPr>
              <w:t>7 (18.4 %)</w:t>
            </w:r>
          </w:p>
        </w:tc>
      </w:tr>
      <w:tr w:rsidR="00527187" w:rsidRPr="001D4028" w14:paraId="1B7201BC" w14:textId="77777777" w:rsidTr="001D4028">
        <w:trPr>
          <w:trHeight w:val="300"/>
        </w:trPr>
        <w:tc>
          <w:tcPr>
            <w:tcW w:w="7792" w:type="dxa"/>
            <w:shd w:val="clear" w:color="auto" w:fill="auto"/>
            <w:noWrap/>
            <w:vAlign w:val="center"/>
            <w:hideMark/>
          </w:tcPr>
          <w:p w14:paraId="46C62DC0" w14:textId="19C9D1CF" w:rsidR="00527187" w:rsidRPr="001D4028" w:rsidRDefault="00527187"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3BD5FDAF" w14:textId="77777777" w:rsidR="00527187" w:rsidRPr="001D4028" w:rsidRDefault="00527187" w:rsidP="003A7E90">
            <w:pPr>
              <w:spacing w:line="360" w:lineRule="auto"/>
              <w:rPr>
                <w:color w:val="000000"/>
              </w:rPr>
            </w:pPr>
            <w:r w:rsidRPr="001D4028">
              <w:rPr>
                <w:color w:val="000000"/>
              </w:rPr>
              <w:t>2 (5.3 %)</w:t>
            </w:r>
          </w:p>
        </w:tc>
      </w:tr>
      <w:tr w:rsidR="00527187" w:rsidRPr="001D4028" w14:paraId="5A223811" w14:textId="77777777" w:rsidTr="001D4028">
        <w:trPr>
          <w:trHeight w:val="300"/>
        </w:trPr>
        <w:tc>
          <w:tcPr>
            <w:tcW w:w="7792" w:type="dxa"/>
            <w:shd w:val="clear" w:color="auto" w:fill="auto"/>
            <w:noWrap/>
            <w:vAlign w:val="center"/>
            <w:hideMark/>
          </w:tcPr>
          <w:p w14:paraId="7FB956FE" w14:textId="77777777" w:rsidR="00527187" w:rsidRPr="001D4028" w:rsidRDefault="00527187"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044B5C57" w14:textId="77777777" w:rsidR="00527187" w:rsidRPr="001D4028" w:rsidRDefault="00527187" w:rsidP="003A7E90">
            <w:pPr>
              <w:spacing w:line="360" w:lineRule="auto"/>
              <w:rPr>
                <w:color w:val="000000"/>
              </w:rPr>
            </w:pPr>
            <w:r w:rsidRPr="001D4028">
              <w:rPr>
                <w:color w:val="000000"/>
              </w:rPr>
              <w:t>4 (10.5 %)</w:t>
            </w:r>
          </w:p>
        </w:tc>
      </w:tr>
      <w:tr w:rsidR="00527187" w:rsidRPr="001D4028" w14:paraId="79F58A63" w14:textId="77777777" w:rsidTr="001D4028">
        <w:trPr>
          <w:trHeight w:val="300"/>
        </w:trPr>
        <w:tc>
          <w:tcPr>
            <w:tcW w:w="9776" w:type="dxa"/>
            <w:gridSpan w:val="2"/>
            <w:shd w:val="clear" w:color="auto" w:fill="D9D9D9" w:themeFill="background1" w:themeFillShade="D9"/>
            <w:noWrap/>
            <w:vAlign w:val="center"/>
            <w:hideMark/>
          </w:tcPr>
          <w:p w14:paraId="249818A0" w14:textId="030D645B" w:rsidR="00527187" w:rsidRPr="001D4028" w:rsidRDefault="00527187" w:rsidP="003A7E90">
            <w:pPr>
              <w:spacing w:line="360" w:lineRule="auto"/>
              <w:rPr>
                <w:color w:val="000000"/>
              </w:rPr>
            </w:pPr>
            <w:r w:rsidRPr="001D4028">
              <w:rPr>
                <w:color w:val="000000"/>
              </w:rPr>
              <w:t>The risk prediction model indicates that Patient A has a very high risk of any irAE. Would you consider checkpoint inhibitor immunotherapy for this patient?</w:t>
            </w:r>
          </w:p>
        </w:tc>
      </w:tr>
      <w:tr w:rsidR="00527187" w:rsidRPr="001D4028" w14:paraId="38A73B0A" w14:textId="77777777" w:rsidTr="001D4028">
        <w:trPr>
          <w:trHeight w:val="300"/>
        </w:trPr>
        <w:tc>
          <w:tcPr>
            <w:tcW w:w="7792" w:type="dxa"/>
            <w:shd w:val="clear" w:color="auto" w:fill="auto"/>
            <w:noWrap/>
            <w:vAlign w:val="center"/>
            <w:hideMark/>
          </w:tcPr>
          <w:p w14:paraId="5BCAF71E" w14:textId="77777777" w:rsidR="00527187" w:rsidRPr="001D4028" w:rsidRDefault="00527187"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14771D2E" w14:textId="77777777" w:rsidR="00527187" w:rsidRPr="001D4028" w:rsidRDefault="00527187" w:rsidP="003A7E90">
            <w:pPr>
              <w:spacing w:line="360" w:lineRule="auto"/>
              <w:rPr>
                <w:color w:val="000000"/>
              </w:rPr>
            </w:pPr>
            <w:r w:rsidRPr="001D4028">
              <w:rPr>
                <w:color w:val="000000"/>
              </w:rPr>
              <w:t>20 (52.6 %)</w:t>
            </w:r>
          </w:p>
        </w:tc>
      </w:tr>
      <w:tr w:rsidR="00527187" w:rsidRPr="001D4028" w14:paraId="0FC6777F" w14:textId="77777777" w:rsidTr="001D4028">
        <w:trPr>
          <w:trHeight w:val="300"/>
        </w:trPr>
        <w:tc>
          <w:tcPr>
            <w:tcW w:w="7792" w:type="dxa"/>
            <w:shd w:val="clear" w:color="auto" w:fill="auto"/>
            <w:noWrap/>
            <w:vAlign w:val="center"/>
            <w:hideMark/>
          </w:tcPr>
          <w:p w14:paraId="0290B37F" w14:textId="77777777" w:rsidR="00527187" w:rsidRPr="001D4028" w:rsidRDefault="00527187"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0442BFD8" w14:textId="77777777" w:rsidR="00527187" w:rsidRPr="001D4028" w:rsidRDefault="00527187" w:rsidP="003A7E90">
            <w:pPr>
              <w:spacing w:line="360" w:lineRule="auto"/>
              <w:rPr>
                <w:color w:val="000000"/>
              </w:rPr>
            </w:pPr>
            <w:r w:rsidRPr="001D4028">
              <w:rPr>
                <w:color w:val="000000"/>
              </w:rPr>
              <w:t>9 (23.7 %)</w:t>
            </w:r>
          </w:p>
        </w:tc>
      </w:tr>
      <w:tr w:rsidR="00527187" w:rsidRPr="001D4028" w14:paraId="138FFF03" w14:textId="77777777" w:rsidTr="001D4028">
        <w:trPr>
          <w:trHeight w:val="300"/>
        </w:trPr>
        <w:tc>
          <w:tcPr>
            <w:tcW w:w="7792" w:type="dxa"/>
            <w:shd w:val="clear" w:color="auto" w:fill="auto"/>
            <w:noWrap/>
            <w:vAlign w:val="center"/>
            <w:hideMark/>
          </w:tcPr>
          <w:p w14:paraId="4BE30C30" w14:textId="6E82C405" w:rsidR="00527187" w:rsidRPr="001D4028" w:rsidRDefault="00527187"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60576379" w14:textId="77777777" w:rsidR="00527187" w:rsidRPr="001D4028" w:rsidRDefault="00527187" w:rsidP="003A7E90">
            <w:pPr>
              <w:spacing w:line="360" w:lineRule="auto"/>
              <w:rPr>
                <w:color w:val="000000"/>
              </w:rPr>
            </w:pPr>
            <w:r w:rsidRPr="001D4028">
              <w:rPr>
                <w:color w:val="000000"/>
              </w:rPr>
              <w:t>3 (7.9 %)</w:t>
            </w:r>
          </w:p>
        </w:tc>
      </w:tr>
      <w:tr w:rsidR="00527187" w:rsidRPr="001D4028" w14:paraId="75676AA2" w14:textId="77777777" w:rsidTr="001D4028">
        <w:trPr>
          <w:trHeight w:val="300"/>
        </w:trPr>
        <w:tc>
          <w:tcPr>
            <w:tcW w:w="7792" w:type="dxa"/>
            <w:shd w:val="clear" w:color="auto" w:fill="auto"/>
            <w:noWrap/>
            <w:vAlign w:val="center"/>
            <w:hideMark/>
          </w:tcPr>
          <w:p w14:paraId="1636D8B4" w14:textId="77777777" w:rsidR="00527187" w:rsidRPr="001D4028" w:rsidRDefault="00527187"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51243739" w14:textId="77777777" w:rsidR="00527187" w:rsidRPr="001D4028" w:rsidRDefault="00527187" w:rsidP="003A7E90">
            <w:pPr>
              <w:spacing w:line="360" w:lineRule="auto"/>
              <w:rPr>
                <w:color w:val="000000"/>
              </w:rPr>
            </w:pPr>
            <w:r w:rsidRPr="001D4028">
              <w:rPr>
                <w:color w:val="000000"/>
              </w:rPr>
              <w:t>6 (15.8 %)</w:t>
            </w:r>
          </w:p>
        </w:tc>
      </w:tr>
    </w:tbl>
    <w:p w14:paraId="6CDB0694" w14:textId="77777777" w:rsidR="004D3A62" w:rsidRDefault="004D3A62" w:rsidP="003A7E90">
      <w:pPr>
        <w:autoSpaceDE w:val="0"/>
        <w:autoSpaceDN w:val="0"/>
        <w:adjustRightInd w:val="0"/>
        <w:spacing w:line="360" w:lineRule="auto"/>
      </w:pPr>
    </w:p>
    <w:p w14:paraId="553B19C8" w14:textId="77777777" w:rsidR="003A7E90" w:rsidRDefault="003A7E90" w:rsidP="003A7E90">
      <w:pPr>
        <w:autoSpaceDE w:val="0"/>
        <w:autoSpaceDN w:val="0"/>
        <w:adjustRightInd w:val="0"/>
        <w:spacing w:line="360" w:lineRule="auto"/>
      </w:pPr>
    </w:p>
    <w:p w14:paraId="2DDF618D" w14:textId="77777777" w:rsidR="003A7E90" w:rsidRDefault="003A7E90" w:rsidP="003A7E90">
      <w:pPr>
        <w:autoSpaceDE w:val="0"/>
        <w:autoSpaceDN w:val="0"/>
        <w:adjustRightInd w:val="0"/>
        <w:spacing w:line="360" w:lineRule="auto"/>
      </w:pPr>
    </w:p>
    <w:p w14:paraId="43841272" w14:textId="77777777" w:rsidR="003A7E90" w:rsidRDefault="003A7E90" w:rsidP="003A7E90">
      <w:pPr>
        <w:autoSpaceDE w:val="0"/>
        <w:autoSpaceDN w:val="0"/>
        <w:adjustRightInd w:val="0"/>
        <w:spacing w:line="360" w:lineRule="auto"/>
      </w:pPr>
    </w:p>
    <w:p w14:paraId="6A92287C" w14:textId="77777777" w:rsidR="003A7E90" w:rsidRDefault="003A7E90" w:rsidP="003A7E90">
      <w:pPr>
        <w:autoSpaceDE w:val="0"/>
        <w:autoSpaceDN w:val="0"/>
        <w:adjustRightInd w:val="0"/>
        <w:spacing w:line="360" w:lineRule="auto"/>
      </w:pPr>
    </w:p>
    <w:p w14:paraId="1DB4217D" w14:textId="77777777" w:rsidR="003A7E90" w:rsidRDefault="003A7E90" w:rsidP="003A7E90">
      <w:pPr>
        <w:autoSpaceDE w:val="0"/>
        <w:autoSpaceDN w:val="0"/>
        <w:adjustRightInd w:val="0"/>
        <w:spacing w:line="360" w:lineRule="auto"/>
      </w:pPr>
    </w:p>
    <w:p w14:paraId="3C4042E7" w14:textId="77777777" w:rsidR="003A7E90" w:rsidRDefault="003A7E90" w:rsidP="003A7E90">
      <w:pPr>
        <w:autoSpaceDE w:val="0"/>
        <w:autoSpaceDN w:val="0"/>
        <w:adjustRightInd w:val="0"/>
        <w:spacing w:line="360" w:lineRule="auto"/>
      </w:pPr>
    </w:p>
    <w:p w14:paraId="7FA5981D" w14:textId="77777777" w:rsidR="003A7E90" w:rsidRDefault="003A7E90" w:rsidP="003A7E90">
      <w:pPr>
        <w:autoSpaceDE w:val="0"/>
        <w:autoSpaceDN w:val="0"/>
        <w:adjustRightInd w:val="0"/>
        <w:spacing w:line="360" w:lineRule="auto"/>
      </w:pPr>
    </w:p>
    <w:p w14:paraId="6545621D" w14:textId="77777777" w:rsidR="003A7E90" w:rsidRDefault="003A7E90" w:rsidP="003A7E90">
      <w:pPr>
        <w:autoSpaceDE w:val="0"/>
        <w:autoSpaceDN w:val="0"/>
        <w:adjustRightInd w:val="0"/>
        <w:spacing w:line="360" w:lineRule="auto"/>
      </w:pPr>
    </w:p>
    <w:p w14:paraId="2E882DD0" w14:textId="77777777" w:rsidR="003A7E90" w:rsidRPr="001D4028" w:rsidRDefault="003A7E90" w:rsidP="003A7E90">
      <w:pPr>
        <w:autoSpaceDE w:val="0"/>
        <w:autoSpaceDN w:val="0"/>
        <w:adjustRightInd w:val="0"/>
        <w:spacing w:line="360" w:lineRule="auto"/>
      </w:pPr>
    </w:p>
    <w:p w14:paraId="7DEF2FEA" w14:textId="7FCCC455" w:rsidR="00D766CD" w:rsidRPr="001D4028" w:rsidRDefault="00D766CD" w:rsidP="003A7E90">
      <w:pPr>
        <w:autoSpaceDE w:val="0"/>
        <w:autoSpaceDN w:val="0"/>
        <w:adjustRightInd w:val="0"/>
        <w:spacing w:line="360" w:lineRule="auto"/>
        <w:jc w:val="both"/>
        <w:rPr>
          <w:b/>
          <w:bCs/>
          <w:i/>
          <w:iCs/>
        </w:rPr>
      </w:pPr>
      <w:r w:rsidRPr="001D4028">
        <w:rPr>
          <w:b/>
          <w:bCs/>
        </w:rPr>
        <w:lastRenderedPageBreak/>
        <w:t xml:space="preserve">Table </w:t>
      </w:r>
      <w:r w:rsidR="00EE1B1F" w:rsidRPr="001D4028">
        <w:rPr>
          <w:b/>
          <w:bCs/>
        </w:rPr>
        <w:t>S</w:t>
      </w:r>
      <w:r w:rsidRPr="001D4028">
        <w:rPr>
          <w:b/>
          <w:bCs/>
        </w:rPr>
        <w:t xml:space="preserve">5: Responses from scenario 2. </w:t>
      </w:r>
      <w:r w:rsidRPr="001D4028">
        <w:rPr>
          <w:i/>
          <w:iCs/>
        </w:rPr>
        <w:t>n = 38</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EE6E4B" w:rsidRPr="001D4028" w14:paraId="7ACFBB4E" w14:textId="77777777" w:rsidTr="001D4028">
        <w:trPr>
          <w:trHeight w:val="300"/>
        </w:trPr>
        <w:tc>
          <w:tcPr>
            <w:tcW w:w="7792" w:type="dxa"/>
            <w:shd w:val="clear" w:color="auto" w:fill="000000" w:themeFill="text1"/>
            <w:noWrap/>
            <w:vAlign w:val="center"/>
            <w:hideMark/>
          </w:tcPr>
          <w:p w14:paraId="11858E26" w14:textId="62E6A1C7" w:rsidR="00D766CD" w:rsidRPr="001D4028" w:rsidRDefault="00D766CD" w:rsidP="003A7E90">
            <w:pPr>
              <w:spacing w:line="360" w:lineRule="auto"/>
              <w:jc w:val="center"/>
              <w:rPr>
                <w:b/>
                <w:bCs/>
                <w:color w:val="FFFFFF" w:themeColor="background1"/>
              </w:rPr>
            </w:pPr>
            <w:r w:rsidRPr="001D4028">
              <w:rPr>
                <w:b/>
                <w:bCs/>
                <w:color w:val="FFFFFF" w:themeColor="background1"/>
              </w:rPr>
              <w:t>Scenario 2</w:t>
            </w:r>
          </w:p>
        </w:tc>
        <w:tc>
          <w:tcPr>
            <w:tcW w:w="1984" w:type="dxa"/>
            <w:shd w:val="clear" w:color="auto" w:fill="000000" w:themeFill="text1"/>
            <w:noWrap/>
            <w:vAlign w:val="center"/>
            <w:hideMark/>
          </w:tcPr>
          <w:p w14:paraId="4BAB0445" w14:textId="77777777" w:rsidR="00D766CD" w:rsidRPr="001D4028" w:rsidRDefault="00D766CD" w:rsidP="003A7E90">
            <w:pPr>
              <w:spacing w:line="360" w:lineRule="auto"/>
              <w:jc w:val="center"/>
              <w:rPr>
                <w:b/>
                <w:bCs/>
                <w:color w:val="FFFFFF" w:themeColor="background1"/>
              </w:rPr>
            </w:pPr>
            <w:r w:rsidRPr="001D4028">
              <w:rPr>
                <w:b/>
                <w:bCs/>
                <w:color w:val="FFFFFF" w:themeColor="background1"/>
              </w:rPr>
              <w:t>Response (%)</w:t>
            </w:r>
          </w:p>
        </w:tc>
      </w:tr>
      <w:tr w:rsidR="00D766CD" w:rsidRPr="001D4028" w14:paraId="6CF1FC69" w14:textId="77777777" w:rsidTr="001D4028">
        <w:trPr>
          <w:trHeight w:val="300"/>
        </w:trPr>
        <w:tc>
          <w:tcPr>
            <w:tcW w:w="9776" w:type="dxa"/>
            <w:gridSpan w:val="2"/>
            <w:shd w:val="clear" w:color="auto" w:fill="D9D9D9" w:themeFill="background1" w:themeFillShade="D9"/>
            <w:noWrap/>
            <w:vAlign w:val="center"/>
            <w:hideMark/>
          </w:tcPr>
          <w:p w14:paraId="0E51A34A" w14:textId="5A2620F7" w:rsidR="00D766CD" w:rsidRPr="001D4028" w:rsidRDefault="00D766CD" w:rsidP="003A7E90">
            <w:pPr>
              <w:spacing w:line="360" w:lineRule="auto"/>
              <w:rPr>
                <w:color w:val="000000"/>
              </w:rPr>
            </w:pPr>
            <w:r w:rsidRPr="001D4028">
              <w:rPr>
                <w:color w:val="000000"/>
              </w:rPr>
              <w:t>Patient B is a 65-year-old newly diagnosed with BRAF wildtype disease. Patient B has well-controlled rheumatoid arthritis. Would you consider checkpoint inhibitor immunotherapy for this patient?</w:t>
            </w:r>
          </w:p>
        </w:tc>
      </w:tr>
      <w:tr w:rsidR="00D766CD" w:rsidRPr="001D4028" w14:paraId="1D1E7504" w14:textId="77777777" w:rsidTr="001D4028">
        <w:trPr>
          <w:trHeight w:val="300"/>
        </w:trPr>
        <w:tc>
          <w:tcPr>
            <w:tcW w:w="7792" w:type="dxa"/>
            <w:shd w:val="clear" w:color="auto" w:fill="auto"/>
            <w:noWrap/>
            <w:vAlign w:val="center"/>
            <w:hideMark/>
          </w:tcPr>
          <w:p w14:paraId="1A6D40A2" w14:textId="77777777" w:rsidR="00D766CD" w:rsidRPr="001D4028" w:rsidRDefault="00D766CD"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6C553D52" w14:textId="5C370C29" w:rsidR="00D766CD" w:rsidRPr="001D4028" w:rsidRDefault="00D766CD" w:rsidP="003A7E90">
            <w:pPr>
              <w:spacing w:line="360" w:lineRule="auto"/>
            </w:pPr>
            <w:r w:rsidRPr="001D4028">
              <w:t>14 (36.9 %)</w:t>
            </w:r>
          </w:p>
        </w:tc>
      </w:tr>
      <w:tr w:rsidR="00D766CD" w:rsidRPr="001D4028" w14:paraId="3A026009" w14:textId="77777777" w:rsidTr="001D4028">
        <w:trPr>
          <w:trHeight w:val="300"/>
        </w:trPr>
        <w:tc>
          <w:tcPr>
            <w:tcW w:w="7792" w:type="dxa"/>
            <w:shd w:val="clear" w:color="auto" w:fill="auto"/>
            <w:noWrap/>
            <w:vAlign w:val="center"/>
            <w:hideMark/>
          </w:tcPr>
          <w:p w14:paraId="347BE874" w14:textId="77777777" w:rsidR="00D766CD" w:rsidRPr="001D4028" w:rsidRDefault="00D766CD"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1091875B" w14:textId="5D521FF5" w:rsidR="00D766CD" w:rsidRPr="001D4028" w:rsidRDefault="00D766CD" w:rsidP="003A7E90">
            <w:pPr>
              <w:spacing w:line="360" w:lineRule="auto"/>
            </w:pPr>
            <w:r w:rsidRPr="001D4028">
              <w:t>23 (60.5 %)</w:t>
            </w:r>
          </w:p>
        </w:tc>
      </w:tr>
      <w:tr w:rsidR="00D766CD" w:rsidRPr="001D4028" w14:paraId="6260E738" w14:textId="77777777" w:rsidTr="001D4028">
        <w:trPr>
          <w:trHeight w:val="300"/>
        </w:trPr>
        <w:tc>
          <w:tcPr>
            <w:tcW w:w="7792" w:type="dxa"/>
            <w:shd w:val="clear" w:color="auto" w:fill="auto"/>
            <w:noWrap/>
            <w:vAlign w:val="center"/>
            <w:hideMark/>
          </w:tcPr>
          <w:p w14:paraId="082B1908" w14:textId="77777777" w:rsidR="00D766CD" w:rsidRPr="001D4028" w:rsidRDefault="00D766CD"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786C00A0" w14:textId="7547C70E" w:rsidR="00D766CD" w:rsidRPr="001D4028" w:rsidRDefault="00D766CD" w:rsidP="003A7E90">
            <w:pPr>
              <w:spacing w:line="360" w:lineRule="auto"/>
            </w:pPr>
            <w:r w:rsidRPr="001D4028">
              <w:t>1 (2.6 %)</w:t>
            </w:r>
          </w:p>
        </w:tc>
      </w:tr>
      <w:tr w:rsidR="00D766CD" w:rsidRPr="001D4028" w14:paraId="7FDBDB88" w14:textId="77777777" w:rsidTr="001D4028">
        <w:trPr>
          <w:trHeight w:val="300"/>
        </w:trPr>
        <w:tc>
          <w:tcPr>
            <w:tcW w:w="7792" w:type="dxa"/>
            <w:shd w:val="clear" w:color="auto" w:fill="auto"/>
            <w:noWrap/>
            <w:vAlign w:val="center"/>
            <w:hideMark/>
          </w:tcPr>
          <w:p w14:paraId="3A933B2B" w14:textId="77777777" w:rsidR="00D766CD" w:rsidRPr="001D4028" w:rsidRDefault="00D766CD"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3D51A2B5" w14:textId="61D9F7A6" w:rsidR="00D766CD" w:rsidRPr="001D4028" w:rsidRDefault="00D766CD" w:rsidP="003A7E90">
            <w:pPr>
              <w:spacing w:line="360" w:lineRule="auto"/>
            </w:pPr>
            <w:r w:rsidRPr="001D4028">
              <w:t>0 (0.0 %)</w:t>
            </w:r>
          </w:p>
        </w:tc>
      </w:tr>
      <w:tr w:rsidR="00D766CD" w:rsidRPr="001D4028" w14:paraId="0EEA2CE2" w14:textId="77777777" w:rsidTr="001D4028">
        <w:trPr>
          <w:trHeight w:val="300"/>
        </w:trPr>
        <w:tc>
          <w:tcPr>
            <w:tcW w:w="9776" w:type="dxa"/>
            <w:gridSpan w:val="2"/>
            <w:shd w:val="clear" w:color="auto" w:fill="D9D9D9" w:themeFill="background1" w:themeFillShade="D9"/>
            <w:noWrap/>
            <w:vAlign w:val="center"/>
            <w:hideMark/>
          </w:tcPr>
          <w:p w14:paraId="328762E8" w14:textId="7040BFD3" w:rsidR="00D766CD" w:rsidRPr="001D4028" w:rsidRDefault="00D766CD" w:rsidP="003A7E90">
            <w:pPr>
              <w:spacing w:line="360" w:lineRule="auto"/>
              <w:rPr>
                <w:color w:val="000000"/>
              </w:rPr>
            </w:pPr>
            <w:r w:rsidRPr="001D4028">
              <w:rPr>
                <w:color w:val="000000"/>
              </w:rPr>
              <w:t>The risk prediction model indicates that Patient B has a moderate risk of immunotherapy-induced colitis. Would you consider checkpoint inhibitor immunotherapy for this patient?</w:t>
            </w:r>
          </w:p>
        </w:tc>
      </w:tr>
      <w:tr w:rsidR="00D766CD" w:rsidRPr="001D4028" w14:paraId="636E8DCA" w14:textId="77777777" w:rsidTr="001D4028">
        <w:trPr>
          <w:trHeight w:val="300"/>
        </w:trPr>
        <w:tc>
          <w:tcPr>
            <w:tcW w:w="7792" w:type="dxa"/>
            <w:shd w:val="clear" w:color="auto" w:fill="auto"/>
            <w:noWrap/>
            <w:vAlign w:val="center"/>
            <w:hideMark/>
          </w:tcPr>
          <w:p w14:paraId="48C8A255" w14:textId="77777777" w:rsidR="00D766CD" w:rsidRPr="001D4028" w:rsidRDefault="00D766CD"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5408749D" w14:textId="51688DF8" w:rsidR="00D766CD" w:rsidRPr="001D4028" w:rsidRDefault="00D766CD" w:rsidP="003A7E90">
            <w:pPr>
              <w:spacing w:line="360" w:lineRule="auto"/>
            </w:pPr>
            <w:r w:rsidRPr="001D4028">
              <w:t>12 (31.6 %)</w:t>
            </w:r>
          </w:p>
        </w:tc>
      </w:tr>
      <w:tr w:rsidR="00D766CD" w:rsidRPr="001D4028" w14:paraId="2C3E1C1B" w14:textId="77777777" w:rsidTr="001D4028">
        <w:trPr>
          <w:trHeight w:val="300"/>
        </w:trPr>
        <w:tc>
          <w:tcPr>
            <w:tcW w:w="7792" w:type="dxa"/>
            <w:shd w:val="clear" w:color="auto" w:fill="auto"/>
            <w:noWrap/>
            <w:vAlign w:val="center"/>
            <w:hideMark/>
          </w:tcPr>
          <w:p w14:paraId="234267A9" w14:textId="77777777" w:rsidR="00D766CD" w:rsidRPr="001D4028" w:rsidRDefault="00D766CD"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458F79BD" w14:textId="4D4F13A5" w:rsidR="00D766CD" w:rsidRPr="001D4028" w:rsidRDefault="00D766CD" w:rsidP="003A7E90">
            <w:pPr>
              <w:spacing w:line="360" w:lineRule="auto"/>
            </w:pPr>
            <w:r w:rsidRPr="001D4028">
              <w:t>23 (60.5 %)</w:t>
            </w:r>
          </w:p>
        </w:tc>
      </w:tr>
      <w:tr w:rsidR="00D766CD" w:rsidRPr="001D4028" w14:paraId="6C995480" w14:textId="77777777" w:rsidTr="001D4028">
        <w:trPr>
          <w:trHeight w:val="300"/>
        </w:trPr>
        <w:tc>
          <w:tcPr>
            <w:tcW w:w="7792" w:type="dxa"/>
            <w:shd w:val="clear" w:color="auto" w:fill="auto"/>
            <w:noWrap/>
            <w:vAlign w:val="center"/>
            <w:hideMark/>
          </w:tcPr>
          <w:p w14:paraId="65C9067B" w14:textId="77777777" w:rsidR="00D766CD" w:rsidRPr="001D4028" w:rsidRDefault="00D766CD"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6C0A923E" w14:textId="340647E4" w:rsidR="00D766CD" w:rsidRPr="001D4028" w:rsidRDefault="00D766CD" w:rsidP="003A7E90">
            <w:pPr>
              <w:spacing w:line="360" w:lineRule="auto"/>
              <w:rPr>
                <w:color w:val="FF0000"/>
              </w:rPr>
            </w:pPr>
            <w:r w:rsidRPr="001D4028">
              <w:rPr>
                <w:color w:val="000000"/>
              </w:rPr>
              <w:t>3 (7.9 %)</w:t>
            </w:r>
          </w:p>
        </w:tc>
      </w:tr>
      <w:tr w:rsidR="00D766CD" w:rsidRPr="001D4028" w14:paraId="42C9227F" w14:textId="77777777" w:rsidTr="001D4028">
        <w:trPr>
          <w:trHeight w:val="300"/>
        </w:trPr>
        <w:tc>
          <w:tcPr>
            <w:tcW w:w="7792" w:type="dxa"/>
            <w:shd w:val="clear" w:color="auto" w:fill="auto"/>
            <w:noWrap/>
            <w:vAlign w:val="center"/>
            <w:hideMark/>
          </w:tcPr>
          <w:p w14:paraId="514B95A1" w14:textId="77777777" w:rsidR="00D766CD" w:rsidRPr="001D4028" w:rsidRDefault="00D766CD"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5BB82751" w14:textId="58CBC720" w:rsidR="00D766CD" w:rsidRPr="001D4028" w:rsidRDefault="00D766CD" w:rsidP="003A7E90">
            <w:pPr>
              <w:spacing w:line="360" w:lineRule="auto"/>
              <w:rPr>
                <w:color w:val="FF0000"/>
              </w:rPr>
            </w:pPr>
            <w:r w:rsidRPr="001D4028">
              <w:t>0 (0.0 %)</w:t>
            </w:r>
          </w:p>
        </w:tc>
      </w:tr>
      <w:tr w:rsidR="00D766CD" w:rsidRPr="001D4028" w14:paraId="46A0EC08" w14:textId="77777777" w:rsidTr="001D4028">
        <w:trPr>
          <w:trHeight w:val="300"/>
        </w:trPr>
        <w:tc>
          <w:tcPr>
            <w:tcW w:w="9776" w:type="dxa"/>
            <w:gridSpan w:val="2"/>
            <w:shd w:val="clear" w:color="auto" w:fill="D9D9D9" w:themeFill="background1" w:themeFillShade="D9"/>
            <w:noWrap/>
            <w:vAlign w:val="center"/>
            <w:hideMark/>
          </w:tcPr>
          <w:p w14:paraId="21E0C2E1" w14:textId="7700395A" w:rsidR="00D766CD" w:rsidRPr="001D4028" w:rsidRDefault="00D766CD" w:rsidP="003A7E90">
            <w:pPr>
              <w:spacing w:line="360" w:lineRule="auto"/>
              <w:rPr>
                <w:color w:val="000000"/>
              </w:rPr>
            </w:pPr>
            <w:r w:rsidRPr="001D4028">
              <w:rPr>
                <w:color w:val="000000"/>
              </w:rPr>
              <w:t>The risk prediction model indicates that Patient B has a high risk of any irAE. Would you consider checkpoint inhibitor immunotherapy for this patient?</w:t>
            </w:r>
          </w:p>
        </w:tc>
      </w:tr>
      <w:tr w:rsidR="00D766CD" w:rsidRPr="001D4028" w14:paraId="16DA3021" w14:textId="77777777" w:rsidTr="001D4028">
        <w:trPr>
          <w:trHeight w:val="300"/>
        </w:trPr>
        <w:tc>
          <w:tcPr>
            <w:tcW w:w="7792" w:type="dxa"/>
            <w:shd w:val="clear" w:color="auto" w:fill="auto"/>
            <w:noWrap/>
            <w:vAlign w:val="center"/>
            <w:hideMark/>
          </w:tcPr>
          <w:p w14:paraId="268BD4E3" w14:textId="77777777" w:rsidR="00D766CD" w:rsidRPr="001D4028" w:rsidRDefault="00D766CD"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5D72C41B" w14:textId="01CF40BC" w:rsidR="00D766CD" w:rsidRPr="001D4028" w:rsidRDefault="00D766CD" w:rsidP="003A7E90">
            <w:pPr>
              <w:spacing w:line="360" w:lineRule="auto"/>
            </w:pPr>
            <w:r w:rsidRPr="001D4028">
              <w:t>7 (18.</w:t>
            </w:r>
            <w:r w:rsidR="00397563" w:rsidRPr="001D4028">
              <w:t>4</w:t>
            </w:r>
            <w:r w:rsidRPr="001D4028">
              <w:t xml:space="preserve"> %)</w:t>
            </w:r>
          </w:p>
        </w:tc>
      </w:tr>
      <w:tr w:rsidR="00D766CD" w:rsidRPr="001D4028" w14:paraId="75B968AB" w14:textId="77777777" w:rsidTr="001D4028">
        <w:trPr>
          <w:trHeight w:val="300"/>
        </w:trPr>
        <w:tc>
          <w:tcPr>
            <w:tcW w:w="7792" w:type="dxa"/>
            <w:shd w:val="clear" w:color="auto" w:fill="auto"/>
            <w:noWrap/>
            <w:vAlign w:val="center"/>
            <w:hideMark/>
          </w:tcPr>
          <w:p w14:paraId="4B75202E" w14:textId="77777777" w:rsidR="00D766CD" w:rsidRPr="001D4028" w:rsidRDefault="00D766CD"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67605568" w14:textId="2B2EAF1D" w:rsidR="00D766CD" w:rsidRPr="001D4028" w:rsidRDefault="00D766CD" w:rsidP="003A7E90">
            <w:pPr>
              <w:spacing w:line="360" w:lineRule="auto"/>
            </w:pPr>
            <w:r w:rsidRPr="001D4028">
              <w:t>23 (60.5 %)</w:t>
            </w:r>
          </w:p>
        </w:tc>
      </w:tr>
      <w:tr w:rsidR="00D766CD" w:rsidRPr="001D4028" w14:paraId="738877A9" w14:textId="77777777" w:rsidTr="001D4028">
        <w:trPr>
          <w:trHeight w:val="300"/>
        </w:trPr>
        <w:tc>
          <w:tcPr>
            <w:tcW w:w="7792" w:type="dxa"/>
            <w:shd w:val="clear" w:color="auto" w:fill="auto"/>
            <w:noWrap/>
            <w:vAlign w:val="center"/>
            <w:hideMark/>
          </w:tcPr>
          <w:p w14:paraId="64F16BEB" w14:textId="77777777" w:rsidR="00D766CD" w:rsidRPr="001D4028" w:rsidRDefault="00D766CD"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1CC603B2" w14:textId="56285480" w:rsidR="00D766CD" w:rsidRPr="001D4028" w:rsidRDefault="00D766CD" w:rsidP="003A7E90">
            <w:pPr>
              <w:spacing w:line="360" w:lineRule="auto"/>
              <w:rPr>
                <w:color w:val="FF0000"/>
              </w:rPr>
            </w:pPr>
            <w:r w:rsidRPr="001D4028">
              <w:rPr>
                <w:color w:val="000000"/>
              </w:rPr>
              <w:t>4 (10.5 %)</w:t>
            </w:r>
          </w:p>
        </w:tc>
      </w:tr>
      <w:tr w:rsidR="00D766CD" w:rsidRPr="001D4028" w14:paraId="2EB0C098" w14:textId="77777777" w:rsidTr="001D4028">
        <w:trPr>
          <w:trHeight w:val="300"/>
        </w:trPr>
        <w:tc>
          <w:tcPr>
            <w:tcW w:w="7792" w:type="dxa"/>
            <w:shd w:val="clear" w:color="auto" w:fill="auto"/>
            <w:noWrap/>
            <w:vAlign w:val="center"/>
            <w:hideMark/>
          </w:tcPr>
          <w:p w14:paraId="556390D8" w14:textId="77777777" w:rsidR="00D766CD" w:rsidRPr="001D4028" w:rsidRDefault="00D766CD"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67B89172" w14:textId="4D5BA5A2" w:rsidR="00D766CD" w:rsidRPr="001D4028" w:rsidRDefault="00D766CD" w:rsidP="003A7E90">
            <w:pPr>
              <w:spacing w:line="360" w:lineRule="auto"/>
              <w:rPr>
                <w:color w:val="FF0000"/>
              </w:rPr>
            </w:pPr>
            <w:r w:rsidRPr="001D4028">
              <w:rPr>
                <w:color w:val="000000"/>
              </w:rPr>
              <w:t>4 (10.5 %)</w:t>
            </w:r>
          </w:p>
        </w:tc>
      </w:tr>
    </w:tbl>
    <w:p w14:paraId="4CB02ADD" w14:textId="77777777" w:rsidR="004D3A62" w:rsidRDefault="004D3A62" w:rsidP="003A7E90">
      <w:pPr>
        <w:autoSpaceDE w:val="0"/>
        <w:autoSpaceDN w:val="0"/>
        <w:adjustRightInd w:val="0"/>
        <w:spacing w:line="360" w:lineRule="auto"/>
        <w:rPr>
          <w:color w:val="FF0000"/>
        </w:rPr>
      </w:pPr>
    </w:p>
    <w:p w14:paraId="546E1EAC" w14:textId="77777777" w:rsidR="003A7E90" w:rsidRDefault="003A7E90" w:rsidP="003A7E90">
      <w:pPr>
        <w:autoSpaceDE w:val="0"/>
        <w:autoSpaceDN w:val="0"/>
        <w:adjustRightInd w:val="0"/>
        <w:spacing w:line="360" w:lineRule="auto"/>
        <w:rPr>
          <w:color w:val="FF0000"/>
        </w:rPr>
      </w:pPr>
    </w:p>
    <w:p w14:paraId="4EBE0932" w14:textId="77777777" w:rsidR="003A7E90" w:rsidRDefault="003A7E90" w:rsidP="003A7E90">
      <w:pPr>
        <w:autoSpaceDE w:val="0"/>
        <w:autoSpaceDN w:val="0"/>
        <w:adjustRightInd w:val="0"/>
        <w:spacing w:line="360" w:lineRule="auto"/>
        <w:rPr>
          <w:color w:val="FF0000"/>
        </w:rPr>
      </w:pPr>
    </w:p>
    <w:p w14:paraId="57F8168E" w14:textId="77777777" w:rsidR="003A7E90" w:rsidRDefault="003A7E90" w:rsidP="003A7E90">
      <w:pPr>
        <w:autoSpaceDE w:val="0"/>
        <w:autoSpaceDN w:val="0"/>
        <w:adjustRightInd w:val="0"/>
        <w:spacing w:line="360" w:lineRule="auto"/>
        <w:rPr>
          <w:color w:val="FF0000"/>
        </w:rPr>
      </w:pPr>
    </w:p>
    <w:p w14:paraId="52CF47DB" w14:textId="77777777" w:rsidR="003A7E90" w:rsidRDefault="003A7E90" w:rsidP="003A7E90">
      <w:pPr>
        <w:autoSpaceDE w:val="0"/>
        <w:autoSpaceDN w:val="0"/>
        <w:adjustRightInd w:val="0"/>
        <w:spacing w:line="360" w:lineRule="auto"/>
        <w:rPr>
          <w:color w:val="FF0000"/>
        </w:rPr>
      </w:pPr>
    </w:p>
    <w:p w14:paraId="548A8136" w14:textId="77777777" w:rsidR="003A7E90" w:rsidRDefault="003A7E90" w:rsidP="003A7E90">
      <w:pPr>
        <w:autoSpaceDE w:val="0"/>
        <w:autoSpaceDN w:val="0"/>
        <w:adjustRightInd w:val="0"/>
        <w:spacing w:line="360" w:lineRule="auto"/>
        <w:rPr>
          <w:color w:val="FF0000"/>
        </w:rPr>
      </w:pPr>
    </w:p>
    <w:p w14:paraId="176A0272" w14:textId="77777777" w:rsidR="003A7E90" w:rsidRDefault="003A7E90" w:rsidP="003A7E90">
      <w:pPr>
        <w:autoSpaceDE w:val="0"/>
        <w:autoSpaceDN w:val="0"/>
        <w:adjustRightInd w:val="0"/>
        <w:spacing w:line="360" w:lineRule="auto"/>
        <w:rPr>
          <w:color w:val="FF0000"/>
        </w:rPr>
      </w:pPr>
    </w:p>
    <w:p w14:paraId="233ABD4E" w14:textId="77777777" w:rsidR="003A7E90" w:rsidRDefault="003A7E90" w:rsidP="003A7E90">
      <w:pPr>
        <w:autoSpaceDE w:val="0"/>
        <w:autoSpaceDN w:val="0"/>
        <w:adjustRightInd w:val="0"/>
        <w:spacing w:line="360" w:lineRule="auto"/>
        <w:rPr>
          <w:color w:val="FF0000"/>
        </w:rPr>
      </w:pPr>
    </w:p>
    <w:p w14:paraId="51E0C455" w14:textId="77777777" w:rsidR="003A7E90" w:rsidRDefault="003A7E90" w:rsidP="003A7E90">
      <w:pPr>
        <w:autoSpaceDE w:val="0"/>
        <w:autoSpaceDN w:val="0"/>
        <w:adjustRightInd w:val="0"/>
        <w:spacing w:line="360" w:lineRule="auto"/>
        <w:rPr>
          <w:color w:val="FF0000"/>
        </w:rPr>
      </w:pPr>
    </w:p>
    <w:p w14:paraId="4F0666C0" w14:textId="77777777" w:rsidR="003A7E90" w:rsidRPr="001D4028" w:rsidRDefault="003A7E90" w:rsidP="003A7E90">
      <w:pPr>
        <w:autoSpaceDE w:val="0"/>
        <w:autoSpaceDN w:val="0"/>
        <w:adjustRightInd w:val="0"/>
        <w:spacing w:line="360" w:lineRule="auto"/>
        <w:rPr>
          <w:color w:val="FF0000"/>
        </w:rPr>
      </w:pPr>
    </w:p>
    <w:p w14:paraId="15A5A66D" w14:textId="4D344E53" w:rsidR="00D766CD" w:rsidRPr="001D4028" w:rsidRDefault="00D766CD" w:rsidP="003A7E90">
      <w:pPr>
        <w:autoSpaceDE w:val="0"/>
        <w:autoSpaceDN w:val="0"/>
        <w:adjustRightInd w:val="0"/>
        <w:spacing w:line="360" w:lineRule="auto"/>
        <w:jc w:val="both"/>
        <w:rPr>
          <w:b/>
          <w:bCs/>
          <w:i/>
          <w:iCs/>
        </w:rPr>
      </w:pPr>
      <w:r w:rsidRPr="001D4028">
        <w:rPr>
          <w:b/>
          <w:bCs/>
        </w:rPr>
        <w:lastRenderedPageBreak/>
        <w:t xml:space="preserve">Table </w:t>
      </w:r>
      <w:r w:rsidR="00EE1B1F" w:rsidRPr="001D4028">
        <w:rPr>
          <w:b/>
          <w:bCs/>
        </w:rPr>
        <w:t>S</w:t>
      </w:r>
      <w:r w:rsidRPr="001D4028">
        <w:rPr>
          <w:b/>
          <w:bCs/>
        </w:rPr>
        <w:t xml:space="preserve">6: Responses from scenario 3. </w:t>
      </w:r>
      <w:r w:rsidRPr="001D4028">
        <w:rPr>
          <w:i/>
          <w:iCs/>
        </w:rPr>
        <w:t>n = 38</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EE6E4B" w:rsidRPr="001D4028" w14:paraId="0CCBEBFF" w14:textId="77777777" w:rsidTr="001D4028">
        <w:trPr>
          <w:trHeight w:val="300"/>
        </w:trPr>
        <w:tc>
          <w:tcPr>
            <w:tcW w:w="7792" w:type="dxa"/>
            <w:shd w:val="clear" w:color="auto" w:fill="000000" w:themeFill="text1"/>
            <w:noWrap/>
            <w:vAlign w:val="center"/>
            <w:hideMark/>
          </w:tcPr>
          <w:p w14:paraId="0EEE5175" w14:textId="08410571" w:rsidR="00D766CD" w:rsidRPr="001D4028" w:rsidRDefault="00D766CD" w:rsidP="003A7E90">
            <w:pPr>
              <w:spacing w:line="360" w:lineRule="auto"/>
              <w:jc w:val="center"/>
              <w:rPr>
                <w:b/>
                <w:bCs/>
                <w:color w:val="FFFFFF" w:themeColor="background1"/>
              </w:rPr>
            </w:pPr>
            <w:r w:rsidRPr="001D4028">
              <w:rPr>
                <w:b/>
                <w:bCs/>
                <w:color w:val="FFFFFF" w:themeColor="background1"/>
              </w:rPr>
              <w:t>Scenario 3</w:t>
            </w:r>
          </w:p>
        </w:tc>
        <w:tc>
          <w:tcPr>
            <w:tcW w:w="1984" w:type="dxa"/>
            <w:shd w:val="clear" w:color="auto" w:fill="000000" w:themeFill="text1"/>
            <w:noWrap/>
            <w:vAlign w:val="center"/>
            <w:hideMark/>
          </w:tcPr>
          <w:p w14:paraId="67B7AF46" w14:textId="77777777" w:rsidR="00D766CD" w:rsidRPr="001D4028" w:rsidRDefault="00D766CD" w:rsidP="003A7E90">
            <w:pPr>
              <w:spacing w:line="360" w:lineRule="auto"/>
              <w:jc w:val="center"/>
              <w:rPr>
                <w:b/>
                <w:bCs/>
                <w:color w:val="FFFFFF" w:themeColor="background1"/>
              </w:rPr>
            </w:pPr>
            <w:r w:rsidRPr="001D4028">
              <w:rPr>
                <w:b/>
                <w:bCs/>
                <w:color w:val="FFFFFF" w:themeColor="background1"/>
              </w:rPr>
              <w:t>Response (%)</w:t>
            </w:r>
          </w:p>
        </w:tc>
      </w:tr>
      <w:tr w:rsidR="00D766CD" w:rsidRPr="001D4028" w14:paraId="78B2F188" w14:textId="77777777" w:rsidTr="001D4028">
        <w:trPr>
          <w:trHeight w:val="300"/>
        </w:trPr>
        <w:tc>
          <w:tcPr>
            <w:tcW w:w="9776" w:type="dxa"/>
            <w:gridSpan w:val="2"/>
            <w:shd w:val="clear" w:color="auto" w:fill="D9D9D9" w:themeFill="background1" w:themeFillShade="D9"/>
            <w:noWrap/>
            <w:vAlign w:val="center"/>
            <w:hideMark/>
          </w:tcPr>
          <w:p w14:paraId="062947C5" w14:textId="52B155AD" w:rsidR="00D766CD" w:rsidRPr="001D4028" w:rsidRDefault="00D766CD" w:rsidP="003A7E90">
            <w:pPr>
              <w:spacing w:line="360" w:lineRule="auto"/>
              <w:rPr>
                <w:color w:val="000000"/>
              </w:rPr>
            </w:pPr>
            <w:r w:rsidRPr="001D4028">
              <w:rPr>
                <w:color w:val="000000"/>
              </w:rPr>
              <w:t>Patient C is an 80-year-old with newly diagnosed cancer. Patient C has experienced previous toxicity to medicines and has an ECOG performance status of 1. Would you consider checkpoint inhibitor immunotherapy for this patient?</w:t>
            </w:r>
          </w:p>
        </w:tc>
      </w:tr>
      <w:tr w:rsidR="00D766CD" w:rsidRPr="001D4028" w14:paraId="3747659A" w14:textId="77777777" w:rsidTr="001D4028">
        <w:trPr>
          <w:trHeight w:val="300"/>
        </w:trPr>
        <w:tc>
          <w:tcPr>
            <w:tcW w:w="7792" w:type="dxa"/>
            <w:shd w:val="clear" w:color="auto" w:fill="auto"/>
            <w:noWrap/>
            <w:vAlign w:val="center"/>
            <w:hideMark/>
          </w:tcPr>
          <w:p w14:paraId="03E8EB9E" w14:textId="77777777" w:rsidR="00D766CD" w:rsidRPr="001D4028" w:rsidRDefault="00D766CD"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19A3AD98" w14:textId="1C3A9607" w:rsidR="00D766CD" w:rsidRPr="001D4028" w:rsidRDefault="00397563" w:rsidP="003A7E90">
            <w:pPr>
              <w:spacing w:line="360" w:lineRule="auto"/>
            </w:pPr>
            <w:r w:rsidRPr="001D4028">
              <w:t>7 (18.4 %)</w:t>
            </w:r>
          </w:p>
        </w:tc>
      </w:tr>
      <w:tr w:rsidR="00D766CD" w:rsidRPr="001D4028" w14:paraId="0BE9CE8B" w14:textId="77777777" w:rsidTr="001D4028">
        <w:trPr>
          <w:trHeight w:val="300"/>
        </w:trPr>
        <w:tc>
          <w:tcPr>
            <w:tcW w:w="7792" w:type="dxa"/>
            <w:shd w:val="clear" w:color="auto" w:fill="auto"/>
            <w:noWrap/>
            <w:vAlign w:val="center"/>
            <w:hideMark/>
          </w:tcPr>
          <w:p w14:paraId="4911A66D" w14:textId="77777777" w:rsidR="00D766CD" w:rsidRPr="001D4028" w:rsidRDefault="00D766CD"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452A8980" w14:textId="25F657D1" w:rsidR="00D766CD" w:rsidRPr="001D4028" w:rsidRDefault="00D766CD" w:rsidP="003A7E90">
            <w:pPr>
              <w:spacing w:line="360" w:lineRule="auto"/>
            </w:pPr>
            <w:r w:rsidRPr="001D4028">
              <w:t>2</w:t>
            </w:r>
            <w:r w:rsidR="00397563" w:rsidRPr="001D4028">
              <w:t>7</w:t>
            </w:r>
            <w:r w:rsidRPr="001D4028">
              <w:t xml:space="preserve"> (</w:t>
            </w:r>
            <w:r w:rsidR="00397563" w:rsidRPr="001D4028">
              <w:t>71.1</w:t>
            </w:r>
            <w:r w:rsidRPr="001D4028">
              <w:t xml:space="preserve"> %)</w:t>
            </w:r>
          </w:p>
        </w:tc>
      </w:tr>
      <w:tr w:rsidR="00D766CD" w:rsidRPr="001D4028" w14:paraId="41A4398B" w14:textId="77777777" w:rsidTr="001D4028">
        <w:trPr>
          <w:trHeight w:val="300"/>
        </w:trPr>
        <w:tc>
          <w:tcPr>
            <w:tcW w:w="7792" w:type="dxa"/>
            <w:shd w:val="clear" w:color="auto" w:fill="auto"/>
            <w:noWrap/>
            <w:vAlign w:val="center"/>
            <w:hideMark/>
          </w:tcPr>
          <w:p w14:paraId="23A55236" w14:textId="77777777" w:rsidR="00D766CD" w:rsidRPr="001D4028" w:rsidRDefault="00D766CD"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184F9F70" w14:textId="0AEE4F6D" w:rsidR="00D766CD" w:rsidRPr="001D4028" w:rsidRDefault="00397563" w:rsidP="003A7E90">
            <w:pPr>
              <w:spacing w:line="360" w:lineRule="auto"/>
            </w:pPr>
            <w:r w:rsidRPr="001D4028">
              <w:t>3 (7.9 %)</w:t>
            </w:r>
          </w:p>
        </w:tc>
      </w:tr>
      <w:tr w:rsidR="00397563" w:rsidRPr="001D4028" w14:paraId="7FFDC836" w14:textId="77777777" w:rsidTr="001D4028">
        <w:trPr>
          <w:trHeight w:val="300"/>
        </w:trPr>
        <w:tc>
          <w:tcPr>
            <w:tcW w:w="7792" w:type="dxa"/>
            <w:shd w:val="clear" w:color="auto" w:fill="auto"/>
            <w:noWrap/>
            <w:vAlign w:val="center"/>
            <w:hideMark/>
          </w:tcPr>
          <w:p w14:paraId="544069A1" w14:textId="77777777" w:rsidR="00397563" w:rsidRPr="001D4028" w:rsidRDefault="00397563"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4621210D" w14:textId="4E6A4905" w:rsidR="00397563" w:rsidRPr="001D4028" w:rsidRDefault="00397563" w:rsidP="003A7E90">
            <w:pPr>
              <w:spacing w:line="360" w:lineRule="auto"/>
            </w:pPr>
            <w:r w:rsidRPr="001D4028">
              <w:t>1 (2.6 %)</w:t>
            </w:r>
          </w:p>
        </w:tc>
      </w:tr>
      <w:tr w:rsidR="00D766CD" w:rsidRPr="001D4028" w14:paraId="34049B01" w14:textId="77777777" w:rsidTr="001D4028">
        <w:trPr>
          <w:trHeight w:val="300"/>
        </w:trPr>
        <w:tc>
          <w:tcPr>
            <w:tcW w:w="9776" w:type="dxa"/>
            <w:gridSpan w:val="2"/>
            <w:shd w:val="clear" w:color="auto" w:fill="D9D9D9" w:themeFill="background1" w:themeFillShade="D9"/>
            <w:noWrap/>
            <w:vAlign w:val="center"/>
            <w:hideMark/>
          </w:tcPr>
          <w:p w14:paraId="3D4FA89E" w14:textId="2728FBF9" w:rsidR="00D766CD" w:rsidRPr="001D4028" w:rsidRDefault="00D766CD" w:rsidP="003A7E90">
            <w:pPr>
              <w:spacing w:line="360" w:lineRule="auto"/>
              <w:rPr>
                <w:color w:val="000000"/>
              </w:rPr>
            </w:pPr>
            <w:r w:rsidRPr="001D4028">
              <w:rPr>
                <w:color w:val="000000"/>
              </w:rPr>
              <w:t>The risk prediction model indicates that Patient C has a low risk of immunotherapy-induced colitis. Would you consider checkpoint inhibitor immunotherapy for this patient?</w:t>
            </w:r>
          </w:p>
        </w:tc>
      </w:tr>
      <w:tr w:rsidR="00D766CD" w:rsidRPr="001D4028" w14:paraId="5B3FDFA0" w14:textId="77777777" w:rsidTr="001D4028">
        <w:trPr>
          <w:trHeight w:val="300"/>
        </w:trPr>
        <w:tc>
          <w:tcPr>
            <w:tcW w:w="7792" w:type="dxa"/>
            <w:shd w:val="clear" w:color="auto" w:fill="auto"/>
            <w:noWrap/>
            <w:vAlign w:val="center"/>
            <w:hideMark/>
          </w:tcPr>
          <w:p w14:paraId="2FBB3487" w14:textId="77777777" w:rsidR="00D766CD" w:rsidRPr="001D4028" w:rsidRDefault="00D766CD"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3BDAFD9A" w14:textId="1F8187D2" w:rsidR="00D766CD" w:rsidRPr="001D4028" w:rsidRDefault="00397563" w:rsidP="003A7E90">
            <w:pPr>
              <w:spacing w:line="360" w:lineRule="auto"/>
            </w:pPr>
            <w:r w:rsidRPr="001D4028">
              <w:t>6 (15.8 %)</w:t>
            </w:r>
          </w:p>
        </w:tc>
      </w:tr>
      <w:tr w:rsidR="00D766CD" w:rsidRPr="001D4028" w14:paraId="77116D73" w14:textId="77777777" w:rsidTr="001D4028">
        <w:trPr>
          <w:trHeight w:val="300"/>
        </w:trPr>
        <w:tc>
          <w:tcPr>
            <w:tcW w:w="7792" w:type="dxa"/>
            <w:shd w:val="clear" w:color="auto" w:fill="auto"/>
            <w:noWrap/>
            <w:vAlign w:val="center"/>
            <w:hideMark/>
          </w:tcPr>
          <w:p w14:paraId="3C72DF6E" w14:textId="77777777" w:rsidR="00D766CD" w:rsidRPr="001D4028" w:rsidRDefault="00D766CD"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1DF264CA" w14:textId="3A5F7A90" w:rsidR="00D766CD" w:rsidRPr="001D4028" w:rsidRDefault="00D766CD" w:rsidP="003A7E90">
            <w:pPr>
              <w:spacing w:line="360" w:lineRule="auto"/>
            </w:pPr>
            <w:r w:rsidRPr="001D4028">
              <w:t>3</w:t>
            </w:r>
            <w:r w:rsidR="00397563" w:rsidRPr="001D4028">
              <w:t>0</w:t>
            </w:r>
            <w:r w:rsidRPr="001D4028">
              <w:t xml:space="preserve"> (</w:t>
            </w:r>
            <w:r w:rsidR="00397563" w:rsidRPr="001D4028">
              <w:t>78.9</w:t>
            </w:r>
            <w:r w:rsidRPr="001D4028">
              <w:t xml:space="preserve"> %)</w:t>
            </w:r>
          </w:p>
        </w:tc>
      </w:tr>
      <w:tr w:rsidR="00D766CD" w:rsidRPr="001D4028" w14:paraId="7192C40B" w14:textId="77777777" w:rsidTr="001D4028">
        <w:trPr>
          <w:trHeight w:val="300"/>
        </w:trPr>
        <w:tc>
          <w:tcPr>
            <w:tcW w:w="7792" w:type="dxa"/>
            <w:shd w:val="clear" w:color="auto" w:fill="auto"/>
            <w:noWrap/>
            <w:vAlign w:val="center"/>
            <w:hideMark/>
          </w:tcPr>
          <w:p w14:paraId="72A0CD56" w14:textId="77777777" w:rsidR="00D766CD" w:rsidRPr="001D4028" w:rsidRDefault="00D766CD"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1DF24020" w14:textId="1110920A" w:rsidR="00D766CD" w:rsidRPr="001D4028" w:rsidRDefault="00397563" w:rsidP="003A7E90">
            <w:pPr>
              <w:spacing w:line="360" w:lineRule="auto"/>
              <w:rPr>
                <w:color w:val="FF0000"/>
              </w:rPr>
            </w:pPr>
            <w:r w:rsidRPr="001D4028">
              <w:t>1 (2.6 %)</w:t>
            </w:r>
          </w:p>
        </w:tc>
      </w:tr>
      <w:tr w:rsidR="00D766CD" w:rsidRPr="001D4028" w14:paraId="4771F47E" w14:textId="77777777" w:rsidTr="001D4028">
        <w:trPr>
          <w:trHeight w:val="300"/>
        </w:trPr>
        <w:tc>
          <w:tcPr>
            <w:tcW w:w="7792" w:type="dxa"/>
            <w:shd w:val="clear" w:color="auto" w:fill="auto"/>
            <w:noWrap/>
            <w:vAlign w:val="center"/>
            <w:hideMark/>
          </w:tcPr>
          <w:p w14:paraId="2677D195" w14:textId="77777777" w:rsidR="00D766CD" w:rsidRPr="001D4028" w:rsidRDefault="00D766CD"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5DB01712" w14:textId="1916FE2D" w:rsidR="00D766CD" w:rsidRPr="001D4028" w:rsidRDefault="00397563" w:rsidP="003A7E90">
            <w:pPr>
              <w:spacing w:line="360" w:lineRule="auto"/>
              <w:rPr>
                <w:color w:val="FF0000"/>
              </w:rPr>
            </w:pPr>
            <w:r w:rsidRPr="001D4028">
              <w:t>1 (2.6 %)</w:t>
            </w:r>
          </w:p>
        </w:tc>
      </w:tr>
      <w:tr w:rsidR="00D766CD" w:rsidRPr="001D4028" w14:paraId="0A93024F" w14:textId="77777777" w:rsidTr="001D4028">
        <w:trPr>
          <w:trHeight w:val="300"/>
        </w:trPr>
        <w:tc>
          <w:tcPr>
            <w:tcW w:w="9776" w:type="dxa"/>
            <w:gridSpan w:val="2"/>
            <w:shd w:val="clear" w:color="auto" w:fill="D9D9D9" w:themeFill="background1" w:themeFillShade="D9"/>
            <w:noWrap/>
            <w:vAlign w:val="center"/>
            <w:hideMark/>
          </w:tcPr>
          <w:p w14:paraId="04FD758B" w14:textId="68F15FCB" w:rsidR="00D766CD" w:rsidRPr="001D4028" w:rsidRDefault="00397563" w:rsidP="003A7E90">
            <w:pPr>
              <w:spacing w:line="360" w:lineRule="auto"/>
              <w:rPr>
                <w:color w:val="000000"/>
              </w:rPr>
            </w:pPr>
            <w:r w:rsidRPr="001D4028">
              <w:rPr>
                <w:color w:val="000000"/>
              </w:rPr>
              <w:t>The risk prediction model indicates that Patient C has a moderate risk of any irAE. Would you consider checkpoint inhibitor immunotherapy for this patient?</w:t>
            </w:r>
          </w:p>
        </w:tc>
      </w:tr>
      <w:tr w:rsidR="00D766CD" w:rsidRPr="001D4028" w14:paraId="55C20E6B" w14:textId="77777777" w:rsidTr="001D4028">
        <w:trPr>
          <w:trHeight w:val="300"/>
        </w:trPr>
        <w:tc>
          <w:tcPr>
            <w:tcW w:w="7792" w:type="dxa"/>
            <w:shd w:val="clear" w:color="auto" w:fill="auto"/>
            <w:noWrap/>
            <w:vAlign w:val="center"/>
            <w:hideMark/>
          </w:tcPr>
          <w:p w14:paraId="44CC35A4" w14:textId="77777777" w:rsidR="00D766CD" w:rsidRPr="001D4028" w:rsidRDefault="00D766CD" w:rsidP="003A7E90">
            <w:pPr>
              <w:spacing w:line="360" w:lineRule="auto"/>
              <w:rPr>
                <w:color w:val="000000"/>
              </w:rPr>
            </w:pPr>
            <w:r w:rsidRPr="001D4028">
              <w:rPr>
                <w:color w:val="000000"/>
              </w:rPr>
              <w:t>Yes – I would consider combined checkpoint inhibitor immunotherapy</w:t>
            </w:r>
          </w:p>
        </w:tc>
        <w:tc>
          <w:tcPr>
            <w:tcW w:w="1984" w:type="dxa"/>
            <w:shd w:val="clear" w:color="auto" w:fill="auto"/>
            <w:noWrap/>
            <w:vAlign w:val="center"/>
            <w:hideMark/>
          </w:tcPr>
          <w:p w14:paraId="69329D1B" w14:textId="46E28CD4" w:rsidR="00D766CD" w:rsidRPr="001D4028" w:rsidRDefault="00397563" w:rsidP="003A7E90">
            <w:pPr>
              <w:spacing w:line="360" w:lineRule="auto"/>
              <w:rPr>
                <w:color w:val="FF0000"/>
              </w:rPr>
            </w:pPr>
            <w:r w:rsidRPr="001D4028">
              <w:t>3 (7.9 %)</w:t>
            </w:r>
          </w:p>
        </w:tc>
      </w:tr>
      <w:tr w:rsidR="00D766CD" w:rsidRPr="001D4028" w14:paraId="769F6AD0" w14:textId="77777777" w:rsidTr="001D4028">
        <w:trPr>
          <w:trHeight w:val="300"/>
        </w:trPr>
        <w:tc>
          <w:tcPr>
            <w:tcW w:w="7792" w:type="dxa"/>
            <w:shd w:val="clear" w:color="auto" w:fill="auto"/>
            <w:noWrap/>
            <w:vAlign w:val="center"/>
            <w:hideMark/>
          </w:tcPr>
          <w:p w14:paraId="10AFF125" w14:textId="77777777" w:rsidR="00D766CD" w:rsidRPr="001D4028" w:rsidRDefault="00D766CD" w:rsidP="003A7E90">
            <w:pPr>
              <w:spacing w:line="360" w:lineRule="auto"/>
              <w:rPr>
                <w:color w:val="000000"/>
              </w:rPr>
            </w:pPr>
            <w:r w:rsidRPr="001D4028">
              <w:rPr>
                <w:color w:val="000000"/>
              </w:rPr>
              <w:t>Yes – I would consider single agent checkpoint inhibitor immunotherapy</w:t>
            </w:r>
          </w:p>
        </w:tc>
        <w:tc>
          <w:tcPr>
            <w:tcW w:w="1984" w:type="dxa"/>
            <w:shd w:val="clear" w:color="auto" w:fill="auto"/>
            <w:noWrap/>
            <w:vAlign w:val="center"/>
            <w:hideMark/>
          </w:tcPr>
          <w:p w14:paraId="48C2DCDA" w14:textId="6CC79B17" w:rsidR="00D766CD" w:rsidRPr="001D4028" w:rsidRDefault="00397563" w:rsidP="003A7E90">
            <w:pPr>
              <w:spacing w:line="360" w:lineRule="auto"/>
              <w:rPr>
                <w:color w:val="FF0000"/>
              </w:rPr>
            </w:pPr>
            <w:r w:rsidRPr="001D4028">
              <w:t>27 (71.1 %)</w:t>
            </w:r>
          </w:p>
        </w:tc>
      </w:tr>
      <w:tr w:rsidR="00D766CD" w:rsidRPr="001D4028" w14:paraId="3C4957D1" w14:textId="77777777" w:rsidTr="001D4028">
        <w:trPr>
          <w:trHeight w:val="300"/>
        </w:trPr>
        <w:tc>
          <w:tcPr>
            <w:tcW w:w="7792" w:type="dxa"/>
            <w:shd w:val="clear" w:color="auto" w:fill="auto"/>
            <w:noWrap/>
            <w:vAlign w:val="center"/>
            <w:hideMark/>
          </w:tcPr>
          <w:p w14:paraId="5CD1A2AD" w14:textId="77777777" w:rsidR="00D766CD" w:rsidRPr="001D4028" w:rsidRDefault="00D766CD" w:rsidP="003A7E90">
            <w:pPr>
              <w:spacing w:line="360" w:lineRule="auto"/>
              <w:rPr>
                <w:color w:val="000000"/>
              </w:rPr>
            </w:pPr>
            <w:r w:rsidRPr="001D4028">
              <w:rPr>
                <w:color w:val="000000"/>
              </w:rPr>
              <w:t>No – I would not consider any checkpoint inhibitor immunotherapy</w:t>
            </w:r>
          </w:p>
        </w:tc>
        <w:tc>
          <w:tcPr>
            <w:tcW w:w="1984" w:type="dxa"/>
            <w:shd w:val="clear" w:color="auto" w:fill="auto"/>
            <w:noWrap/>
            <w:vAlign w:val="center"/>
            <w:hideMark/>
          </w:tcPr>
          <w:p w14:paraId="715A9D16" w14:textId="77777777" w:rsidR="00D766CD" w:rsidRPr="001D4028" w:rsidRDefault="00D766CD" w:rsidP="003A7E90">
            <w:pPr>
              <w:spacing w:line="360" w:lineRule="auto"/>
            </w:pPr>
            <w:r w:rsidRPr="001D4028">
              <w:t>4 (10.5 %)</w:t>
            </w:r>
          </w:p>
        </w:tc>
      </w:tr>
      <w:tr w:rsidR="00D766CD" w:rsidRPr="001D4028" w14:paraId="51CFECAC" w14:textId="77777777" w:rsidTr="001D4028">
        <w:trPr>
          <w:trHeight w:val="300"/>
        </w:trPr>
        <w:tc>
          <w:tcPr>
            <w:tcW w:w="7792" w:type="dxa"/>
            <w:shd w:val="clear" w:color="auto" w:fill="auto"/>
            <w:noWrap/>
            <w:vAlign w:val="center"/>
            <w:hideMark/>
          </w:tcPr>
          <w:p w14:paraId="64BACC4F" w14:textId="77777777" w:rsidR="00D766CD" w:rsidRPr="001D4028" w:rsidRDefault="00D766CD" w:rsidP="003A7E90">
            <w:pPr>
              <w:spacing w:line="360" w:lineRule="auto"/>
              <w:rPr>
                <w:color w:val="000000"/>
              </w:rPr>
            </w:pPr>
            <w:r w:rsidRPr="001D4028">
              <w:rPr>
                <w:color w:val="000000"/>
              </w:rPr>
              <w:t>No – I would avoid checkpoint inhibitor immunotherapy</w:t>
            </w:r>
          </w:p>
        </w:tc>
        <w:tc>
          <w:tcPr>
            <w:tcW w:w="1984" w:type="dxa"/>
            <w:shd w:val="clear" w:color="auto" w:fill="auto"/>
            <w:noWrap/>
            <w:vAlign w:val="center"/>
            <w:hideMark/>
          </w:tcPr>
          <w:p w14:paraId="6D3CD54D" w14:textId="77777777" w:rsidR="00D766CD" w:rsidRPr="001D4028" w:rsidRDefault="00D766CD" w:rsidP="003A7E90">
            <w:pPr>
              <w:spacing w:line="360" w:lineRule="auto"/>
            </w:pPr>
            <w:r w:rsidRPr="001D4028">
              <w:t>4 (10.5 %)</w:t>
            </w:r>
          </w:p>
        </w:tc>
      </w:tr>
    </w:tbl>
    <w:p w14:paraId="47496DCF" w14:textId="0B50F8E5" w:rsidR="0067476C" w:rsidRPr="001D4028" w:rsidRDefault="0067476C" w:rsidP="003A7E90">
      <w:pPr>
        <w:widowControl w:val="0"/>
        <w:spacing w:line="360" w:lineRule="auto"/>
        <w:jc w:val="both"/>
        <w:rPr>
          <w:color w:val="FF0000"/>
          <w:lang w:val="en-GB"/>
        </w:rPr>
      </w:pPr>
      <w:bookmarkStart w:id="0" w:name="_Disclosure"/>
      <w:bookmarkEnd w:id="0"/>
    </w:p>
    <w:sectPr w:rsidR="0067476C" w:rsidRPr="001D4028" w:rsidSect="001D4028">
      <w:headerReference w:type="default" r:id="rId7"/>
      <w:footerReference w:type="even" r:id="rId8"/>
      <w:footerReference w:type="default" r:id="rId9"/>
      <w:pgSz w:w="12240" w:h="15840"/>
      <w:pgMar w:top="1474" w:right="1247" w:bottom="1247" w:left="1247"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D7BD" w14:textId="77777777" w:rsidR="0012563D" w:rsidRDefault="0012563D">
      <w:r>
        <w:separator/>
      </w:r>
    </w:p>
  </w:endnote>
  <w:endnote w:type="continuationSeparator" w:id="0">
    <w:p w14:paraId="6AE23712" w14:textId="77777777" w:rsidR="0012563D" w:rsidRDefault="0012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E616" w14:textId="77777777" w:rsidR="006C5368" w:rsidRDefault="006C5368" w:rsidP="00FE4F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BBF">
      <w:rPr>
        <w:rStyle w:val="PageNumber"/>
        <w:noProof/>
      </w:rPr>
      <w:t>2</w:t>
    </w:r>
    <w:r>
      <w:rPr>
        <w:rStyle w:val="PageNumber"/>
      </w:rPr>
      <w:fldChar w:fldCharType="end"/>
    </w:r>
  </w:p>
  <w:p w14:paraId="3506C66A" w14:textId="77777777" w:rsidR="006C5368" w:rsidRDefault="006C5368" w:rsidP="00A42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74DF" w14:textId="77777777" w:rsidR="006C5368" w:rsidRPr="00FE4F36" w:rsidRDefault="006C5368" w:rsidP="00FE4F36">
    <w:pPr>
      <w:pStyle w:val="Footer"/>
      <w:framePr w:wrap="none" w:vAnchor="text" w:hAnchor="margin" w:xAlign="right" w:y="1"/>
      <w:rPr>
        <w:rStyle w:val="PageNumber"/>
        <w:rFonts w:ascii="Times New Roman" w:hAnsi="Times New Roman" w:cs="Times New Roman"/>
        <w:sz w:val="24"/>
        <w:szCs w:val="24"/>
      </w:rPr>
    </w:pPr>
    <w:r w:rsidRPr="00FE4F36">
      <w:rPr>
        <w:rStyle w:val="PageNumber"/>
        <w:rFonts w:ascii="Times New Roman" w:hAnsi="Times New Roman" w:cs="Times New Roman"/>
        <w:sz w:val="24"/>
        <w:szCs w:val="24"/>
      </w:rPr>
      <w:fldChar w:fldCharType="begin"/>
    </w:r>
    <w:r w:rsidRPr="00FE4F36">
      <w:rPr>
        <w:rStyle w:val="PageNumber"/>
        <w:rFonts w:ascii="Times New Roman" w:hAnsi="Times New Roman" w:cs="Times New Roman"/>
        <w:sz w:val="24"/>
        <w:szCs w:val="24"/>
      </w:rPr>
      <w:instrText xml:space="preserve">PAGE  </w:instrText>
    </w:r>
    <w:r w:rsidRPr="00FE4F36">
      <w:rPr>
        <w:rStyle w:val="PageNumber"/>
        <w:rFonts w:ascii="Times New Roman" w:hAnsi="Times New Roman" w:cs="Times New Roman"/>
        <w:sz w:val="24"/>
        <w:szCs w:val="24"/>
      </w:rPr>
      <w:fldChar w:fldCharType="separate"/>
    </w:r>
    <w:r w:rsidR="00C94612" w:rsidRPr="00FE4F36">
      <w:rPr>
        <w:rStyle w:val="PageNumber"/>
        <w:rFonts w:ascii="Times New Roman" w:hAnsi="Times New Roman" w:cs="Times New Roman"/>
        <w:noProof/>
        <w:sz w:val="24"/>
        <w:szCs w:val="24"/>
      </w:rPr>
      <w:t>5</w:t>
    </w:r>
    <w:r w:rsidRPr="00FE4F36">
      <w:rPr>
        <w:rStyle w:val="PageNumber"/>
        <w:rFonts w:ascii="Times New Roman" w:hAnsi="Times New Roman" w:cs="Times New Roman"/>
        <w:sz w:val="24"/>
        <w:szCs w:val="24"/>
      </w:rPr>
      <w:fldChar w:fldCharType="end"/>
    </w:r>
  </w:p>
  <w:p w14:paraId="709042EF" w14:textId="77777777" w:rsidR="006C5368" w:rsidRPr="00A42A40" w:rsidRDefault="006C5368" w:rsidP="00A42A40">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1A7D" w14:textId="77777777" w:rsidR="0012563D" w:rsidRDefault="0012563D">
      <w:r>
        <w:separator/>
      </w:r>
    </w:p>
  </w:footnote>
  <w:footnote w:type="continuationSeparator" w:id="0">
    <w:p w14:paraId="1CA6F919" w14:textId="77777777" w:rsidR="0012563D" w:rsidRDefault="0012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DAC0" w14:textId="77777777" w:rsidR="001D4028" w:rsidRPr="0047517B" w:rsidRDefault="001D4028" w:rsidP="001D4028">
    <w:pPr>
      <w:pStyle w:val="paragraph"/>
      <w:spacing w:before="0" w:beforeAutospacing="0" w:after="0" w:afterAutospacing="0" w:line="360" w:lineRule="auto"/>
      <w:jc w:val="right"/>
      <w:textAlignment w:val="baseline"/>
      <w:rPr>
        <w:rStyle w:val="normaltextrun"/>
        <w:lang w:val="en-US"/>
      </w:rPr>
    </w:pPr>
    <w:r w:rsidRPr="0047517B">
      <w:rPr>
        <w:rStyle w:val="normaltextrun"/>
        <w:lang w:val="en-US"/>
      </w:rPr>
      <w:t>Jayathilaka et al</w:t>
    </w:r>
  </w:p>
  <w:p w14:paraId="5845239E" w14:textId="72D1AFFF" w:rsidR="001D4028" w:rsidRPr="001D4028" w:rsidRDefault="001D4028" w:rsidP="001D4028">
    <w:pPr>
      <w:pStyle w:val="paragraph"/>
      <w:spacing w:before="0" w:beforeAutospacing="0" w:after="0" w:afterAutospacing="0" w:line="360" w:lineRule="auto"/>
      <w:jc w:val="right"/>
      <w:textAlignment w:val="baseline"/>
      <w:rPr>
        <w:lang w:val="en-US"/>
      </w:rPr>
    </w:pPr>
    <w:r w:rsidRPr="0047517B">
      <w:rPr>
        <w:rStyle w:val="normaltextrun"/>
        <w:lang w:val="en-US"/>
      </w:rPr>
      <w:t xml:space="preserve">Clinician perspectives on </w:t>
    </w:r>
    <w:r>
      <w:rPr>
        <w:rStyle w:val="normaltextrun"/>
        <w:lang w:val="en-US"/>
      </w:rPr>
      <w:t xml:space="preserve">irAE </w:t>
    </w:r>
    <w:r w:rsidRPr="0047517B">
      <w:rPr>
        <w:rStyle w:val="normaltextrun"/>
        <w:lang w:val="en-US"/>
      </w:rPr>
      <w:t>risk prediction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82D"/>
    <w:multiLevelType w:val="multilevel"/>
    <w:tmpl w:val="A518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8206D"/>
    <w:multiLevelType w:val="multilevel"/>
    <w:tmpl w:val="389AD3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 w15:restartNumberingAfterBreak="0">
    <w:nsid w:val="0D7A3235"/>
    <w:multiLevelType w:val="hybridMultilevel"/>
    <w:tmpl w:val="9C0A90C0"/>
    <w:lvl w:ilvl="0" w:tplc="639822A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7595F"/>
    <w:multiLevelType w:val="multilevel"/>
    <w:tmpl w:val="A63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3013"/>
    <w:multiLevelType w:val="multilevel"/>
    <w:tmpl w:val="E890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EC58A6"/>
    <w:multiLevelType w:val="hybridMultilevel"/>
    <w:tmpl w:val="A04AA630"/>
    <w:lvl w:ilvl="0" w:tplc="07E6446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E6031"/>
    <w:multiLevelType w:val="multilevel"/>
    <w:tmpl w:val="E600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2446E"/>
    <w:multiLevelType w:val="multilevel"/>
    <w:tmpl w:val="062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A4508"/>
    <w:multiLevelType w:val="hybridMultilevel"/>
    <w:tmpl w:val="9488A0E0"/>
    <w:lvl w:ilvl="0" w:tplc="3898A536">
      <w:start w:val="1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475BD"/>
    <w:multiLevelType w:val="hybridMultilevel"/>
    <w:tmpl w:val="31423F1C"/>
    <w:lvl w:ilvl="0" w:tplc="A9A23F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CB6239"/>
    <w:multiLevelType w:val="hybridMultilevel"/>
    <w:tmpl w:val="D28AAF64"/>
    <w:lvl w:ilvl="0" w:tplc="1EBA252E">
      <w:start w:val="2"/>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179F2"/>
    <w:multiLevelType w:val="hybridMultilevel"/>
    <w:tmpl w:val="336E564C"/>
    <w:lvl w:ilvl="0" w:tplc="6CA0923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E2BE5"/>
    <w:multiLevelType w:val="hybridMultilevel"/>
    <w:tmpl w:val="58504B80"/>
    <w:lvl w:ilvl="0" w:tplc="47DC3D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7B97EB1"/>
    <w:multiLevelType w:val="hybridMultilevel"/>
    <w:tmpl w:val="75B8ACB2"/>
    <w:lvl w:ilvl="0" w:tplc="C39256D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30D15"/>
    <w:multiLevelType w:val="hybridMultilevel"/>
    <w:tmpl w:val="2440FE74"/>
    <w:lvl w:ilvl="0" w:tplc="7DBACA7A">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F50F3"/>
    <w:multiLevelType w:val="hybridMultilevel"/>
    <w:tmpl w:val="82FC6344"/>
    <w:lvl w:ilvl="0" w:tplc="B064622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881487">
    <w:abstractNumId w:val="7"/>
  </w:num>
  <w:num w:numId="2" w16cid:durableId="354039769">
    <w:abstractNumId w:val="12"/>
  </w:num>
  <w:num w:numId="3" w16cid:durableId="1137913215">
    <w:abstractNumId w:val="21"/>
  </w:num>
  <w:num w:numId="4" w16cid:durableId="200244434">
    <w:abstractNumId w:val="16"/>
  </w:num>
  <w:num w:numId="5" w16cid:durableId="1374185658">
    <w:abstractNumId w:val="5"/>
  </w:num>
  <w:num w:numId="6" w16cid:durableId="1810248849">
    <w:abstractNumId w:val="18"/>
  </w:num>
  <w:num w:numId="7" w16cid:durableId="1938369187">
    <w:abstractNumId w:val="17"/>
  </w:num>
  <w:num w:numId="8" w16cid:durableId="1161966522">
    <w:abstractNumId w:val="10"/>
  </w:num>
  <w:num w:numId="9" w16cid:durableId="1417558829">
    <w:abstractNumId w:val="4"/>
  </w:num>
  <w:num w:numId="10" w16cid:durableId="104735336">
    <w:abstractNumId w:val="9"/>
  </w:num>
  <w:num w:numId="11" w16cid:durableId="429549564">
    <w:abstractNumId w:val="3"/>
  </w:num>
  <w:num w:numId="12" w16cid:durableId="1074469510">
    <w:abstractNumId w:val="14"/>
  </w:num>
  <w:num w:numId="13" w16cid:durableId="1770616793">
    <w:abstractNumId w:val="6"/>
  </w:num>
  <w:num w:numId="14" w16cid:durableId="1786387388">
    <w:abstractNumId w:val="19"/>
  </w:num>
  <w:num w:numId="15" w16cid:durableId="659887265">
    <w:abstractNumId w:val="13"/>
  </w:num>
  <w:num w:numId="16" w16cid:durableId="1812363063">
    <w:abstractNumId w:val="1"/>
  </w:num>
  <w:num w:numId="17" w16cid:durableId="2088375698">
    <w:abstractNumId w:val="20"/>
  </w:num>
  <w:num w:numId="18" w16cid:durableId="881284727">
    <w:abstractNumId w:val="11"/>
  </w:num>
  <w:num w:numId="19" w16cid:durableId="2145468922">
    <w:abstractNumId w:val="8"/>
  </w:num>
  <w:num w:numId="20" w16cid:durableId="1108618295">
    <w:abstractNumId w:val="0"/>
  </w:num>
  <w:num w:numId="21" w16cid:durableId="497960761">
    <w:abstractNumId w:val="15"/>
  </w:num>
  <w:num w:numId="22" w16cid:durableId="196727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tddxx2zv2zp4ew0sc5tx9p25dzxfezz5sd&quot;&gt;My EndNote Library&lt;record-ids&gt;&lt;item&gt;5&lt;/item&gt;&lt;item&gt;7&lt;/item&gt;&lt;item&gt;8&lt;/item&gt;&lt;item&gt;9&lt;/item&gt;&lt;item&gt;10&lt;/item&gt;&lt;item&gt;11&lt;/item&gt;&lt;item&gt;12&lt;/item&gt;&lt;item&gt;5271&lt;/item&gt;&lt;item&gt;7947&lt;/item&gt;&lt;item&gt;8040&lt;/item&gt;&lt;item&gt;8064&lt;/item&gt;&lt;item&gt;8069&lt;/item&gt;&lt;item&gt;8075&lt;/item&gt;&lt;item&gt;8082&lt;/item&gt;&lt;/record-ids&gt;&lt;/item&gt;&lt;/Libraries&gt;"/>
  </w:docVars>
  <w:rsids>
    <w:rsidRoot w:val="00B30BC3"/>
    <w:rsid w:val="00002F34"/>
    <w:rsid w:val="00006721"/>
    <w:rsid w:val="00006E2A"/>
    <w:rsid w:val="00012944"/>
    <w:rsid w:val="000154C8"/>
    <w:rsid w:val="00024094"/>
    <w:rsid w:val="00026570"/>
    <w:rsid w:val="00033695"/>
    <w:rsid w:val="000342A0"/>
    <w:rsid w:val="00035CCC"/>
    <w:rsid w:val="00043AE9"/>
    <w:rsid w:val="00043C1E"/>
    <w:rsid w:val="00044F12"/>
    <w:rsid w:val="00046EE0"/>
    <w:rsid w:val="000475E4"/>
    <w:rsid w:val="00051257"/>
    <w:rsid w:val="0005257A"/>
    <w:rsid w:val="00054361"/>
    <w:rsid w:val="00055A1D"/>
    <w:rsid w:val="00055B89"/>
    <w:rsid w:val="00062025"/>
    <w:rsid w:val="00062DDA"/>
    <w:rsid w:val="00063FD2"/>
    <w:rsid w:val="000666AF"/>
    <w:rsid w:val="000704BC"/>
    <w:rsid w:val="000707F4"/>
    <w:rsid w:val="0007252D"/>
    <w:rsid w:val="00073DDF"/>
    <w:rsid w:val="00074EED"/>
    <w:rsid w:val="000765D6"/>
    <w:rsid w:val="00076890"/>
    <w:rsid w:val="0008283A"/>
    <w:rsid w:val="0008401B"/>
    <w:rsid w:val="00087F9B"/>
    <w:rsid w:val="00097D47"/>
    <w:rsid w:val="000A436A"/>
    <w:rsid w:val="000A436F"/>
    <w:rsid w:val="000A4388"/>
    <w:rsid w:val="000B12CE"/>
    <w:rsid w:val="000B2128"/>
    <w:rsid w:val="000B2BC9"/>
    <w:rsid w:val="000B41F5"/>
    <w:rsid w:val="000B55CA"/>
    <w:rsid w:val="000B626C"/>
    <w:rsid w:val="000C290B"/>
    <w:rsid w:val="000C2BCF"/>
    <w:rsid w:val="000C39AF"/>
    <w:rsid w:val="000C4717"/>
    <w:rsid w:val="000C59ED"/>
    <w:rsid w:val="000C5BBF"/>
    <w:rsid w:val="000D3E37"/>
    <w:rsid w:val="000E5631"/>
    <w:rsid w:val="000E6B48"/>
    <w:rsid w:val="000E7758"/>
    <w:rsid w:val="000F122E"/>
    <w:rsid w:val="000F4205"/>
    <w:rsid w:val="000F43D2"/>
    <w:rsid w:val="00102A07"/>
    <w:rsid w:val="00104FD3"/>
    <w:rsid w:val="00106580"/>
    <w:rsid w:val="00116303"/>
    <w:rsid w:val="00117777"/>
    <w:rsid w:val="00125578"/>
    <w:rsid w:val="0012563D"/>
    <w:rsid w:val="00127CD5"/>
    <w:rsid w:val="00132B3D"/>
    <w:rsid w:val="00134665"/>
    <w:rsid w:val="00145AC1"/>
    <w:rsid w:val="00151729"/>
    <w:rsid w:val="00152C67"/>
    <w:rsid w:val="00155DA4"/>
    <w:rsid w:val="001571BA"/>
    <w:rsid w:val="00157F06"/>
    <w:rsid w:val="00163D37"/>
    <w:rsid w:val="00167C18"/>
    <w:rsid w:val="0017004E"/>
    <w:rsid w:val="00170F20"/>
    <w:rsid w:val="001715FE"/>
    <w:rsid w:val="00173279"/>
    <w:rsid w:val="00176D8E"/>
    <w:rsid w:val="00184F3C"/>
    <w:rsid w:val="00187E57"/>
    <w:rsid w:val="00191CBA"/>
    <w:rsid w:val="00191F49"/>
    <w:rsid w:val="00192AA3"/>
    <w:rsid w:val="001A46B8"/>
    <w:rsid w:val="001A4B75"/>
    <w:rsid w:val="001B31AC"/>
    <w:rsid w:val="001B39E7"/>
    <w:rsid w:val="001B5186"/>
    <w:rsid w:val="001B73FE"/>
    <w:rsid w:val="001C0D94"/>
    <w:rsid w:val="001C279C"/>
    <w:rsid w:val="001C2818"/>
    <w:rsid w:val="001C4698"/>
    <w:rsid w:val="001C524B"/>
    <w:rsid w:val="001C5D5C"/>
    <w:rsid w:val="001C79D8"/>
    <w:rsid w:val="001D2C87"/>
    <w:rsid w:val="001D4028"/>
    <w:rsid w:val="001D5F0A"/>
    <w:rsid w:val="001D7667"/>
    <w:rsid w:val="001E3A81"/>
    <w:rsid w:val="001E7479"/>
    <w:rsid w:val="001F28DA"/>
    <w:rsid w:val="001F5AD8"/>
    <w:rsid w:val="00200295"/>
    <w:rsid w:val="00203209"/>
    <w:rsid w:val="00206CDF"/>
    <w:rsid w:val="00206FFA"/>
    <w:rsid w:val="00207F59"/>
    <w:rsid w:val="00211E61"/>
    <w:rsid w:val="00212EB0"/>
    <w:rsid w:val="00214877"/>
    <w:rsid w:val="00214B59"/>
    <w:rsid w:val="00215DDF"/>
    <w:rsid w:val="00216E33"/>
    <w:rsid w:val="00217D65"/>
    <w:rsid w:val="00223C54"/>
    <w:rsid w:val="00223FB2"/>
    <w:rsid w:val="0022632E"/>
    <w:rsid w:val="00230DAC"/>
    <w:rsid w:val="00230F04"/>
    <w:rsid w:val="00235982"/>
    <w:rsid w:val="00236552"/>
    <w:rsid w:val="00240E76"/>
    <w:rsid w:val="00240F15"/>
    <w:rsid w:val="00244CE0"/>
    <w:rsid w:val="00246A32"/>
    <w:rsid w:val="002478F2"/>
    <w:rsid w:val="002479C0"/>
    <w:rsid w:val="00253B54"/>
    <w:rsid w:val="00254D91"/>
    <w:rsid w:val="00260847"/>
    <w:rsid w:val="002667CC"/>
    <w:rsid w:val="0026796D"/>
    <w:rsid w:val="00270A96"/>
    <w:rsid w:val="00272487"/>
    <w:rsid w:val="002746DD"/>
    <w:rsid w:val="0027596F"/>
    <w:rsid w:val="00280166"/>
    <w:rsid w:val="0028072E"/>
    <w:rsid w:val="00283145"/>
    <w:rsid w:val="00285503"/>
    <w:rsid w:val="00285A25"/>
    <w:rsid w:val="00286E82"/>
    <w:rsid w:val="00294600"/>
    <w:rsid w:val="00294CB0"/>
    <w:rsid w:val="00294F18"/>
    <w:rsid w:val="002A1D41"/>
    <w:rsid w:val="002A2D9E"/>
    <w:rsid w:val="002B2187"/>
    <w:rsid w:val="002B2B8E"/>
    <w:rsid w:val="002B32DB"/>
    <w:rsid w:val="002B4563"/>
    <w:rsid w:val="002C2681"/>
    <w:rsid w:val="002C44E0"/>
    <w:rsid w:val="002D1A3E"/>
    <w:rsid w:val="002D3102"/>
    <w:rsid w:val="002D7192"/>
    <w:rsid w:val="002D790E"/>
    <w:rsid w:val="002E1F37"/>
    <w:rsid w:val="002F4012"/>
    <w:rsid w:val="002F4D85"/>
    <w:rsid w:val="002F789E"/>
    <w:rsid w:val="00302F6F"/>
    <w:rsid w:val="00304FDC"/>
    <w:rsid w:val="003051A1"/>
    <w:rsid w:val="003155A1"/>
    <w:rsid w:val="003170E0"/>
    <w:rsid w:val="00320521"/>
    <w:rsid w:val="00324666"/>
    <w:rsid w:val="00324885"/>
    <w:rsid w:val="00326C4F"/>
    <w:rsid w:val="00330895"/>
    <w:rsid w:val="00331AE2"/>
    <w:rsid w:val="003349D8"/>
    <w:rsid w:val="00334FAF"/>
    <w:rsid w:val="00340027"/>
    <w:rsid w:val="00346B03"/>
    <w:rsid w:val="00351F85"/>
    <w:rsid w:val="00353AD4"/>
    <w:rsid w:val="00357D67"/>
    <w:rsid w:val="003628D8"/>
    <w:rsid w:val="00363AAF"/>
    <w:rsid w:val="00363F51"/>
    <w:rsid w:val="003673D3"/>
    <w:rsid w:val="0037212B"/>
    <w:rsid w:val="003730E4"/>
    <w:rsid w:val="003748D6"/>
    <w:rsid w:val="0038095E"/>
    <w:rsid w:val="00381072"/>
    <w:rsid w:val="00381299"/>
    <w:rsid w:val="00383EC1"/>
    <w:rsid w:val="00384C57"/>
    <w:rsid w:val="0038573C"/>
    <w:rsid w:val="0038598C"/>
    <w:rsid w:val="00386038"/>
    <w:rsid w:val="0039041E"/>
    <w:rsid w:val="003922F7"/>
    <w:rsid w:val="003948EC"/>
    <w:rsid w:val="00397563"/>
    <w:rsid w:val="003A1335"/>
    <w:rsid w:val="003A6F39"/>
    <w:rsid w:val="003A7E90"/>
    <w:rsid w:val="003B1BD8"/>
    <w:rsid w:val="003B39E5"/>
    <w:rsid w:val="003B4083"/>
    <w:rsid w:val="003B5522"/>
    <w:rsid w:val="003C1B6E"/>
    <w:rsid w:val="003D51EE"/>
    <w:rsid w:val="003D69BD"/>
    <w:rsid w:val="003E0EB9"/>
    <w:rsid w:val="003E1743"/>
    <w:rsid w:val="003E5EFF"/>
    <w:rsid w:val="00401F23"/>
    <w:rsid w:val="004038D2"/>
    <w:rsid w:val="00404796"/>
    <w:rsid w:val="00410570"/>
    <w:rsid w:val="00411796"/>
    <w:rsid w:val="00412FCD"/>
    <w:rsid w:val="00415A2E"/>
    <w:rsid w:val="00423206"/>
    <w:rsid w:val="0042481C"/>
    <w:rsid w:val="00426FE4"/>
    <w:rsid w:val="004312CB"/>
    <w:rsid w:val="00431388"/>
    <w:rsid w:val="004333E9"/>
    <w:rsid w:val="00441464"/>
    <w:rsid w:val="004547B2"/>
    <w:rsid w:val="00460BBA"/>
    <w:rsid w:val="004635FF"/>
    <w:rsid w:val="004657AE"/>
    <w:rsid w:val="00466A68"/>
    <w:rsid w:val="00473BF1"/>
    <w:rsid w:val="004754C9"/>
    <w:rsid w:val="004819A9"/>
    <w:rsid w:val="004833F5"/>
    <w:rsid w:val="00483F70"/>
    <w:rsid w:val="004877C2"/>
    <w:rsid w:val="004A5A4F"/>
    <w:rsid w:val="004A7A91"/>
    <w:rsid w:val="004B52C5"/>
    <w:rsid w:val="004B5829"/>
    <w:rsid w:val="004B6635"/>
    <w:rsid w:val="004C0893"/>
    <w:rsid w:val="004C5313"/>
    <w:rsid w:val="004C5DB2"/>
    <w:rsid w:val="004D0C73"/>
    <w:rsid w:val="004D0F5F"/>
    <w:rsid w:val="004D3A62"/>
    <w:rsid w:val="004D68D1"/>
    <w:rsid w:val="004D6E4A"/>
    <w:rsid w:val="004E004D"/>
    <w:rsid w:val="004E0368"/>
    <w:rsid w:val="004E06A8"/>
    <w:rsid w:val="004E111F"/>
    <w:rsid w:val="004E1E0B"/>
    <w:rsid w:val="004E20B7"/>
    <w:rsid w:val="004E2F6D"/>
    <w:rsid w:val="004E782D"/>
    <w:rsid w:val="004F4AE5"/>
    <w:rsid w:val="004F5E07"/>
    <w:rsid w:val="004F67B0"/>
    <w:rsid w:val="00500B6E"/>
    <w:rsid w:val="005029C1"/>
    <w:rsid w:val="00506AD7"/>
    <w:rsid w:val="00511DB2"/>
    <w:rsid w:val="00515789"/>
    <w:rsid w:val="00516D6F"/>
    <w:rsid w:val="00517642"/>
    <w:rsid w:val="00527187"/>
    <w:rsid w:val="00535B13"/>
    <w:rsid w:val="005373CD"/>
    <w:rsid w:val="00540A41"/>
    <w:rsid w:val="00553800"/>
    <w:rsid w:val="00556F09"/>
    <w:rsid w:val="005654F5"/>
    <w:rsid w:val="00565970"/>
    <w:rsid w:val="00567326"/>
    <w:rsid w:val="00570DA3"/>
    <w:rsid w:val="00571C09"/>
    <w:rsid w:val="00574915"/>
    <w:rsid w:val="005760FD"/>
    <w:rsid w:val="00590CEE"/>
    <w:rsid w:val="005940B5"/>
    <w:rsid w:val="00597FAE"/>
    <w:rsid w:val="005A17AF"/>
    <w:rsid w:val="005A26A0"/>
    <w:rsid w:val="005A5B50"/>
    <w:rsid w:val="005A6431"/>
    <w:rsid w:val="005B06D1"/>
    <w:rsid w:val="005B36D1"/>
    <w:rsid w:val="005B3803"/>
    <w:rsid w:val="005B490C"/>
    <w:rsid w:val="005B5826"/>
    <w:rsid w:val="005C0AFB"/>
    <w:rsid w:val="005C1BED"/>
    <w:rsid w:val="005C2FAF"/>
    <w:rsid w:val="005D0F1E"/>
    <w:rsid w:val="005D2390"/>
    <w:rsid w:val="005D26F9"/>
    <w:rsid w:val="005D42A0"/>
    <w:rsid w:val="005E1ECB"/>
    <w:rsid w:val="005E6F06"/>
    <w:rsid w:val="00600B5C"/>
    <w:rsid w:val="0060208E"/>
    <w:rsid w:val="0060400B"/>
    <w:rsid w:val="006072C3"/>
    <w:rsid w:val="00611C5F"/>
    <w:rsid w:val="00616A5D"/>
    <w:rsid w:val="00617052"/>
    <w:rsid w:val="0062140C"/>
    <w:rsid w:val="00625381"/>
    <w:rsid w:val="00627F7C"/>
    <w:rsid w:val="00632AF9"/>
    <w:rsid w:val="00633A98"/>
    <w:rsid w:val="00634694"/>
    <w:rsid w:val="00634DCC"/>
    <w:rsid w:val="006419EE"/>
    <w:rsid w:val="0064294F"/>
    <w:rsid w:val="00644A3D"/>
    <w:rsid w:val="0064639F"/>
    <w:rsid w:val="00646CF0"/>
    <w:rsid w:val="00657A11"/>
    <w:rsid w:val="00660628"/>
    <w:rsid w:val="00661C2D"/>
    <w:rsid w:val="00662806"/>
    <w:rsid w:val="00662E52"/>
    <w:rsid w:val="006634F5"/>
    <w:rsid w:val="00664525"/>
    <w:rsid w:val="00665ABF"/>
    <w:rsid w:val="00667BDF"/>
    <w:rsid w:val="0067476C"/>
    <w:rsid w:val="00680193"/>
    <w:rsid w:val="0068276C"/>
    <w:rsid w:val="0068311B"/>
    <w:rsid w:val="00684C4F"/>
    <w:rsid w:val="00686B93"/>
    <w:rsid w:val="00686E78"/>
    <w:rsid w:val="006907EA"/>
    <w:rsid w:val="00690ECE"/>
    <w:rsid w:val="006925BA"/>
    <w:rsid w:val="006957D8"/>
    <w:rsid w:val="006A4792"/>
    <w:rsid w:val="006A57DA"/>
    <w:rsid w:val="006B26F3"/>
    <w:rsid w:val="006B30B1"/>
    <w:rsid w:val="006B52AB"/>
    <w:rsid w:val="006B663C"/>
    <w:rsid w:val="006B7ECF"/>
    <w:rsid w:val="006C2EAA"/>
    <w:rsid w:val="006C5368"/>
    <w:rsid w:val="006C58F2"/>
    <w:rsid w:val="006C6E88"/>
    <w:rsid w:val="006C7A80"/>
    <w:rsid w:val="006D0474"/>
    <w:rsid w:val="006D142F"/>
    <w:rsid w:val="006D215B"/>
    <w:rsid w:val="006D3ECC"/>
    <w:rsid w:val="006D47C5"/>
    <w:rsid w:val="006D4AC5"/>
    <w:rsid w:val="006E1DC6"/>
    <w:rsid w:val="006E7713"/>
    <w:rsid w:val="006F1A5E"/>
    <w:rsid w:val="006F57B5"/>
    <w:rsid w:val="006F5F33"/>
    <w:rsid w:val="0070155D"/>
    <w:rsid w:val="007015AE"/>
    <w:rsid w:val="00705E79"/>
    <w:rsid w:val="0071096D"/>
    <w:rsid w:val="00711171"/>
    <w:rsid w:val="00713398"/>
    <w:rsid w:val="00716B46"/>
    <w:rsid w:val="00720227"/>
    <w:rsid w:val="00721C22"/>
    <w:rsid w:val="007227D4"/>
    <w:rsid w:val="00723455"/>
    <w:rsid w:val="00723D0D"/>
    <w:rsid w:val="007265D3"/>
    <w:rsid w:val="00731A75"/>
    <w:rsid w:val="0073634E"/>
    <w:rsid w:val="00740F67"/>
    <w:rsid w:val="007414EA"/>
    <w:rsid w:val="00742D4B"/>
    <w:rsid w:val="00744817"/>
    <w:rsid w:val="00745C2A"/>
    <w:rsid w:val="00745E82"/>
    <w:rsid w:val="00745FFD"/>
    <w:rsid w:val="007536F4"/>
    <w:rsid w:val="0075384C"/>
    <w:rsid w:val="00753E6B"/>
    <w:rsid w:val="007570F1"/>
    <w:rsid w:val="00766C5F"/>
    <w:rsid w:val="00770E4E"/>
    <w:rsid w:val="00776A7C"/>
    <w:rsid w:val="00777B7B"/>
    <w:rsid w:val="00780A29"/>
    <w:rsid w:val="00780DBC"/>
    <w:rsid w:val="007850FC"/>
    <w:rsid w:val="007900DA"/>
    <w:rsid w:val="00791BB8"/>
    <w:rsid w:val="00791E9F"/>
    <w:rsid w:val="00794EF3"/>
    <w:rsid w:val="007961A9"/>
    <w:rsid w:val="007A0E3F"/>
    <w:rsid w:val="007A1BDB"/>
    <w:rsid w:val="007A2AB8"/>
    <w:rsid w:val="007A3BEE"/>
    <w:rsid w:val="007B0D3B"/>
    <w:rsid w:val="007B1023"/>
    <w:rsid w:val="007B3943"/>
    <w:rsid w:val="007B3C23"/>
    <w:rsid w:val="007C1ABE"/>
    <w:rsid w:val="007C30BC"/>
    <w:rsid w:val="007C3F9B"/>
    <w:rsid w:val="007D231E"/>
    <w:rsid w:val="007D73EB"/>
    <w:rsid w:val="007D7FD0"/>
    <w:rsid w:val="007E30CC"/>
    <w:rsid w:val="007E39E1"/>
    <w:rsid w:val="007E3B92"/>
    <w:rsid w:val="007E3C08"/>
    <w:rsid w:val="007E49B8"/>
    <w:rsid w:val="007E5D6F"/>
    <w:rsid w:val="007F32DA"/>
    <w:rsid w:val="007F3E8B"/>
    <w:rsid w:val="007F4281"/>
    <w:rsid w:val="007F4FF9"/>
    <w:rsid w:val="007F7512"/>
    <w:rsid w:val="007F755C"/>
    <w:rsid w:val="008008C3"/>
    <w:rsid w:val="00801640"/>
    <w:rsid w:val="00802BF7"/>
    <w:rsid w:val="00803CE3"/>
    <w:rsid w:val="00814A5F"/>
    <w:rsid w:val="00827FC5"/>
    <w:rsid w:val="00832C82"/>
    <w:rsid w:val="008407B9"/>
    <w:rsid w:val="008426A3"/>
    <w:rsid w:val="00843844"/>
    <w:rsid w:val="00847223"/>
    <w:rsid w:val="00847246"/>
    <w:rsid w:val="00852799"/>
    <w:rsid w:val="00854133"/>
    <w:rsid w:val="00857930"/>
    <w:rsid w:val="008602A5"/>
    <w:rsid w:val="00862895"/>
    <w:rsid w:val="00863725"/>
    <w:rsid w:val="00865739"/>
    <w:rsid w:val="00866AD9"/>
    <w:rsid w:val="00867600"/>
    <w:rsid w:val="0087046B"/>
    <w:rsid w:val="008744BF"/>
    <w:rsid w:val="0087512C"/>
    <w:rsid w:val="00877EC6"/>
    <w:rsid w:val="00882377"/>
    <w:rsid w:val="008837CC"/>
    <w:rsid w:val="00884C3E"/>
    <w:rsid w:val="00885173"/>
    <w:rsid w:val="0088598F"/>
    <w:rsid w:val="00887016"/>
    <w:rsid w:val="008909B3"/>
    <w:rsid w:val="00895593"/>
    <w:rsid w:val="0089656C"/>
    <w:rsid w:val="008A0109"/>
    <w:rsid w:val="008A08C0"/>
    <w:rsid w:val="008A3CA8"/>
    <w:rsid w:val="008A4036"/>
    <w:rsid w:val="008A52A5"/>
    <w:rsid w:val="008A656A"/>
    <w:rsid w:val="008A7683"/>
    <w:rsid w:val="008B697C"/>
    <w:rsid w:val="008B709A"/>
    <w:rsid w:val="008B7AD5"/>
    <w:rsid w:val="008C1540"/>
    <w:rsid w:val="008C2DB5"/>
    <w:rsid w:val="008C361E"/>
    <w:rsid w:val="008D30BA"/>
    <w:rsid w:val="008E3EA8"/>
    <w:rsid w:val="008E41D9"/>
    <w:rsid w:val="008E4B33"/>
    <w:rsid w:val="008E7282"/>
    <w:rsid w:val="008F0411"/>
    <w:rsid w:val="008F23C1"/>
    <w:rsid w:val="008F2873"/>
    <w:rsid w:val="008F4DEA"/>
    <w:rsid w:val="008F5661"/>
    <w:rsid w:val="00900663"/>
    <w:rsid w:val="00901244"/>
    <w:rsid w:val="0090272D"/>
    <w:rsid w:val="00902B04"/>
    <w:rsid w:val="0090316D"/>
    <w:rsid w:val="009119AA"/>
    <w:rsid w:val="0091401F"/>
    <w:rsid w:val="009147B3"/>
    <w:rsid w:val="0091578E"/>
    <w:rsid w:val="00915E07"/>
    <w:rsid w:val="0092221F"/>
    <w:rsid w:val="00923A39"/>
    <w:rsid w:val="0092688A"/>
    <w:rsid w:val="00927DE6"/>
    <w:rsid w:val="009345FC"/>
    <w:rsid w:val="00937F3D"/>
    <w:rsid w:val="0094243E"/>
    <w:rsid w:val="00942D08"/>
    <w:rsid w:val="009464A7"/>
    <w:rsid w:val="00946800"/>
    <w:rsid w:val="00952717"/>
    <w:rsid w:val="009563F4"/>
    <w:rsid w:val="00956B8A"/>
    <w:rsid w:val="00956C4D"/>
    <w:rsid w:val="0096619C"/>
    <w:rsid w:val="00970935"/>
    <w:rsid w:val="00972041"/>
    <w:rsid w:val="009828D3"/>
    <w:rsid w:val="00983864"/>
    <w:rsid w:val="00984B69"/>
    <w:rsid w:val="00992CB9"/>
    <w:rsid w:val="0099487A"/>
    <w:rsid w:val="00996CA2"/>
    <w:rsid w:val="009A1F5A"/>
    <w:rsid w:val="009A41D1"/>
    <w:rsid w:val="009A4CE4"/>
    <w:rsid w:val="009A7AC1"/>
    <w:rsid w:val="009B09CE"/>
    <w:rsid w:val="009B16E3"/>
    <w:rsid w:val="009B1D49"/>
    <w:rsid w:val="009B731D"/>
    <w:rsid w:val="009B7DF4"/>
    <w:rsid w:val="009C150A"/>
    <w:rsid w:val="009C5102"/>
    <w:rsid w:val="009C55CD"/>
    <w:rsid w:val="009C5AC0"/>
    <w:rsid w:val="009D2E7F"/>
    <w:rsid w:val="009D3AD0"/>
    <w:rsid w:val="009E7604"/>
    <w:rsid w:val="009F13D7"/>
    <w:rsid w:val="009F1FE1"/>
    <w:rsid w:val="009F65EE"/>
    <w:rsid w:val="009F705A"/>
    <w:rsid w:val="009F7D82"/>
    <w:rsid w:val="00A0084E"/>
    <w:rsid w:val="00A03847"/>
    <w:rsid w:val="00A03B20"/>
    <w:rsid w:val="00A10259"/>
    <w:rsid w:val="00A10913"/>
    <w:rsid w:val="00A119B3"/>
    <w:rsid w:val="00A12F69"/>
    <w:rsid w:val="00A20FFB"/>
    <w:rsid w:val="00A25320"/>
    <w:rsid w:val="00A300CA"/>
    <w:rsid w:val="00A30E0B"/>
    <w:rsid w:val="00A3756A"/>
    <w:rsid w:val="00A37FBF"/>
    <w:rsid w:val="00A42A40"/>
    <w:rsid w:val="00A445D7"/>
    <w:rsid w:val="00A46648"/>
    <w:rsid w:val="00A5169E"/>
    <w:rsid w:val="00A5439A"/>
    <w:rsid w:val="00A6170F"/>
    <w:rsid w:val="00A632FD"/>
    <w:rsid w:val="00A63CD7"/>
    <w:rsid w:val="00A66941"/>
    <w:rsid w:val="00A66B1B"/>
    <w:rsid w:val="00A67B0E"/>
    <w:rsid w:val="00A70251"/>
    <w:rsid w:val="00A723E6"/>
    <w:rsid w:val="00A76384"/>
    <w:rsid w:val="00A828D6"/>
    <w:rsid w:val="00A82E03"/>
    <w:rsid w:val="00A8519C"/>
    <w:rsid w:val="00A95ABF"/>
    <w:rsid w:val="00AA005E"/>
    <w:rsid w:val="00AA47E4"/>
    <w:rsid w:val="00AA66A4"/>
    <w:rsid w:val="00AB2CA1"/>
    <w:rsid w:val="00AB389E"/>
    <w:rsid w:val="00AB47E4"/>
    <w:rsid w:val="00AC1BDA"/>
    <w:rsid w:val="00AC1F93"/>
    <w:rsid w:val="00AC2B98"/>
    <w:rsid w:val="00AC3612"/>
    <w:rsid w:val="00AC5480"/>
    <w:rsid w:val="00AD1897"/>
    <w:rsid w:val="00AD3182"/>
    <w:rsid w:val="00AD52F1"/>
    <w:rsid w:val="00AD6BC7"/>
    <w:rsid w:val="00AD76B0"/>
    <w:rsid w:val="00AE5062"/>
    <w:rsid w:val="00AF198F"/>
    <w:rsid w:val="00AF5853"/>
    <w:rsid w:val="00AF5AE9"/>
    <w:rsid w:val="00B02ED0"/>
    <w:rsid w:val="00B03832"/>
    <w:rsid w:val="00B07A4F"/>
    <w:rsid w:val="00B1036E"/>
    <w:rsid w:val="00B10502"/>
    <w:rsid w:val="00B112FC"/>
    <w:rsid w:val="00B123E9"/>
    <w:rsid w:val="00B26A6E"/>
    <w:rsid w:val="00B2739E"/>
    <w:rsid w:val="00B30BC3"/>
    <w:rsid w:val="00B30F02"/>
    <w:rsid w:val="00B33A97"/>
    <w:rsid w:val="00B35370"/>
    <w:rsid w:val="00B46BDE"/>
    <w:rsid w:val="00B51C1A"/>
    <w:rsid w:val="00B51ED4"/>
    <w:rsid w:val="00B5362A"/>
    <w:rsid w:val="00B5395B"/>
    <w:rsid w:val="00B5452E"/>
    <w:rsid w:val="00B57E6C"/>
    <w:rsid w:val="00B617F4"/>
    <w:rsid w:val="00B61D9E"/>
    <w:rsid w:val="00B62A35"/>
    <w:rsid w:val="00B73721"/>
    <w:rsid w:val="00B7570E"/>
    <w:rsid w:val="00B82724"/>
    <w:rsid w:val="00B86AC3"/>
    <w:rsid w:val="00B86FEB"/>
    <w:rsid w:val="00B92D19"/>
    <w:rsid w:val="00B95D4E"/>
    <w:rsid w:val="00B95E2E"/>
    <w:rsid w:val="00B96017"/>
    <w:rsid w:val="00B968A9"/>
    <w:rsid w:val="00BB027B"/>
    <w:rsid w:val="00BB5630"/>
    <w:rsid w:val="00BC3452"/>
    <w:rsid w:val="00BC6181"/>
    <w:rsid w:val="00BD22B2"/>
    <w:rsid w:val="00BD2C43"/>
    <w:rsid w:val="00BD4B17"/>
    <w:rsid w:val="00BD6E35"/>
    <w:rsid w:val="00BE0CF0"/>
    <w:rsid w:val="00BF3593"/>
    <w:rsid w:val="00C0455A"/>
    <w:rsid w:val="00C10FAC"/>
    <w:rsid w:val="00C1443A"/>
    <w:rsid w:val="00C2041B"/>
    <w:rsid w:val="00C240FD"/>
    <w:rsid w:val="00C26B12"/>
    <w:rsid w:val="00C32659"/>
    <w:rsid w:val="00C347A5"/>
    <w:rsid w:val="00C36AF5"/>
    <w:rsid w:val="00C424A2"/>
    <w:rsid w:val="00C43328"/>
    <w:rsid w:val="00C43B3D"/>
    <w:rsid w:val="00C51689"/>
    <w:rsid w:val="00C523E6"/>
    <w:rsid w:val="00C548FC"/>
    <w:rsid w:val="00C60E3B"/>
    <w:rsid w:val="00C635DB"/>
    <w:rsid w:val="00C677B3"/>
    <w:rsid w:val="00C701F9"/>
    <w:rsid w:val="00C75FB9"/>
    <w:rsid w:val="00C76F17"/>
    <w:rsid w:val="00C80240"/>
    <w:rsid w:val="00C874DF"/>
    <w:rsid w:val="00C93D67"/>
    <w:rsid w:val="00C94612"/>
    <w:rsid w:val="00C95AAF"/>
    <w:rsid w:val="00CA0C4D"/>
    <w:rsid w:val="00CA1BEE"/>
    <w:rsid w:val="00CA21E2"/>
    <w:rsid w:val="00CA37E2"/>
    <w:rsid w:val="00CB0023"/>
    <w:rsid w:val="00CB527A"/>
    <w:rsid w:val="00CC1ADF"/>
    <w:rsid w:val="00CC3708"/>
    <w:rsid w:val="00CC513C"/>
    <w:rsid w:val="00CC64F5"/>
    <w:rsid w:val="00CD0368"/>
    <w:rsid w:val="00CD4DED"/>
    <w:rsid w:val="00CD6686"/>
    <w:rsid w:val="00CD758F"/>
    <w:rsid w:val="00CE0A0F"/>
    <w:rsid w:val="00CE0AC7"/>
    <w:rsid w:val="00CE359E"/>
    <w:rsid w:val="00CE4F03"/>
    <w:rsid w:val="00CE79D7"/>
    <w:rsid w:val="00CE7DDC"/>
    <w:rsid w:val="00CE7F15"/>
    <w:rsid w:val="00CF1014"/>
    <w:rsid w:val="00CF67FA"/>
    <w:rsid w:val="00D007B6"/>
    <w:rsid w:val="00D00B4B"/>
    <w:rsid w:val="00D01E81"/>
    <w:rsid w:val="00D021C5"/>
    <w:rsid w:val="00D07FC3"/>
    <w:rsid w:val="00D10823"/>
    <w:rsid w:val="00D11595"/>
    <w:rsid w:val="00D117C8"/>
    <w:rsid w:val="00D17A68"/>
    <w:rsid w:val="00D209F9"/>
    <w:rsid w:val="00D20F53"/>
    <w:rsid w:val="00D21406"/>
    <w:rsid w:val="00D22E0A"/>
    <w:rsid w:val="00D25E3A"/>
    <w:rsid w:val="00D2654B"/>
    <w:rsid w:val="00D319C5"/>
    <w:rsid w:val="00D454FD"/>
    <w:rsid w:val="00D50641"/>
    <w:rsid w:val="00D51863"/>
    <w:rsid w:val="00D51F22"/>
    <w:rsid w:val="00D52E54"/>
    <w:rsid w:val="00D537B3"/>
    <w:rsid w:val="00D54728"/>
    <w:rsid w:val="00D54B02"/>
    <w:rsid w:val="00D563CE"/>
    <w:rsid w:val="00D57732"/>
    <w:rsid w:val="00D578A6"/>
    <w:rsid w:val="00D617FA"/>
    <w:rsid w:val="00D6620E"/>
    <w:rsid w:val="00D67715"/>
    <w:rsid w:val="00D67C53"/>
    <w:rsid w:val="00D700C3"/>
    <w:rsid w:val="00D718D9"/>
    <w:rsid w:val="00D72030"/>
    <w:rsid w:val="00D7204D"/>
    <w:rsid w:val="00D766CD"/>
    <w:rsid w:val="00D81026"/>
    <w:rsid w:val="00D81B3E"/>
    <w:rsid w:val="00D94F22"/>
    <w:rsid w:val="00D954E2"/>
    <w:rsid w:val="00D96190"/>
    <w:rsid w:val="00D967ED"/>
    <w:rsid w:val="00DA29BB"/>
    <w:rsid w:val="00DA67DE"/>
    <w:rsid w:val="00DB0A0D"/>
    <w:rsid w:val="00DB0AC6"/>
    <w:rsid w:val="00DB3486"/>
    <w:rsid w:val="00DB3EF6"/>
    <w:rsid w:val="00DB5A7F"/>
    <w:rsid w:val="00DC4B96"/>
    <w:rsid w:val="00DD0F9E"/>
    <w:rsid w:val="00DD234B"/>
    <w:rsid w:val="00DD2E7A"/>
    <w:rsid w:val="00DD4B0C"/>
    <w:rsid w:val="00DD7EDD"/>
    <w:rsid w:val="00DE5EDC"/>
    <w:rsid w:val="00DE5F41"/>
    <w:rsid w:val="00DE5F42"/>
    <w:rsid w:val="00DE78D7"/>
    <w:rsid w:val="00DF1FD6"/>
    <w:rsid w:val="00DF3282"/>
    <w:rsid w:val="00DF4C7F"/>
    <w:rsid w:val="00DF6A1F"/>
    <w:rsid w:val="00E031E1"/>
    <w:rsid w:val="00E0417C"/>
    <w:rsid w:val="00E11BF9"/>
    <w:rsid w:val="00E1216B"/>
    <w:rsid w:val="00E132BB"/>
    <w:rsid w:val="00E153F3"/>
    <w:rsid w:val="00E21B59"/>
    <w:rsid w:val="00E25C23"/>
    <w:rsid w:val="00E27184"/>
    <w:rsid w:val="00E338ED"/>
    <w:rsid w:val="00E344DA"/>
    <w:rsid w:val="00E40649"/>
    <w:rsid w:val="00E44C33"/>
    <w:rsid w:val="00E45ED2"/>
    <w:rsid w:val="00E5422E"/>
    <w:rsid w:val="00E55986"/>
    <w:rsid w:val="00E565D5"/>
    <w:rsid w:val="00E56D18"/>
    <w:rsid w:val="00E65EE3"/>
    <w:rsid w:val="00E66692"/>
    <w:rsid w:val="00E67C6D"/>
    <w:rsid w:val="00E70D74"/>
    <w:rsid w:val="00E74F27"/>
    <w:rsid w:val="00E77D19"/>
    <w:rsid w:val="00E8440F"/>
    <w:rsid w:val="00E861E2"/>
    <w:rsid w:val="00E86D11"/>
    <w:rsid w:val="00E90CF5"/>
    <w:rsid w:val="00E95027"/>
    <w:rsid w:val="00E950ED"/>
    <w:rsid w:val="00E95D37"/>
    <w:rsid w:val="00E96D45"/>
    <w:rsid w:val="00E9771A"/>
    <w:rsid w:val="00EA43F0"/>
    <w:rsid w:val="00EB4DA0"/>
    <w:rsid w:val="00EC0D75"/>
    <w:rsid w:val="00EC5CDA"/>
    <w:rsid w:val="00EC686F"/>
    <w:rsid w:val="00EC68AE"/>
    <w:rsid w:val="00EC7CF7"/>
    <w:rsid w:val="00ED22CB"/>
    <w:rsid w:val="00ED3601"/>
    <w:rsid w:val="00ED4D96"/>
    <w:rsid w:val="00EE0017"/>
    <w:rsid w:val="00EE1B1F"/>
    <w:rsid w:val="00EE2FBA"/>
    <w:rsid w:val="00EE569C"/>
    <w:rsid w:val="00EE6E4B"/>
    <w:rsid w:val="00EF2361"/>
    <w:rsid w:val="00EF50AA"/>
    <w:rsid w:val="00EF5190"/>
    <w:rsid w:val="00F0143B"/>
    <w:rsid w:val="00F03012"/>
    <w:rsid w:val="00F0436A"/>
    <w:rsid w:val="00F05147"/>
    <w:rsid w:val="00F05A9C"/>
    <w:rsid w:val="00F05ACE"/>
    <w:rsid w:val="00F05E46"/>
    <w:rsid w:val="00F1519A"/>
    <w:rsid w:val="00F16121"/>
    <w:rsid w:val="00F16C97"/>
    <w:rsid w:val="00F17FD5"/>
    <w:rsid w:val="00F210A1"/>
    <w:rsid w:val="00F24210"/>
    <w:rsid w:val="00F31050"/>
    <w:rsid w:val="00F31E42"/>
    <w:rsid w:val="00F3226E"/>
    <w:rsid w:val="00F41860"/>
    <w:rsid w:val="00F424C5"/>
    <w:rsid w:val="00F47DD4"/>
    <w:rsid w:val="00F47E58"/>
    <w:rsid w:val="00F508E5"/>
    <w:rsid w:val="00F5305C"/>
    <w:rsid w:val="00F53B3B"/>
    <w:rsid w:val="00F56A5E"/>
    <w:rsid w:val="00F63C3E"/>
    <w:rsid w:val="00F67733"/>
    <w:rsid w:val="00F6781D"/>
    <w:rsid w:val="00F70CDC"/>
    <w:rsid w:val="00F715BD"/>
    <w:rsid w:val="00F71890"/>
    <w:rsid w:val="00F73A30"/>
    <w:rsid w:val="00F7512A"/>
    <w:rsid w:val="00F7684D"/>
    <w:rsid w:val="00F82795"/>
    <w:rsid w:val="00F82F8E"/>
    <w:rsid w:val="00F83463"/>
    <w:rsid w:val="00F85DD0"/>
    <w:rsid w:val="00F8707F"/>
    <w:rsid w:val="00F91124"/>
    <w:rsid w:val="00F915AA"/>
    <w:rsid w:val="00F9503E"/>
    <w:rsid w:val="00FA2EA1"/>
    <w:rsid w:val="00FA3DC8"/>
    <w:rsid w:val="00FA6139"/>
    <w:rsid w:val="00FA6F25"/>
    <w:rsid w:val="00FB07ED"/>
    <w:rsid w:val="00FB20A6"/>
    <w:rsid w:val="00FB371E"/>
    <w:rsid w:val="00FB4609"/>
    <w:rsid w:val="00FB5A89"/>
    <w:rsid w:val="00FC05F2"/>
    <w:rsid w:val="00FC0963"/>
    <w:rsid w:val="00FC22A7"/>
    <w:rsid w:val="00FC5AFC"/>
    <w:rsid w:val="00FC5C15"/>
    <w:rsid w:val="00FC7437"/>
    <w:rsid w:val="00FD14B0"/>
    <w:rsid w:val="00FD4807"/>
    <w:rsid w:val="00FD520E"/>
    <w:rsid w:val="00FD7F31"/>
    <w:rsid w:val="00FE3B7D"/>
    <w:rsid w:val="00FE4F36"/>
    <w:rsid w:val="00FF11F6"/>
    <w:rsid w:val="00FF2660"/>
    <w:rsid w:val="00FF55A8"/>
    <w:rsid w:val="00FF56F6"/>
    <w:rsid w:val="00FF6EA8"/>
    <w:rsid w:val="04760D2B"/>
    <w:rsid w:val="04F035D0"/>
    <w:rsid w:val="05662ED8"/>
    <w:rsid w:val="063B254C"/>
    <w:rsid w:val="07F6B0D2"/>
    <w:rsid w:val="0B35F503"/>
    <w:rsid w:val="0BF60617"/>
    <w:rsid w:val="0C20A5B9"/>
    <w:rsid w:val="0D78AE1B"/>
    <w:rsid w:val="1075FB9B"/>
    <w:rsid w:val="10B04EDD"/>
    <w:rsid w:val="119C8B67"/>
    <w:rsid w:val="12346ABF"/>
    <w:rsid w:val="12540CC4"/>
    <w:rsid w:val="12783925"/>
    <w:rsid w:val="13626F9A"/>
    <w:rsid w:val="14655F1B"/>
    <w:rsid w:val="14BAF666"/>
    <w:rsid w:val="173A2CAE"/>
    <w:rsid w:val="19F00AC6"/>
    <w:rsid w:val="1AA25BE3"/>
    <w:rsid w:val="1B646F22"/>
    <w:rsid w:val="1BFAEF0A"/>
    <w:rsid w:val="1E9C0FE4"/>
    <w:rsid w:val="1EF5CCB5"/>
    <w:rsid w:val="201E6539"/>
    <w:rsid w:val="22635B78"/>
    <w:rsid w:val="28183C47"/>
    <w:rsid w:val="2853F8D4"/>
    <w:rsid w:val="28C9F1DC"/>
    <w:rsid w:val="29B40CA8"/>
    <w:rsid w:val="2CF04BAB"/>
    <w:rsid w:val="2E2F545A"/>
    <w:rsid w:val="32B5B43F"/>
    <w:rsid w:val="34A6FE87"/>
    <w:rsid w:val="3933B08A"/>
    <w:rsid w:val="39ACC076"/>
    <w:rsid w:val="39E3AB7E"/>
    <w:rsid w:val="3A65B0E9"/>
    <w:rsid w:val="3DA47DA5"/>
    <w:rsid w:val="3E8C66BE"/>
    <w:rsid w:val="3EE1D4D6"/>
    <w:rsid w:val="4154DE6C"/>
    <w:rsid w:val="4254506D"/>
    <w:rsid w:val="473742AE"/>
    <w:rsid w:val="491F1E71"/>
    <w:rsid w:val="49DADA34"/>
    <w:rsid w:val="4A6A7A0F"/>
    <w:rsid w:val="4D61A5F0"/>
    <w:rsid w:val="512A3056"/>
    <w:rsid w:val="53FD2D8F"/>
    <w:rsid w:val="55FDA179"/>
    <w:rsid w:val="58740C70"/>
    <w:rsid w:val="59240764"/>
    <w:rsid w:val="5AD1129C"/>
    <w:rsid w:val="5C5BA826"/>
    <w:rsid w:val="5CB0FF3D"/>
    <w:rsid w:val="63B6BF17"/>
    <w:rsid w:val="63EC1E9F"/>
    <w:rsid w:val="69AF13A2"/>
    <w:rsid w:val="69F109D5"/>
    <w:rsid w:val="6A9E1E18"/>
    <w:rsid w:val="6B21E8B2"/>
    <w:rsid w:val="6D4F8DB4"/>
    <w:rsid w:val="6F12ECCA"/>
    <w:rsid w:val="7240A4C5"/>
    <w:rsid w:val="73BBA80A"/>
    <w:rsid w:val="74284488"/>
    <w:rsid w:val="7568B342"/>
    <w:rsid w:val="7570A0C8"/>
    <w:rsid w:val="76F348CC"/>
    <w:rsid w:val="7847928A"/>
    <w:rsid w:val="785D82EC"/>
    <w:rsid w:val="79243CED"/>
    <w:rsid w:val="7D7BB2AD"/>
    <w:rsid w:val="7E96E849"/>
    <w:rsid w:val="7EFE5AB1"/>
    <w:rsid w:val="7EFF9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EDF6"/>
  <w15:docId w15:val="{6725CF8A-8E96-5648-87D9-1F139105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AU"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end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AC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08C3"/>
    <w:pPr>
      <w:spacing w:before="480"/>
      <w:contextualSpacing/>
      <w:outlineLvl w:val="0"/>
    </w:pPr>
    <w:rPr>
      <w:rFonts w:asciiTheme="majorHAnsi" w:eastAsiaTheme="majorEastAsia" w:hAnsiTheme="majorHAnsi" w:cstheme="majorBidi"/>
      <w:smallCaps/>
      <w:spacing w:val="5"/>
      <w:sz w:val="36"/>
      <w:szCs w:val="36"/>
    </w:rPr>
  </w:style>
  <w:style w:type="paragraph" w:styleId="Heading2">
    <w:name w:val="heading 2"/>
    <w:basedOn w:val="Normal"/>
    <w:next w:val="Normal"/>
    <w:link w:val="Heading2Char"/>
    <w:uiPriority w:val="9"/>
    <w:unhideWhenUsed/>
    <w:qFormat/>
    <w:rsid w:val="008008C3"/>
    <w:pPr>
      <w:spacing w:before="200" w:line="271" w:lineRule="auto"/>
      <w:outlineLvl w:val="1"/>
    </w:pPr>
    <w:rPr>
      <w:rFonts w:asciiTheme="majorHAnsi" w:eastAsiaTheme="majorEastAsia" w:hAnsiTheme="majorHAnsi" w:cstheme="majorBidi"/>
      <w:smallCaps/>
      <w:sz w:val="28"/>
      <w:szCs w:val="28"/>
    </w:rPr>
  </w:style>
  <w:style w:type="paragraph" w:styleId="Heading3">
    <w:name w:val="heading 3"/>
    <w:basedOn w:val="Normal"/>
    <w:next w:val="Normal"/>
    <w:link w:val="Heading3Char"/>
    <w:uiPriority w:val="9"/>
    <w:unhideWhenUsed/>
    <w:qFormat/>
    <w:rsid w:val="008008C3"/>
    <w:pPr>
      <w:spacing w:before="200" w:line="271" w:lineRule="auto"/>
      <w:outlineLvl w:val="2"/>
    </w:pPr>
    <w:rPr>
      <w:rFonts w:asciiTheme="majorHAnsi" w:eastAsiaTheme="majorEastAsia" w:hAnsiTheme="majorHAnsi" w:cstheme="majorBidi"/>
      <w:i/>
      <w:iCs/>
      <w:smallCaps/>
      <w:spacing w:val="5"/>
      <w:sz w:val="26"/>
      <w:szCs w:val="26"/>
    </w:rPr>
  </w:style>
  <w:style w:type="paragraph" w:styleId="Heading4">
    <w:name w:val="heading 4"/>
    <w:basedOn w:val="Normal"/>
    <w:next w:val="Normal"/>
    <w:link w:val="Heading4Char"/>
    <w:uiPriority w:val="9"/>
    <w:semiHidden/>
    <w:unhideWhenUsed/>
    <w:qFormat/>
    <w:rsid w:val="008008C3"/>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8008C3"/>
    <w:pPr>
      <w:spacing w:line="271" w:lineRule="auto"/>
      <w:outlineLvl w:val="4"/>
    </w:pPr>
    <w:rPr>
      <w:i/>
      <w:iCs/>
    </w:rPr>
  </w:style>
  <w:style w:type="paragraph" w:styleId="Heading6">
    <w:name w:val="heading 6"/>
    <w:basedOn w:val="Normal"/>
    <w:next w:val="Normal"/>
    <w:link w:val="Heading6Char"/>
    <w:uiPriority w:val="9"/>
    <w:semiHidden/>
    <w:unhideWhenUsed/>
    <w:qFormat/>
    <w:rsid w:val="008008C3"/>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008C3"/>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008C3"/>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008C3"/>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rPr>
      <w:rFonts w:asciiTheme="majorHAnsi" w:eastAsiaTheme="majorEastAsia" w:hAnsiTheme="majorHAnsi" w:cstheme="majorBidi"/>
      <w:sz w:val="22"/>
      <w:szCs w:val="22"/>
    </w:rPr>
  </w:style>
  <w:style w:type="character" w:styleId="PageNumber">
    <w:name w:val="page number"/>
    <w:basedOn w:val="DefaultParagraphFont"/>
    <w:rsid w:val="00F82795"/>
  </w:style>
  <w:style w:type="character" w:styleId="Emphasis">
    <w:name w:val="Emphasis"/>
    <w:uiPriority w:val="20"/>
    <w:qFormat/>
    <w:rsid w:val="008008C3"/>
    <w:rPr>
      <w:b/>
      <w:bCs/>
      <w:i/>
      <w:iCs/>
      <w:spacing w:val="1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rFonts w:asciiTheme="majorHAnsi" w:eastAsiaTheme="majorEastAsia" w:hAnsiTheme="majorHAnsi" w:cstheme="majorBidi"/>
      <w:sz w:val="22"/>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rPr>
      <w:rFonts w:asciiTheme="majorHAnsi" w:eastAsiaTheme="majorEastAsia" w:hAnsiTheme="majorHAnsi" w:cstheme="majorBidi"/>
      <w:sz w:val="22"/>
      <w:szCs w:val="22"/>
    </w:rPr>
  </w:style>
  <w:style w:type="character" w:customStyle="1" w:styleId="HeaderChar">
    <w:name w:val="Header Char"/>
    <w:link w:val="Header"/>
    <w:rsid w:val="00740F67"/>
    <w:rPr>
      <w:rFonts w:ascii="Arial" w:hAnsi="Arial"/>
      <w:szCs w:val="24"/>
      <w:lang w:val="en-US" w:eastAsia="en-US"/>
    </w:rPr>
  </w:style>
  <w:style w:type="character" w:customStyle="1" w:styleId="normaltextrun">
    <w:name w:val="normaltextrun"/>
    <w:basedOn w:val="DefaultParagraphFont"/>
    <w:rsid w:val="00FA3DC8"/>
  </w:style>
  <w:style w:type="character" w:customStyle="1" w:styleId="eop">
    <w:name w:val="eop"/>
    <w:basedOn w:val="DefaultParagraphFont"/>
    <w:rsid w:val="00FA3DC8"/>
  </w:style>
  <w:style w:type="paragraph" w:styleId="NormalWeb">
    <w:name w:val="Normal (Web)"/>
    <w:basedOn w:val="Normal"/>
    <w:uiPriority w:val="99"/>
    <w:unhideWhenUsed/>
    <w:rsid w:val="00A119B3"/>
    <w:pPr>
      <w:spacing w:before="100" w:beforeAutospacing="1" w:after="100" w:afterAutospacing="1"/>
    </w:pPr>
    <w:rPr>
      <w:rFonts w:eastAsiaTheme="majorEastAsia" w:cstheme="majorBidi"/>
      <w:szCs w:val="22"/>
    </w:rPr>
  </w:style>
  <w:style w:type="table" w:styleId="TableGrid">
    <w:name w:val="Table Grid"/>
    <w:basedOn w:val="TableNormal"/>
    <w:uiPriority w:val="59"/>
    <w:rsid w:val="005E6F06"/>
    <w:rPr>
      <w:rFonts w:asciiTheme="minorHAnsi" w:eastAsiaTheme="minorHAnsi" w:hAnsiTheme="minorHAnsi" w:cstheme="minorBidi"/>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E6F06"/>
    <w:rPr>
      <w:color w:val="605E5C"/>
      <w:shd w:val="clear" w:color="auto" w:fill="E1DFDD"/>
    </w:rPr>
  </w:style>
  <w:style w:type="character" w:styleId="FollowedHyperlink">
    <w:name w:val="FollowedHyperlink"/>
    <w:basedOn w:val="DefaultParagraphFont"/>
    <w:rsid w:val="005E6F06"/>
    <w:rPr>
      <w:color w:val="954F72" w:themeColor="followedHyperlink"/>
      <w:u w:val="single"/>
    </w:rPr>
  </w:style>
  <w:style w:type="paragraph" w:customStyle="1" w:styleId="EndNoteBibliographyTitle">
    <w:name w:val="EndNote Bibliography Title"/>
    <w:basedOn w:val="Normal"/>
    <w:link w:val="EndNoteBibliographyTitleChar"/>
    <w:rsid w:val="0064639F"/>
    <w:pPr>
      <w:jc w:val="center"/>
    </w:pPr>
    <w:rPr>
      <w:rFonts w:ascii="Calibri" w:eastAsiaTheme="majorEastAsia" w:hAnsi="Calibri" w:cs="Calibri"/>
      <w:sz w:val="20"/>
      <w:szCs w:val="22"/>
    </w:rPr>
  </w:style>
  <w:style w:type="character" w:customStyle="1" w:styleId="EndNoteBibliographyTitleChar">
    <w:name w:val="EndNote Bibliography Title Char"/>
    <w:basedOn w:val="DefaultParagraphFont"/>
    <w:link w:val="EndNoteBibliographyTitle"/>
    <w:rsid w:val="0064639F"/>
    <w:rPr>
      <w:rFonts w:ascii="Calibri" w:hAnsi="Calibri" w:cs="Calibri"/>
      <w:sz w:val="20"/>
    </w:rPr>
  </w:style>
  <w:style w:type="paragraph" w:customStyle="1" w:styleId="EndNoteBibliography">
    <w:name w:val="EndNote Bibliography"/>
    <w:basedOn w:val="Normal"/>
    <w:link w:val="EndNoteBibliographyChar"/>
    <w:rsid w:val="0064639F"/>
    <w:rPr>
      <w:rFonts w:ascii="Calibri" w:eastAsiaTheme="majorEastAsia" w:hAnsi="Calibri" w:cs="Calibri"/>
      <w:sz w:val="20"/>
      <w:szCs w:val="22"/>
    </w:rPr>
  </w:style>
  <w:style w:type="character" w:customStyle="1" w:styleId="EndNoteBibliographyChar">
    <w:name w:val="EndNote Bibliography Char"/>
    <w:basedOn w:val="DefaultParagraphFont"/>
    <w:link w:val="EndNoteBibliography"/>
    <w:rsid w:val="0064639F"/>
    <w:rPr>
      <w:rFonts w:ascii="Calibri" w:hAnsi="Calibri" w:cs="Calibri"/>
      <w:sz w:val="20"/>
    </w:rPr>
  </w:style>
  <w:style w:type="paragraph" w:styleId="ListParagraph">
    <w:name w:val="List Paragraph"/>
    <w:basedOn w:val="Normal"/>
    <w:uiPriority w:val="34"/>
    <w:qFormat/>
    <w:rsid w:val="008008C3"/>
    <w:pPr>
      <w:ind w:left="720"/>
      <w:contextualSpacing/>
    </w:pPr>
    <w:rPr>
      <w:rFonts w:asciiTheme="majorHAnsi" w:eastAsiaTheme="majorEastAsia" w:hAnsiTheme="majorHAnsi" w:cstheme="majorBidi"/>
      <w:sz w:val="22"/>
      <w:szCs w:val="22"/>
    </w:rPr>
  </w:style>
  <w:style w:type="paragraph" w:styleId="Revision">
    <w:name w:val="Revision"/>
    <w:hidden/>
    <w:uiPriority w:val="99"/>
    <w:semiHidden/>
    <w:rsid w:val="00260847"/>
    <w:rPr>
      <w:rFonts w:ascii="Arial" w:hAnsi="Arial"/>
      <w:szCs w:val="24"/>
      <w:lang w:val="en-US" w:eastAsia="en-US"/>
    </w:rPr>
  </w:style>
  <w:style w:type="character" w:customStyle="1" w:styleId="apple-converted-space">
    <w:name w:val="apple-converted-space"/>
    <w:basedOn w:val="DefaultParagraphFont"/>
    <w:rsid w:val="0089656C"/>
  </w:style>
  <w:style w:type="character" w:styleId="Strong">
    <w:name w:val="Strong"/>
    <w:uiPriority w:val="22"/>
    <w:qFormat/>
    <w:rsid w:val="008008C3"/>
    <w:rPr>
      <w:b/>
      <w:bCs/>
    </w:rPr>
  </w:style>
  <w:style w:type="character" w:customStyle="1" w:styleId="Heading1Char">
    <w:name w:val="Heading 1 Char"/>
    <w:basedOn w:val="DefaultParagraphFont"/>
    <w:link w:val="Heading1"/>
    <w:uiPriority w:val="9"/>
    <w:rsid w:val="008008C3"/>
    <w:rPr>
      <w:smallCaps/>
      <w:spacing w:val="5"/>
      <w:sz w:val="36"/>
      <w:szCs w:val="36"/>
    </w:rPr>
  </w:style>
  <w:style w:type="character" w:customStyle="1" w:styleId="Heading2Char">
    <w:name w:val="Heading 2 Char"/>
    <w:basedOn w:val="DefaultParagraphFont"/>
    <w:link w:val="Heading2"/>
    <w:uiPriority w:val="9"/>
    <w:rsid w:val="008008C3"/>
    <w:rPr>
      <w:smallCaps/>
      <w:sz w:val="28"/>
      <w:szCs w:val="28"/>
    </w:rPr>
  </w:style>
  <w:style w:type="character" w:customStyle="1" w:styleId="Heading3Char">
    <w:name w:val="Heading 3 Char"/>
    <w:basedOn w:val="DefaultParagraphFont"/>
    <w:link w:val="Heading3"/>
    <w:uiPriority w:val="9"/>
    <w:rsid w:val="008008C3"/>
    <w:rPr>
      <w:i/>
      <w:iCs/>
      <w:smallCaps/>
      <w:spacing w:val="5"/>
      <w:sz w:val="26"/>
      <w:szCs w:val="26"/>
    </w:rPr>
  </w:style>
  <w:style w:type="character" w:customStyle="1" w:styleId="Heading4Char">
    <w:name w:val="Heading 4 Char"/>
    <w:basedOn w:val="DefaultParagraphFont"/>
    <w:link w:val="Heading4"/>
    <w:uiPriority w:val="9"/>
    <w:semiHidden/>
    <w:rsid w:val="008008C3"/>
    <w:rPr>
      <w:b/>
      <w:bCs/>
      <w:spacing w:val="5"/>
      <w:sz w:val="24"/>
      <w:szCs w:val="24"/>
    </w:rPr>
  </w:style>
  <w:style w:type="character" w:customStyle="1" w:styleId="Heading5Char">
    <w:name w:val="Heading 5 Char"/>
    <w:basedOn w:val="DefaultParagraphFont"/>
    <w:link w:val="Heading5"/>
    <w:uiPriority w:val="9"/>
    <w:semiHidden/>
    <w:rsid w:val="008008C3"/>
    <w:rPr>
      <w:i/>
      <w:iCs/>
      <w:sz w:val="24"/>
      <w:szCs w:val="24"/>
    </w:rPr>
  </w:style>
  <w:style w:type="character" w:customStyle="1" w:styleId="Heading6Char">
    <w:name w:val="Heading 6 Char"/>
    <w:basedOn w:val="DefaultParagraphFont"/>
    <w:link w:val="Heading6"/>
    <w:uiPriority w:val="9"/>
    <w:semiHidden/>
    <w:rsid w:val="008008C3"/>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008C3"/>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008C3"/>
    <w:rPr>
      <w:b/>
      <w:bCs/>
      <w:color w:val="7F7F7F" w:themeColor="text1" w:themeTint="80"/>
      <w:sz w:val="20"/>
      <w:szCs w:val="20"/>
    </w:rPr>
  </w:style>
  <w:style w:type="character" w:customStyle="1" w:styleId="Heading9Char">
    <w:name w:val="Heading 9 Char"/>
    <w:basedOn w:val="DefaultParagraphFont"/>
    <w:link w:val="Heading9"/>
    <w:uiPriority w:val="9"/>
    <w:semiHidden/>
    <w:rsid w:val="008008C3"/>
    <w:rPr>
      <w:b/>
      <w:bCs/>
      <w:i/>
      <w:iCs/>
      <w:color w:val="7F7F7F" w:themeColor="text1" w:themeTint="80"/>
      <w:sz w:val="18"/>
      <w:szCs w:val="18"/>
    </w:rPr>
  </w:style>
  <w:style w:type="paragraph" w:styleId="Caption">
    <w:name w:val="caption"/>
    <w:basedOn w:val="Normal"/>
    <w:next w:val="Normal"/>
    <w:uiPriority w:val="35"/>
    <w:semiHidden/>
    <w:unhideWhenUsed/>
    <w:rsid w:val="008008C3"/>
    <w:rPr>
      <w:b/>
      <w:bCs/>
      <w:color w:val="2F5496" w:themeColor="accent1" w:themeShade="BF"/>
      <w:sz w:val="16"/>
      <w:szCs w:val="16"/>
    </w:rPr>
  </w:style>
  <w:style w:type="paragraph" w:styleId="Title">
    <w:name w:val="Title"/>
    <w:basedOn w:val="Normal"/>
    <w:next w:val="Normal"/>
    <w:link w:val="TitleChar"/>
    <w:uiPriority w:val="10"/>
    <w:qFormat/>
    <w:rsid w:val="008008C3"/>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8008C3"/>
    <w:rPr>
      <w:smallCaps/>
      <w:sz w:val="52"/>
      <w:szCs w:val="52"/>
    </w:rPr>
  </w:style>
  <w:style w:type="paragraph" w:styleId="Subtitle">
    <w:name w:val="Subtitle"/>
    <w:basedOn w:val="Normal"/>
    <w:next w:val="Normal"/>
    <w:link w:val="SubtitleChar"/>
    <w:uiPriority w:val="11"/>
    <w:qFormat/>
    <w:rsid w:val="008008C3"/>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8008C3"/>
    <w:rPr>
      <w:i/>
      <w:iCs/>
      <w:smallCaps/>
      <w:spacing w:val="10"/>
      <w:sz w:val="28"/>
      <w:szCs w:val="28"/>
    </w:rPr>
  </w:style>
  <w:style w:type="paragraph" w:styleId="NoSpacing">
    <w:name w:val="No Spacing"/>
    <w:basedOn w:val="Normal"/>
    <w:link w:val="NoSpacingChar"/>
    <w:uiPriority w:val="1"/>
    <w:qFormat/>
    <w:rsid w:val="008008C3"/>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8008C3"/>
  </w:style>
  <w:style w:type="paragraph" w:styleId="Quote">
    <w:name w:val="Quote"/>
    <w:basedOn w:val="Normal"/>
    <w:next w:val="Normal"/>
    <w:link w:val="QuoteChar"/>
    <w:uiPriority w:val="29"/>
    <w:qFormat/>
    <w:rsid w:val="008008C3"/>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8008C3"/>
    <w:rPr>
      <w:i/>
      <w:iCs/>
    </w:rPr>
  </w:style>
  <w:style w:type="paragraph" w:styleId="IntenseQuote">
    <w:name w:val="Intense Quote"/>
    <w:basedOn w:val="Normal"/>
    <w:next w:val="Normal"/>
    <w:link w:val="IntenseQuoteChar"/>
    <w:uiPriority w:val="30"/>
    <w:qFormat/>
    <w:rsid w:val="008008C3"/>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rPr>
  </w:style>
  <w:style w:type="character" w:customStyle="1" w:styleId="IntenseQuoteChar">
    <w:name w:val="Intense Quote Char"/>
    <w:basedOn w:val="DefaultParagraphFont"/>
    <w:link w:val="IntenseQuote"/>
    <w:uiPriority w:val="30"/>
    <w:rsid w:val="008008C3"/>
    <w:rPr>
      <w:i/>
      <w:iCs/>
    </w:rPr>
  </w:style>
  <w:style w:type="character" w:styleId="SubtleEmphasis">
    <w:name w:val="Subtle Emphasis"/>
    <w:uiPriority w:val="19"/>
    <w:qFormat/>
    <w:rsid w:val="008008C3"/>
    <w:rPr>
      <w:i/>
      <w:iCs/>
    </w:rPr>
  </w:style>
  <w:style w:type="character" w:styleId="IntenseEmphasis">
    <w:name w:val="Intense Emphasis"/>
    <w:uiPriority w:val="21"/>
    <w:qFormat/>
    <w:rsid w:val="008008C3"/>
    <w:rPr>
      <w:b/>
      <w:bCs/>
      <w:i/>
      <w:iCs/>
    </w:rPr>
  </w:style>
  <w:style w:type="character" w:styleId="SubtleReference">
    <w:name w:val="Subtle Reference"/>
    <w:basedOn w:val="DefaultParagraphFont"/>
    <w:uiPriority w:val="31"/>
    <w:qFormat/>
    <w:rsid w:val="008008C3"/>
    <w:rPr>
      <w:smallCaps/>
    </w:rPr>
  </w:style>
  <w:style w:type="character" w:styleId="IntenseReference">
    <w:name w:val="Intense Reference"/>
    <w:uiPriority w:val="32"/>
    <w:qFormat/>
    <w:rsid w:val="008008C3"/>
    <w:rPr>
      <w:b/>
      <w:bCs/>
      <w:smallCaps/>
    </w:rPr>
  </w:style>
  <w:style w:type="character" w:styleId="BookTitle">
    <w:name w:val="Book Title"/>
    <w:basedOn w:val="DefaultParagraphFont"/>
    <w:uiPriority w:val="33"/>
    <w:qFormat/>
    <w:rsid w:val="008008C3"/>
    <w:rPr>
      <w:i/>
      <w:iCs/>
      <w:smallCaps/>
      <w:spacing w:val="5"/>
    </w:rPr>
  </w:style>
  <w:style w:type="paragraph" w:styleId="TOCHeading">
    <w:name w:val="TOC Heading"/>
    <w:basedOn w:val="Heading1"/>
    <w:next w:val="Normal"/>
    <w:uiPriority w:val="39"/>
    <w:semiHidden/>
    <w:unhideWhenUsed/>
    <w:qFormat/>
    <w:rsid w:val="008008C3"/>
    <w:pPr>
      <w:outlineLvl w:val="9"/>
    </w:pPr>
  </w:style>
  <w:style w:type="paragraph" w:customStyle="1" w:styleId="PersonalName">
    <w:name w:val="Personal Name"/>
    <w:basedOn w:val="Title"/>
    <w:rsid w:val="008008C3"/>
    <w:rPr>
      <w:b/>
      <w:caps/>
      <w:color w:val="000000"/>
      <w:sz w:val="28"/>
      <w:szCs w:val="28"/>
    </w:rPr>
  </w:style>
  <w:style w:type="character" w:styleId="EndnoteReference">
    <w:name w:val="endnote reference"/>
    <w:basedOn w:val="DefaultParagraphFont"/>
    <w:uiPriority w:val="99"/>
    <w:unhideWhenUsed/>
    <w:rsid w:val="001B31AC"/>
    <w:rPr>
      <w:vertAlign w:val="superscript"/>
    </w:rPr>
  </w:style>
  <w:style w:type="paragraph" w:customStyle="1" w:styleId="paragraph">
    <w:name w:val="paragraph"/>
    <w:basedOn w:val="Normal"/>
    <w:rsid w:val="00125578"/>
    <w:pPr>
      <w:spacing w:before="100" w:beforeAutospacing="1" w:after="100" w:afterAutospacing="1"/>
    </w:pPr>
  </w:style>
  <w:style w:type="character" w:customStyle="1" w:styleId="findhit">
    <w:name w:val="findhit"/>
    <w:basedOn w:val="DefaultParagraphFont"/>
    <w:rsid w:val="00F6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288">
      <w:bodyDiv w:val="1"/>
      <w:marLeft w:val="0"/>
      <w:marRight w:val="0"/>
      <w:marTop w:val="0"/>
      <w:marBottom w:val="0"/>
      <w:divBdr>
        <w:top w:val="none" w:sz="0" w:space="0" w:color="auto"/>
        <w:left w:val="none" w:sz="0" w:space="0" w:color="auto"/>
        <w:bottom w:val="none" w:sz="0" w:space="0" w:color="auto"/>
        <w:right w:val="none" w:sz="0" w:space="0" w:color="auto"/>
      </w:divBdr>
      <w:divsChild>
        <w:div w:id="2066902825">
          <w:marLeft w:val="0"/>
          <w:marRight w:val="0"/>
          <w:marTop w:val="0"/>
          <w:marBottom w:val="0"/>
          <w:divBdr>
            <w:top w:val="none" w:sz="0" w:space="0" w:color="auto"/>
            <w:left w:val="none" w:sz="0" w:space="0" w:color="auto"/>
            <w:bottom w:val="none" w:sz="0" w:space="0" w:color="auto"/>
            <w:right w:val="none" w:sz="0" w:space="0" w:color="auto"/>
          </w:divBdr>
        </w:div>
        <w:div w:id="1743403014">
          <w:marLeft w:val="0"/>
          <w:marRight w:val="0"/>
          <w:marTop w:val="0"/>
          <w:marBottom w:val="0"/>
          <w:divBdr>
            <w:top w:val="none" w:sz="0" w:space="0" w:color="auto"/>
            <w:left w:val="none" w:sz="0" w:space="0" w:color="auto"/>
            <w:bottom w:val="none" w:sz="0" w:space="0" w:color="auto"/>
            <w:right w:val="none" w:sz="0" w:space="0" w:color="auto"/>
          </w:divBdr>
        </w:div>
        <w:div w:id="1445614180">
          <w:marLeft w:val="0"/>
          <w:marRight w:val="0"/>
          <w:marTop w:val="0"/>
          <w:marBottom w:val="0"/>
          <w:divBdr>
            <w:top w:val="none" w:sz="0" w:space="0" w:color="auto"/>
            <w:left w:val="none" w:sz="0" w:space="0" w:color="auto"/>
            <w:bottom w:val="none" w:sz="0" w:space="0" w:color="auto"/>
            <w:right w:val="none" w:sz="0" w:space="0" w:color="auto"/>
          </w:divBdr>
        </w:div>
        <w:div w:id="1438022050">
          <w:marLeft w:val="0"/>
          <w:marRight w:val="0"/>
          <w:marTop w:val="0"/>
          <w:marBottom w:val="0"/>
          <w:divBdr>
            <w:top w:val="none" w:sz="0" w:space="0" w:color="auto"/>
            <w:left w:val="none" w:sz="0" w:space="0" w:color="auto"/>
            <w:bottom w:val="none" w:sz="0" w:space="0" w:color="auto"/>
            <w:right w:val="none" w:sz="0" w:space="0" w:color="auto"/>
          </w:divBdr>
        </w:div>
        <w:div w:id="1886141136">
          <w:marLeft w:val="0"/>
          <w:marRight w:val="0"/>
          <w:marTop w:val="0"/>
          <w:marBottom w:val="0"/>
          <w:divBdr>
            <w:top w:val="none" w:sz="0" w:space="0" w:color="auto"/>
            <w:left w:val="none" w:sz="0" w:space="0" w:color="auto"/>
            <w:bottom w:val="none" w:sz="0" w:space="0" w:color="auto"/>
            <w:right w:val="none" w:sz="0" w:space="0" w:color="auto"/>
          </w:divBdr>
        </w:div>
        <w:div w:id="1185900336">
          <w:marLeft w:val="0"/>
          <w:marRight w:val="0"/>
          <w:marTop w:val="0"/>
          <w:marBottom w:val="0"/>
          <w:divBdr>
            <w:top w:val="none" w:sz="0" w:space="0" w:color="auto"/>
            <w:left w:val="none" w:sz="0" w:space="0" w:color="auto"/>
            <w:bottom w:val="none" w:sz="0" w:space="0" w:color="auto"/>
            <w:right w:val="none" w:sz="0" w:space="0" w:color="auto"/>
          </w:divBdr>
        </w:div>
        <w:div w:id="954361987">
          <w:marLeft w:val="0"/>
          <w:marRight w:val="0"/>
          <w:marTop w:val="0"/>
          <w:marBottom w:val="0"/>
          <w:divBdr>
            <w:top w:val="none" w:sz="0" w:space="0" w:color="auto"/>
            <w:left w:val="none" w:sz="0" w:space="0" w:color="auto"/>
            <w:bottom w:val="none" w:sz="0" w:space="0" w:color="auto"/>
            <w:right w:val="none" w:sz="0" w:space="0" w:color="auto"/>
          </w:divBdr>
        </w:div>
      </w:divsChild>
    </w:div>
    <w:div w:id="23485057">
      <w:bodyDiv w:val="1"/>
      <w:marLeft w:val="0"/>
      <w:marRight w:val="0"/>
      <w:marTop w:val="0"/>
      <w:marBottom w:val="0"/>
      <w:divBdr>
        <w:top w:val="none" w:sz="0" w:space="0" w:color="auto"/>
        <w:left w:val="none" w:sz="0" w:space="0" w:color="auto"/>
        <w:bottom w:val="none" w:sz="0" w:space="0" w:color="auto"/>
        <w:right w:val="none" w:sz="0" w:space="0" w:color="auto"/>
      </w:divBdr>
      <w:divsChild>
        <w:div w:id="1279340314">
          <w:marLeft w:val="0"/>
          <w:marRight w:val="0"/>
          <w:marTop w:val="0"/>
          <w:marBottom w:val="0"/>
          <w:divBdr>
            <w:top w:val="none" w:sz="0" w:space="0" w:color="auto"/>
            <w:left w:val="none" w:sz="0" w:space="0" w:color="auto"/>
            <w:bottom w:val="none" w:sz="0" w:space="0" w:color="auto"/>
            <w:right w:val="none" w:sz="0" w:space="0" w:color="auto"/>
          </w:divBdr>
          <w:divsChild>
            <w:div w:id="1840272922">
              <w:marLeft w:val="0"/>
              <w:marRight w:val="0"/>
              <w:marTop w:val="0"/>
              <w:marBottom w:val="0"/>
              <w:divBdr>
                <w:top w:val="none" w:sz="0" w:space="0" w:color="auto"/>
                <w:left w:val="none" w:sz="0" w:space="0" w:color="auto"/>
                <w:bottom w:val="none" w:sz="0" w:space="0" w:color="auto"/>
                <w:right w:val="none" w:sz="0" w:space="0" w:color="auto"/>
              </w:divBdr>
              <w:divsChild>
                <w:div w:id="3943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1169">
      <w:bodyDiv w:val="1"/>
      <w:marLeft w:val="0"/>
      <w:marRight w:val="0"/>
      <w:marTop w:val="0"/>
      <w:marBottom w:val="0"/>
      <w:divBdr>
        <w:top w:val="none" w:sz="0" w:space="0" w:color="auto"/>
        <w:left w:val="none" w:sz="0" w:space="0" w:color="auto"/>
        <w:bottom w:val="none" w:sz="0" w:space="0" w:color="auto"/>
        <w:right w:val="none" w:sz="0" w:space="0" w:color="auto"/>
      </w:divBdr>
    </w:div>
    <w:div w:id="66194655">
      <w:bodyDiv w:val="1"/>
      <w:marLeft w:val="0"/>
      <w:marRight w:val="0"/>
      <w:marTop w:val="0"/>
      <w:marBottom w:val="0"/>
      <w:divBdr>
        <w:top w:val="none" w:sz="0" w:space="0" w:color="auto"/>
        <w:left w:val="none" w:sz="0" w:space="0" w:color="auto"/>
        <w:bottom w:val="none" w:sz="0" w:space="0" w:color="auto"/>
        <w:right w:val="none" w:sz="0" w:space="0" w:color="auto"/>
      </w:divBdr>
      <w:divsChild>
        <w:div w:id="367679934">
          <w:marLeft w:val="0"/>
          <w:marRight w:val="0"/>
          <w:marTop w:val="0"/>
          <w:marBottom w:val="0"/>
          <w:divBdr>
            <w:top w:val="none" w:sz="0" w:space="0" w:color="auto"/>
            <w:left w:val="none" w:sz="0" w:space="0" w:color="auto"/>
            <w:bottom w:val="none" w:sz="0" w:space="0" w:color="auto"/>
            <w:right w:val="none" w:sz="0" w:space="0" w:color="auto"/>
          </w:divBdr>
          <w:divsChild>
            <w:div w:id="2018803671">
              <w:marLeft w:val="0"/>
              <w:marRight w:val="0"/>
              <w:marTop w:val="0"/>
              <w:marBottom w:val="0"/>
              <w:divBdr>
                <w:top w:val="none" w:sz="0" w:space="0" w:color="auto"/>
                <w:left w:val="none" w:sz="0" w:space="0" w:color="auto"/>
                <w:bottom w:val="none" w:sz="0" w:space="0" w:color="auto"/>
                <w:right w:val="none" w:sz="0" w:space="0" w:color="auto"/>
              </w:divBdr>
              <w:divsChild>
                <w:div w:id="16112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2641">
      <w:bodyDiv w:val="1"/>
      <w:marLeft w:val="0"/>
      <w:marRight w:val="0"/>
      <w:marTop w:val="0"/>
      <w:marBottom w:val="0"/>
      <w:divBdr>
        <w:top w:val="none" w:sz="0" w:space="0" w:color="auto"/>
        <w:left w:val="none" w:sz="0" w:space="0" w:color="auto"/>
        <w:bottom w:val="none" w:sz="0" w:space="0" w:color="auto"/>
        <w:right w:val="none" w:sz="0" w:space="0" w:color="auto"/>
      </w:divBdr>
    </w:div>
    <w:div w:id="136345442">
      <w:bodyDiv w:val="1"/>
      <w:marLeft w:val="0"/>
      <w:marRight w:val="0"/>
      <w:marTop w:val="0"/>
      <w:marBottom w:val="0"/>
      <w:divBdr>
        <w:top w:val="none" w:sz="0" w:space="0" w:color="auto"/>
        <w:left w:val="none" w:sz="0" w:space="0" w:color="auto"/>
        <w:bottom w:val="none" w:sz="0" w:space="0" w:color="auto"/>
        <w:right w:val="none" w:sz="0" w:space="0" w:color="auto"/>
      </w:divBdr>
    </w:div>
    <w:div w:id="144703922">
      <w:bodyDiv w:val="1"/>
      <w:marLeft w:val="0"/>
      <w:marRight w:val="0"/>
      <w:marTop w:val="0"/>
      <w:marBottom w:val="0"/>
      <w:divBdr>
        <w:top w:val="none" w:sz="0" w:space="0" w:color="auto"/>
        <w:left w:val="none" w:sz="0" w:space="0" w:color="auto"/>
        <w:bottom w:val="none" w:sz="0" w:space="0" w:color="auto"/>
        <w:right w:val="none" w:sz="0" w:space="0" w:color="auto"/>
      </w:divBdr>
    </w:div>
    <w:div w:id="158160299">
      <w:bodyDiv w:val="1"/>
      <w:marLeft w:val="0"/>
      <w:marRight w:val="0"/>
      <w:marTop w:val="0"/>
      <w:marBottom w:val="0"/>
      <w:divBdr>
        <w:top w:val="none" w:sz="0" w:space="0" w:color="auto"/>
        <w:left w:val="none" w:sz="0" w:space="0" w:color="auto"/>
        <w:bottom w:val="none" w:sz="0" w:space="0" w:color="auto"/>
        <w:right w:val="none" w:sz="0" w:space="0" w:color="auto"/>
      </w:divBdr>
    </w:div>
    <w:div w:id="169180969">
      <w:bodyDiv w:val="1"/>
      <w:marLeft w:val="0"/>
      <w:marRight w:val="0"/>
      <w:marTop w:val="0"/>
      <w:marBottom w:val="0"/>
      <w:divBdr>
        <w:top w:val="none" w:sz="0" w:space="0" w:color="auto"/>
        <w:left w:val="none" w:sz="0" w:space="0" w:color="auto"/>
        <w:bottom w:val="none" w:sz="0" w:space="0" w:color="auto"/>
        <w:right w:val="none" w:sz="0" w:space="0" w:color="auto"/>
      </w:divBdr>
    </w:div>
    <w:div w:id="172456164">
      <w:bodyDiv w:val="1"/>
      <w:marLeft w:val="0"/>
      <w:marRight w:val="0"/>
      <w:marTop w:val="0"/>
      <w:marBottom w:val="0"/>
      <w:divBdr>
        <w:top w:val="none" w:sz="0" w:space="0" w:color="auto"/>
        <w:left w:val="none" w:sz="0" w:space="0" w:color="auto"/>
        <w:bottom w:val="none" w:sz="0" w:space="0" w:color="auto"/>
        <w:right w:val="none" w:sz="0" w:space="0" w:color="auto"/>
      </w:divBdr>
      <w:divsChild>
        <w:div w:id="369033376">
          <w:marLeft w:val="0"/>
          <w:marRight w:val="0"/>
          <w:marTop w:val="0"/>
          <w:marBottom w:val="0"/>
          <w:divBdr>
            <w:top w:val="none" w:sz="0" w:space="0" w:color="auto"/>
            <w:left w:val="none" w:sz="0" w:space="0" w:color="auto"/>
            <w:bottom w:val="none" w:sz="0" w:space="0" w:color="auto"/>
            <w:right w:val="none" w:sz="0" w:space="0" w:color="auto"/>
          </w:divBdr>
          <w:divsChild>
            <w:div w:id="365563889">
              <w:marLeft w:val="0"/>
              <w:marRight w:val="0"/>
              <w:marTop w:val="0"/>
              <w:marBottom w:val="0"/>
              <w:divBdr>
                <w:top w:val="none" w:sz="0" w:space="0" w:color="auto"/>
                <w:left w:val="none" w:sz="0" w:space="0" w:color="auto"/>
                <w:bottom w:val="none" w:sz="0" w:space="0" w:color="auto"/>
                <w:right w:val="none" w:sz="0" w:space="0" w:color="auto"/>
              </w:divBdr>
              <w:divsChild>
                <w:div w:id="9910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8205">
      <w:bodyDiv w:val="1"/>
      <w:marLeft w:val="0"/>
      <w:marRight w:val="0"/>
      <w:marTop w:val="0"/>
      <w:marBottom w:val="0"/>
      <w:divBdr>
        <w:top w:val="none" w:sz="0" w:space="0" w:color="auto"/>
        <w:left w:val="none" w:sz="0" w:space="0" w:color="auto"/>
        <w:bottom w:val="none" w:sz="0" w:space="0" w:color="auto"/>
        <w:right w:val="none" w:sz="0" w:space="0" w:color="auto"/>
      </w:divBdr>
      <w:divsChild>
        <w:div w:id="1432891115">
          <w:marLeft w:val="0"/>
          <w:marRight w:val="0"/>
          <w:marTop w:val="0"/>
          <w:marBottom w:val="0"/>
          <w:divBdr>
            <w:top w:val="none" w:sz="0" w:space="0" w:color="auto"/>
            <w:left w:val="none" w:sz="0" w:space="0" w:color="auto"/>
            <w:bottom w:val="none" w:sz="0" w:space="0" w:color="auto"/>
            <w:right w:val="none" w:sz="0" w:space="0" w:color="auto"/>
          </w:divBdr>
          <w:divsChild>
            <w:div w:id="271399542">
              <w:marLeft w:val="0"/>
              <w:marRight w:val="0"/>
              <w:marTop w:val="0"/>
              <w:marBottom w:val="0"/>
              <w:divBdr>
                <w:top w:val="none" w:sz="0" w:space="0" w:color="auto"/>
                <w:left w:val="none" w:sz="0" w:space="0" w:color="auto"/>
                <w:bottom w:val="none" w:sz="0" w:space="0" w:color="auto"/>
                <w:right w:val="none" w:sz="0" w:space="0" w:color="auto"/>
              </w:divBdr>
              <w:divsChild>
                <w:div w:id="1263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3812">
      <w:bodyDiv w:val="1"/>
      <w:marLeft w:val="0"/>
      <w:marRight w:val="0"/>
      <w:marTop w:val="0"/>
      <w:marBottom w:val="0"/>
      <w:divBdr>
        <w:top w:val="none" w:sz="0" w:space="0" w:color="auto"/>
        <w:left w:val="none" w:sz="0" w:space="0" w:color="auto"/>
        <w:bottom w:val="none" w:sz="0" w:space="0" w:color="auto"/>
        <w:right w:val="none" w:sz="0" w:space="0" w:color="auto"/>
      </w:divBdr>
      <w:divsChild>
        <w:div w:id="250166877">
          <w:marLeft w:val="0"/>
          <w:marRight w:val="0"/>
          <w:marTop w:val="0"/>
          <w:marBottom w:val="0"/>
          <w:divBdr>
            <w:top w:val="none" w:sz="0" w:space="0" w:color="auto"/>
            <w:left w:val="none" w:sz="0" w:space="0" w:color="auto"/>
            <w:bottom w:val="none" w:sz="0" w:space="0" w:color="auto"/>
            <w:right w:val="none" w:sz="0" w:space="0" w:color="auto"/>
          </w:divBdr>
        </w:div>
        <w:div w:id="1279414177">
          <w:marLeft w:val="0"/>
          <w:marRight w:val="0"/>
          <w:marTop w:val="0"/>
          <w:marBottom w:val="0"/>
          <w:divBdr>
            <w:top w:val="none" w:sz="0" w:space="0" w:color="auto"/>
            <w:left w:val="none" w:sz="0" w:space="0" w:color="auto"/>
            <w:bottom w:val="none" w:sz="0" w:space="0" w:color="auto"/>
            <w:right w:val="none" w:sz="0" w:space="0" w:color="auto"/>
          </w:divBdr>
        </w:div>
        <w:div w:id="1325813277">
          <w:marLeft w:val="0"/>
          <w:marRight w:val="0"/>
          <w:marTop w:val="0"/>
          <w:marBottom w:val="0"/>
          <w:divBdr>
            <w:top w:val="none" w:sz="0" w:space="0" w:color="auto"/>
            <w:left w:val="none" w:sz="0" w:space="0" w:color="auto"/>
            <w:bottom w:val="none" w:sz="0" w:space="0" w:color="auto"/>
            <w:right w:val="none" w:sz="0" w:space="0" w:color="auto"/>
          </w:divBdr>
        </w:div>
        <w:div w:id="1502893407">
          <w:marLeft w:val="0"/>
          <w:marRight w:val="0"/>
          <w:marTop w:val="0"/>
          <w:marBottom w:val="0"/>
          <w:divBdr>
            <w:top w:val="none" w:sz="0" w:space="0" w:color="auto"/>
            <w:left w:val="none" w:sz="0" w:space="0" w:color="auto"/>
            <w:bottom w:val="none" w:sz="0" w:space="0" w:color="auto"/>
            <w:right w:val="none" w:sz="0" w:space="0" w:color="auto"/>
          </w:divBdr>
        </w:div>
        <w:div w:id="1952859478">
          <w:marLeft w:val="0"/>
          <w:marRight w:val="0"/>
          <w:marTop w:val="0"/>
          <w:marBottom w:val="0"/>
          <w:divBdr>
            <w:top w:val="none" w:sz="0" w:space="0" w:color="auto"/>
            <w:left w:val="none" w:sz="0" w:space="0" w:color="auto"/>
            <w:bottom w:val="none" w:sz="0" w:space="0" w:color="auto"/>
            <w:right w:val="none" w:sz="0" w:space="0" w:color="auto"/>
          </w:divBdr>
        </w:div>
      </w:divsChild>
    </w:div>
    <w:div w:id="253053945">
      <w:bodyDiv w:val="1"/>
      <w:marLeft w:val="0"/>
      <w:marRight w:val="0"/>
      <w:marTop w:val="0"/>
      <w:marBottom w:val="0"/>
      <w:divBdr>
        <w:top w:val="none" w:sz="0" w:space="0" w:color="auto"/>
        <w:left w:val="none" w:sz="0" w:space="0" w:color="auto"/>
        <w:bottom w:val="none" w:sz="0" w:space="0" w:color="auto"/>
        <w:right w:val="none" w:sz="0" w:space="0" w:color="auto"/>
      </w:divBdr>
      <w:divsChild>
        <w:div w:id="384568895">
          <w:marLeft w:val="0"/>
          <w:marRight w:val="0"/>
          <w:marTop w:val="0"/>
          <w:marBottom w:val="0"/>
          <w:divBdr>
            <w:top w:val="none" w:sz="0" w:space="0" w:color="auto"/>
            <w:left w:val="none" w:sz="0" w:space="0" w:color="auto"/>
            <w:bottom w:val="none" w:sz="0" w:space="0" w:color="auto"/>
            <w:right w:val="none" w:sz="0" w:space="0" w:color="auto"/>
          </w:divBdr>
          <w:divsChild>
            <w:div w:id="1784037491">
              <w:marLeft w:val="0"/>
              <w:marRight w:val="0"/>
              <w:marTop w:val="0"/>
              <w:marBottom w:val="0"/>
              <w:divBdr>
                <w:top w:val="none" w:sz="0" w:space="0" w:color="auto"/>
                <w:left w:val="none" w:sz="0" w:space="0" w:color="auto"/>
                <w:bottom w:val="none" w:sz="0" w:space="0" w:color="auto"/>
                <w:right w:val="none" w:sz="0" w:space="0" w:color="auto"/>
              </w:divBdr>
              <w:divsChild>
                <w:div w:id="154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09126">
      <w:bodyDiv w:val="1"/>
      <w:marLeft w:val="0"/>
      <w:marRight w:val="0"/>
      <w:marTop w:val="0"/>
      <w:marBottom w:val="0"/>
      <w:divBdr>
        <w:top w:val="none" w:sz="0" w:space="0" w:color="auto"/>
        <w:left w:val="none" w:sz="0" w:space="0" w:color="auto"/>
        <w:bottom w:val="none" w:sz="0" w:space="0" w:color="auto"/>
        <w:right w:val="none" w:sz="0" w:space="0" w:color="auto"/>
      </w:divBdr>
      <w:divsChild>
        <w:div w:id="1155804957">
          <w:marLeft w:val="0"/>
          <w:marRight w:val="0"/>
          <w:marTop w:val="0"/>
          <w:marBottom w:val="0"/>
          <w:divBdr>
            <w:top w:val="none" w:sz="0" w:space="0" w:color="auto"/>
            <w:left w:val="none" w:sz="0" w:space="0" w:color="auto"/>
            <w:bottom w:val="none" w:sz="0" w:space="0" w:color="auto"/>
            <w:right w:val="none" w:sz="0" w:space="0" w:color="auto"/>
          </w:divBdr>
          <w:divsChild>
            <w:div w:id="1118529462">
              <w:marLeft w:val="0"/>
              <w:marRight w:val="0"/>
              <w:marTop w:val="0"/>
              <w:marBottom w:val="0"/>
              <w:divBdr>
                <w:top w:val="none" w:sz="0" w:space="0" w:color="auto"/>
                <w:left w:val="none" w:sz="0" w:space="0" w:color="auto"/>
                <w:bottom w:val="none" w:sz="0" w:space="0" w:color="auto"/>
                <w:right w:val="none" w:sz="0" w:space="0" w:color="auto"/>
              </w:divBdr>
              <w:divsChild>
                <w:div w:id="4900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71869">
      <w:bodyDiv w:val="1"/>
      <w:marLeft w:val="0"/>
      <w:marRight w:val="0"/>
      <w:marTop w:val="0"/>
      <w:marBottom w:val="0"/>
      <w:divBdr>
        <w:top w:val="none" w:sz="0" w:space="0" w:color="auto"/>
        <w:left w:val="none" w:sz="0" w:space="0" w:color="auto"/>
        <w:bottom w:val="none" w:sz="0" w:space="0" w:color="auto"/>
        <w:right w:val="none" w:sz="0" w:space="0" w:color="auto"/>
      </w:divBdr>
      <w:divsChild>
        <w:div w:id="1959025637">
          <w:marLeft w:val="0"/>
          <w:marRight w:val="0"/>
          <w:marTop w:val="0"/>
          <w:marBottom w:val="0"/>
          <w:divBdr>
            <w:top w:val="none" w:sz="0" w:space="0" w:color="auto"/>
            <w:left w:val="none" w:sz="0" w:space="0" w:color="auto"/>
            <w:bottom w:val="none" w:sz="0" w:space="0" w:color="auto"/>
            <w:right w:val="none" w:sz="0" w:space="0" w:color="auto"/>
          </w:divBdr>
          <w:divsChild>
            <w:div w:id="860361092">
              <w:marLeft w:val="0"/>
              <w:marRight w:val="0"/>
              <w:marTop w:val="0"/>
              <w:marBottom w:val="0"/>
              <w:divBdr>
                <w:top w:val="none" w:sz="0" w:space="0" w:color="auto"/>
                <w:left w:val="none" w:sz="0" w:space="0" w:color="auto"/>
                <w:bottom w:val="none" w:sz="0" w:space="0" w:color="auto"/>
                <w:right w:val="none" w:sz="0" w:space="0" w:color="auto"/>
              </w:divBdr>
              <w:divsChild>
                <w:div w:id="1448037342">
                  <w:marLeft w:val="0"/>
                  <w:marRight w:val="0"/>
                  <w:marTop w:val="0"/>
                  <w:marBottom w:val="0"/>
                  <w:divBdr>
                    <w:top w:val="none" w:sz="0" w:space="0" w:color="auto"/>
                    <w:left w:val="none" w:sz="0" w:space="0" w:color="auto"/>
                    <w:bottom w:val="none" w:sz="0" w:space="0" w:color="auto"/>
                    <w:right w:val="none" w:sz="0" w:space="0" w:color="auto"/>
                  </w:divBdr>
                  <w:divsChild>
                    <w:div w:id="5715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05439">
      <w:bodyDiv w:val="1"/>
      <w:marLeft w:val="0"/>
      <w:marRight w:val="0"/>
      <w:marTop w:val="0"/>
      <w:marBottom w:val="0"/>
      <w:divBdr>
        <w:top w:val="none" w:sz="0" w:space="0" w:color="auto"/>
        <w:left w:val="none" w:sz="0" w:space="0" w:color="auto"/>
        <w:bottom w:val="none" w:sz="0" w:space="0" w:color="auto"/>
        <w:right w:val="none" w:sz="0" w:space="0" w:color="auto"/>
      </w:divBdr>
      <w:divsChild>
        <w:div w:id="1805848844">
          <w:marLeft w:val="0"/>
          <w:marRight w:val="0"/>
          <w:marTop w:val="0"/>
          <w:marBottom w:val="0"/>
          <w:divBdr>
            <w:top w:val="none" w:sz="0" w:space="0" w:color="auto"/>
            <w:left w:val="none" w:sz="0" w:space="0" w:color="auto"/>
            <w:bottom w:val="none" w:sz="0" w:space="0" w:color="auto"/>
            <w:right w:val="none" w:sz="0" w:space="0" w:color="auto"/>
          </w:divBdr>
          <w:divsChild>
            <w:div w:id="1144657714">
              <w:marLeft w:val="0"/>
              <w:marRight w:val="0"/>
              <w:marTop w:val="0"/>
              <w:marBottom w:val="0"/>
              <w:divBdr>
                <w:top w:val="none" w:sz="0" w:space="0" w:color="auto"/>
                <w:left w:val="none" w:sz="0" w:space="0" w:color="auto"/>
                <w:bottom w:val="none" w:sz="0" w:space="0" w:color="auto"/>
                <w:right w:val="none" w:sz="0" w:space="0" w:color="auto"/>
              </w:divBdr>
              <w:divsChild>
                <w:div w:id="13590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77409">
      <w:bodyDiv w:val="1"/>
      <w:marLeft w:val="0"/>
      <w:marRight w:val="0"/>
      <w:marTop w:val="0"/>
      <w:marBottom w:val="0"/>
      <w:divBdr>
        <w:top w:val="none" w:sz="0" w:space="0" w:color="auto"/>
        <w:left w:val="none" w:sz="0" w:space="0" w:color="auto"/>
        <w:bottom w:val="none" w:sz="0" w:space="0" w:color="auto"/>
        <w:right w:val="none" w:sz="0" w:space="0" w:color="auto"/>
      </w:divBdr>
    </w:div>
    <w:div w:id="417486234">
      <w:bodyDiv w:val="1"/>
      <w:marLeft w:val="0"/>
      <w:marRight w:val="0"/>
      <w:marTop w:val="0"/>
      <w:marBottom w:val="0"/>
      <w:divBdr>
        <w:top w:val="none" w:sz="0" w:space="0" w:color="auto"/>
        <w:left w:val="none" w:sz="0" w:space="0" w:color="auto"/>
        <w:bottom w:val="none" w:sz="0" w:space="0" w:color="auto"/>
        <w:right w:val="none" w:sz="0" w:space="0" w:color="auto"/>
      </w:divBdr>
    </w:div>
    <w:div w:id="422648230">
      <w:bodyDiv w:val="1"/>
      <w:marLeft w:val="0"/>
      <w:marRight w:val="0"/>
      <w:marTop w:val="0"/>
      <w:marBottom w:val="0"/>
      <w:divBdr>
        <w:top w:val="none" w:sz="0" w:space="0" w:color="auto"/>
        <w:left w:val="none" w:sz="0" w:space="0" w:color="auto"/>
        <w:bottom w:val="none" w:sz="0" w:space="0" w:color="auto"/>
        <w:right w:val="none" w:sz="0" w:space="0" w:color="auto"/>
      </w:divBdr>
    </w:div>
    <w:div w:id="433325838">
      <w:bodyDiv w:val="1"/>
      <w:marLeft w:val="0"/>
      <w:marRight w:val="0"/>
      <w:marTop w:val="0"/>
      <w:marBottom w:val="0"/>
      <w:divBdr>
        <w:top w:val="none" w:sz="0" w:space="0" w:color="auto"/>
        <w:left w:val="none" w:sz="0" w:space="0" w:color="auto"/>
        <w:bottom w:val="none" w:sz="0" w:space="0" w:color="auto"/>
        <w:right w:val="none" w:sz="0" w:space="0" w:color="auto"/>
      </w:divBdr>
    </w:div>
    <w:div w:id="449015672">
      <w:bodyDiv w:val="1"/>
      <w:marLeft w:val="0"/>
      <w:marRight w:val="0"/>
      <w:marTop w:val="0"/>
      <w:marBottom w:val="0"/>
      <w:divBdr>
        <w:top w:val="none" w:sz="0" w:space="0" w:color="auto"/>
        <w:left w:val="none" w:sz="0" w:space="0" w:color="auto"/>
        <w:bottom w:val="none" w:sz="0" w:space="0" w:color="auto"/>
        <w:right w:val="none" w:sz="0" w:space="0" w:color="auto"/>
      </w:divBdr>
    </w:div>
    <w:div w:id="469709485">
      <w:bodyDiv w:val="1"/>
      <w:marLeft w:val="0"/>
      <w:marRight w:val="0"/>
      <w:marTop w:val="0"/>
      <w:marBottom w:val="0"/>
      <w:divBdr>
        <w:top w:val="none" w:sz="0" w:space="0" w:color="auto"/>
        <w:left w:val="none" w:sz="0" w:space="0" w:color="auto"/>
        <w:bottom w:val="none" w:sz="0" w:space="0" w:color="auto"/>
        <w:right w:val="none" w:sz="0" w:space="0" w:color="auto"/>
      </w:divBdr>
    </w:div>
    <w:div w:id="534578707">
      <w:bodyDiv w:val="1"/>
      <w:marLeft w:val="0"/>
      <w:marRight w:val="0"/>
      <w:marTop w:val="0"/>
      <w:marBottom w:val="0"/>
      <w:divBdr>
        <w:top w:val="none" w:sz="0" w:space="0" w:color="auto"/>
        <w:left w:val="none" w:sz="0" w:space="0" w:color="auto"/>
        <w:bottom w:val="none" w:sz="0" w:space="0" w:color="auto"/>
        <w:right w:val="none" w:sz="0" w:space="0" w:color="auto"/>
      </w:divBdr>
    </w:div>
    <w:div w:id="540048535">
      <w:bodyDiv w:val="1"/>
      <w:marLeft w:val="0"/>
      <w:marRight w:val="0"/>
      <w:marTop w:val="0"/>
      <w:marBottom w:val="0"/>
      <w:divBdr>
        <w:top w:val="none" w:sz="0" w:space="0" w:color="auto"/>
        <w:left w:val="none" w:sz="0" w:space="0" w:color="auto"/>
        <w:bottom w:val="none" w:sz="0" w:space="0" w:color="auto"/>
        <w:right w:val="none" w:sz="0" w:space="0" w:color="auto"/>
      </w:divBdr>
    </w:div>
    <w:div w:id="573052681">
      <w:bodyDiv w:val="1"/>
      <w:marLeft w:val="0"/>
      <w:marRight w:val="0"/>
      <w:marTop w:val="0"/>
      <w:marBottom w:val="0"/>
      <w:divBdr>
        <w:top w:val="none" w:sz="0" w:space="0" w:color="auto"/>
        <w:left w:val="none" w:sz="0" w:space="0" w:color="auto"/>
        <w:bottom w:val="none" w:sz="0" w:space="0" w:color="auto"/>
        <w:right w:val="none" w:sz="0" w:space="0" w:color="auto"/>
      </w:divBdr>
      <w:divsChild>
        <w:div w:id="1463381955">
          <w:marLeft w:val="0"/>
          <w:marRight w:val="0"/>
          <w:marTop w:val="0"/>
          <w:marBottom w:val="0"/>
          <w:divBdr>
            <w:top w:val="none" w:sz="0" w:space="0" w:color="auto"/>
            <w:left w:val="none" w:sz="0" w:space="0" w:color="auto"/>
            <w:bottom w:val="none" w:sz="0" w:space="0" w:color="auto"/>
            <w:right w:val="none" w:sz="0" w:space="0" w:color="auto"/>
          </w:divBdr>
          <w:divsChild>
            <w:div w:id="716389796">
              <w:marLeft w:val="0"/>
              <w:marRight w:val="0"/>
              <w:marTop w:val="0"/>
              <w:marBottom w:val="0"/>
              <w:divBdr>
                <w:top w:val="none" w:sz="0" w:space="0" w:color="auto"/>
                <w:left w:val="none" w:sz="0" w:space="0" w:color="auto"/>
                <w:bottom w:val="none" w:sz="0" w:space="0" w:color="auto"/>
                <w:right w:val="none" w:sz="0" w:space="0" w:color="auto"/>
              </w:divBdr>
              <w:divsChild>
                <w:div w:id="8900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45223">
      <w:bodyDiv w:val="1"/>
      <w:marLeft w:val="0"/>
      <w:marRight w:val="0"/>
      <w:marTop w:val="0"/>
      <w:marBottom w:val="0"/>
      <w:divBdr>
        <w:top w:val="none" w:sz="0" w:space="0" w:color="auto"/>
        <w:left w:val="none" w:sz="0" w:space="0" w:color="auto"/>
        <w:bottom w:val="none" w:sz="0" w:space="0" w:color="auto"/>
        <w:right w:val="none" w:sz="0" w:space="0" w:color="auto"/>
      </w:divBdr>
    </w:div>
    <w:div w:id="693462382">
      <w:bodyDiv w:val="1"/>
      <w:marLeft w:val="0"/>
      <w:marRight w:val="0"/>
      <w:marTop w:val="0"/>
      <w:marBottom w:val="0"/>
      <w:divBdr>
        <w:top w:val="none" w:sz="0" w:space="0" w:color="auto"/>
        <w:left w:val="none" w:sz="0" w:space="0" w:color="auto"/>
        <w:bottom w:val="none" w:sz="0" w:space="0" w:color="auto"/>
        <w:right w:val="none" w:sz="0" w:space="0" w:color="auto"/>
      </w:divBdr>
      <w:divsChild>
        <w:div w:id="1713574647">
          <w:marLeft w:val="0"/>
          <w:marRight w:val="0"/>
          <w:marTop w:val="0"/>
          <w:marBottom w:val="0"/>
          <w:divBdr>
            <w:top w:val="none" w:sz="0" w:space="0" w:color="auto"/>
            <w:left w:val="none" w:sz="0" w:space="0" w:color="auto"/>
            <w:bottom w:val="none" w:sz="0" w:space="0" w:color="auto"/>
            <w:right w:val="none" w:sz="0" w:space="0" w:color="auto"/>
          </w:divBdr>
          <w:divsChild>
            <w:div w:id="1756241841">
              <w:marLeft w:val="0"/>
              <w:marRight w:val="0"/>
              <w:marTop w:val="0"/>
              <w:marBottom w:val="0"/>
              <w:divBdr>
                <w:top w:val="none" w:sz="0" w:space="0" w:color="auto"/>
                <w:left w:val="none" w:sz="0" w:space="0" w:color="auto"/>
                <w:bottom w:val="none" w:sz="0" w:space="0" w:color="auto"/>
                <w:right w:val="none" w:sz="0" w:space="0" w:color="auto"/>
              </w:divBdr>
              <w:divsChild>
                <w:div w:id="17784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8487">
      <w:bodyDiv w:val="1"/>
      <w:marLeft w:val="0"/>
      <w:marRight w:val="0"/>
      <w:marTop w:val="0"/>
      <w:marBottom w:val="0"/>
      <w:divBdr>
        <w:top w:val="none" w:sz="0" w:space="0" w:color="auto"/>
        <w:left w:val="none" w:sz="0" w:space="0" w:color="auto"/>
        <w:bottom w:val="none" w:sz="0" w:space="0" w:color="auto"/>
        <w:right w:val="none" w:sz="0" w:space="0" w:color="auto"/>
      </w:divBdr>
      <w:divsChild>
        <w:div w:id="1690832661">
          <w:marLeft w:val="0"/>
          <w:marRight w:val="0"/>
          <w:marTop w:val="0"/>
          <w:marBottom w:val="0"/>
          <w:divBdr>
            <w:top w:val="none" w:sz="0" w:space="0" w:color="auto"/>
            <w:left w:val="none" w:sz="0" w:space="0" w:color="auto"/>
            <w:bottom w:val="none" w:sz="0" w:space="0" w:color="auto"/>
            <w:right w:val="none" w:sz="0" w:space="0" w:color="auto"/>
          </w:divBdr>
          <w:divsChild>
            <w:div w:id="1251501826">
              <w:marLeft w:val="0"/>
              <w:marRight w:val="0"/>
              <w:marTop w:val="0"/>
              <w:marBottom w:val="0"/>
              <w:divBdr>
                <w:top w:val="none" w:sz="0" w:space="0" w:color="auto"/>
                <w:left w:val="none" w:sz="0" w:space="0" w:color="auto"/>
                <w:bottom w:val="none" w:sz="0" w:space="0" w:color="auto"/>
                <w:right w:val="none" w:sz="0" w:space="0" w:color="auto"/>
              </w:divBdr>
              <w:divsChild>
                <w:div w:id="17101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8874">
      <w:bodyDiv w:val="1"/>
      <w:marLeft w:val="0"/>
      <w:marRight w:val="0"/>
      <w:marTop w:val="0"/>
      <w:marBottom w:val="0"/>
      <w:divBdr>
        <w:top w:val="none" w:sz="0" w:space="0" w:color="auto"/>
        <w:left w:val="none" w:sz="0" w:space="0" w:color="auto"/>
        <w:bottom w:val="none" w:sz="0" w:space="0" w:color="auto"/>
        <w:right w:val="none" w:sz="0" w:space="0" w:color="auto"/>
      </w:divBdr>
    </w:div>
    <w:div w:id="802504971">
      <w:bodyDiv w:val="1"/>
      <w:marLeft w:val="0"/>
      <w:marRight w:val="0"/>
      <w:marTop w:val="0"/>
      <w:marBottom w:val="0"/>
      <w:divBdr>
        <w:top w:val="none" w:sz="0" w:space="0" w:color="auto"/>
        <w:left w:val="none" w:sz="0" w:space="0" w:color="auto"/>
        <w:bottom w:val="none" w:sz="0" w:space="0" w:color="auto"/>
        <w:right w:val="none" w:sz="0" w:space="0" w:color="auto"/>
      </w:divBdr>
      <w:divsChild>
        <w:div w:id="2036300733">
          <w:marLeft w:val="0"/>
          <w:marRight w:val="0"/>
          <w:marTop w:val="0"/>
          <w:marBottom w:val="0"/>
          <w:divBdr>
            <w:top w:val="none" w:sz="0" w:space="0" w:color="auto"/>
            <w:left w:val="none" w:sz="0" w:space="0" w:color="auto"/>
            <w:bottom w:val="none" w:sz="0" w:space="0" w:color="auto"/>
            <w:right w:val="none" w:sz="0" w:space="0" w:color="auto"/>
          </w:divBdr>
          <w:divsChild>
            <w:div w:id="351420443">
              <w:marLeft w:val="0"/>
              <w:marRight w:val="0"/>
              <w:marTop w:val="0"/>
              <w:marBottom w:val="0"/>
              <w:divBdr>
                <w:top w:val="none" w:sz="0" w:space="0" w:color="auto"/>
                <w:left w:val="none" w:sz="0" w:space="0" w:color="auto"/>
                <w:bottom w:val="none" w:sz="0" w:space="0" w:color="auto"/>
                <w:right w:val="none" w:sz="0" w:space="0" w:color="auto"/>
              </w:divBdr>
              <w:divsChild>
                <w:div w:id="6953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9760">
      <w:bodyDiv w:val="1"/>
      <w:marLeft w:val="0"/>
      <w:marRight w:val="0"/>
      <w:marTop w:val="0"/>
      <w:marBottom w:val="0"/>
      <w:divBdr>
        <w:top w:val="none" w:sz="0" w:space="0" w:color="auto"/>
        <w:left w:val="none" w:sz="0" w:space="0" w:color="auto"/>
        <w:bottom w:val="none" w:sz="0" w:space="0" w:color="auto"/>
        <w:right w:val="none" w:sz="0" w:space="0" w:color="auto"/>
      </w:divBdr>
    </w:div>
    <w:div w:id="829907219">
      <w:bodyDiv w:val="1"/>
      <w:marLeft w:val="0"/>
      <w:marRight w:val="0"/>
      <w:marTop w:val="0"/>
      <w:marBottom w:val="0"/>
      <w:divBdr>
        <w:top w:val="none" w:sz="0" w:space="0" w:color="auto"/>
        <w:left w:val="none" w:sz="0" w:space="0" w:color="auto"/>
        <w:bottom w:val="none" w:sz="0" w:space="0" w:color="auto"/>
        <w:right w:val="none" w:sz="0" w:space="0" w:color="auto"/>
      </w:divBdr>
    </w:div>
    <w:div w:id="909265392">
      <w:bodyDiv w:val="1"/>
      <w:marLeft w:val="0"/>
      <w:marRight w:val="0"/>
      <w:marTop w:val="0"/>
      <w:marBottom w:val="0"/>
      <w:divBdr>
        <w:top w:val="none" w:sz="0" w:space="0" w:color="auto"/>
        <w:left w:val="none" w:sz="0" w:space="0" w:color="auto"/>
        <w:bottom w:val="none" w:sz="0" w:space="0" w:color="auto"/>
        <w:right w:val="none" w:sz="0" w:space="0" w:color="auto"/>
      </w:divBdr>
      <w:divsChild>
        <w:div w:id="1333338212">
          <w:marLeft w:val="0"/>
          <w:marRight w:val="0"/>
          <w:marTop w:val="0"/>
          <w:marBottom w:val="0"/>
          <w:divBdr>
            <w:top w:val="none" w:sz="0" w:space="0" w:color="auto"/>
            <w:left w:val="none" w:sz="0" w:space="0" w:color="auto"/>
            <w:bottom w:val="none" w:sz="0" w:space="0" w:color="auto"/>
            <w:right w:val="none" w:sz="0" w:space="0" w:color="auto"/>
          </w:divBdr>
          <w:divsChild>
            <w:div w:id="1294751388">
              <w:marLeft w:val="0"/>
              <w:marRight w:val="0"/>
              <w:marTop w:val="0"/>
              <w:marBottom w:val="0"/>
              <w:divBdr>
                <w:top w:val="none" w:sz="0" w:space="0" w:color="auto"/>
                <w:left w:val="none" w:sz="0" w:space="0" w:color="auto"/>
                <w:bottom w:val="none" w:sz="0" w:space="0" w:color="auto"/>
                <w:right w:val="none" w:sz="0" w:space="0" w:color="auto"/>
              </w:divBdr>
              <w:divsChild>
                <w:div w:id="16111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6178">
      <w:bodyDiv w:val="1"/>
      <w:marLeft w:val="0"/>
      <w:marRight w:val="0"/>
      <w:marTop w:val="0"/>
      <w:marBottom w:val="0"/>
      <w:divBdr>
        <w:top w:val="none" w:sz="0" w:space="0" w:color="auto"/>
        <w:left w:val="none" w:sz="0" w:space="0" w:color="auto"/>
        <w:bottom w:val="none" w:sz="0" w:space="0" w:color="auto"/>
        <w:right w:val="none" w:sz="0" w:space="0" w:color="auto"/>
      </w:divBdr>
    </w:div>
    <w:div w:id="1017266521">
      <w:bodyDiv w:val="1"/>
      <w:marLeft w:val="0"/>
      <w:marRight w:val="0"/>
      <w:marTop w:val="0"/>
      <w:marBottom w:val="0"/>
      <w:divBdr>
        <w:top w:val="none" w:sz="0" w:space="0" w:color="auto"/>
        <w:left w:val="none" w:sz="0" w:space="0" w:color="auto"/>
        <w:bottom w:val="none" w:sz="0" w:space="0" w:color="auto"/>
        <w:right w:val="none" w:sz="0" w:space="0" w:color="auto"/>
      </w:divBdr>
    </w:div>
    <w:div w:id="1035424285">
      <w:bodyDiv w:val="1"/>
      <w:marLeft w:val="0"/>
      <w:marRight w:val="0"/>
      <w:marTop w:val="0"/>
      <w:marBottom w:val="0"/>
      <w:divBdr>
        <w:top w:val="none" w:sz="0" w:space="0" w:color="auto"/>
        <w:left w:val="none" w:sz="0" w:space="0" w:color="auto"/>
        <w:bottom w:val="none" w:sz="0" w:space="0" w:color="auto"/>
        <w:right w:val="none" w:sz="0" w:space="0" w:color="auto"/>
      </w:divBdr>
    </w:div>
    <w:div w:id="1044017468">
      <w:bodyDiv w:val="1"/>
      <w:marLeft w:val="0"/>
      <w:marRight w:val="0"/>
      <w:marTop w:val="0"/>
      <w:marBottom w:val="0"/>
      <w:divBdr>
        <w:top w:val="none" w:sz="0" w:space="0" w:color="auto"/>
        <w:left w:val="none" w:sz="0" w:space="0" w:color="auto"/>
        <w:bottom w:val="none" w:sz="0" w:space="0" w:color="auto"/>
        <w:right w:val="none" w:sz="0" w:space="0" w:color="auto"/>
      </w:divBdr>
    </w:div>
    <w:div w:id="1063865812">
      <w:bodyDiv w:val="1"/>
      <w:marLeft w:val="0"/>
      <w:marRight w:val="0"/>
      <w:marTop w:val="0"/>
      <w:marBottom w:val="0"/>
      <w:divBdr>
        <w:top w:val="none" w:sz="0" w:space="0" w:color="auto"/>
        <w:left w:val="none" w:sz="0" w:space="0" w:color="auto"/>
        <w:bottom w:val="none" w:sz="0" w:space="0" w:color="auto"/>
        <w:right w:val="none" w:sz="0" w:space="0" w:color="auto"/>
      </w:divBdr>
    </w:div>
    <w:div w:id="1140997938">
      <w:bodyDiv w:val="1"/>
      <w:marLeft w:val="0"/>
      <w:marRight w:val="0"/>
      <w:marTop w:val="0"/>
      <w:marBottom w:val="0"/>
      <w:divBdr>
        <w:top w:val="none" w:sz="0" w:space="0" w:color="auto"/>
        <w:left w:val="none" w:sz="0" w:space="0" w:color="auto"/>
        <w:bottom w:val="none" w:sz="0" w:space="0" w:color="auto"/>
        <w:right w:val="none" w:sz="0" w:space="0" w:color="auto"/>
      </w:divBdr>
    </w:div>
    <w:div w:id="1183474674">
      <w:bodyDiv w:val="1"/>
      <w:marLeft w:val="0"/>
      <w:marRight w:val="0"/>
      <w:marTop w:val="0"/>
      <w:marBottom w:val="0"/>
      <w:divBdr>
        <w:top w:val="none" w:sz="0" w:space="0" w:color="auto"/>
        <w:left w:val="none" w:sz="0" w:space="0" w:color="auto"/>
        <w:bottom w:val="none" w:sz="0" w:space="0" w:color="auto"/>
        <w:right w:val="none" w:sz="0" w:space="0" w:color="auto"/>
      </w:divBdr>
    </w:div>
    <w:div w:id="1255164466">
      <w:bodyDiv w:val="1"/>
      <w:marLeft w:val="0"/>
      <w:marRight w:val="0"/>
      <w:marTop w:val="0"/>
      <w:marBottom w:val="0"/>
      <w:divBdr>
        <w:top w:val="none" w:sz="0" w:space="0" w:color="auto"/>
        <w:left w:val="none" w:sz="0" w:space="0" w:color="auto"/>
        <w:bottom w:val="none" w:sz="0" w:space="0" w:color="auto"/>
        <w:right w:val="none" w:sz="0" w:space="0" w:color="auto"/>
      </w:divBdr>
    </w:div>
    <w:div w:id="1265579615">
      <w:bodyDiv w:val="1"/>
      <w:marLeft w:val="0"/>
      <w:marRight w:val="0"/>
      <w:marTop w:val="0"/>
      <w:marBottom w:val="0"/>
      <w:divBdr>
        <w:top w:val="none" w:sz="0" w:space="0" w:color="auto"/>
        <w:left w:val="none" w:sz="0" w:space="0" w:color="auto"/>
        <w:bottom w:val="none" w:sz="0" w:space="0" w:color="auto"/>
        <w:right w:val="none" w:sz="0" w:space="0" w:color="auto"/>
      </w:divBdr>
    </w:div>
    <w:div w:id="1270890941">
      <w:bodyDiv w:val="1"/>
      <w:marLeft w:val="0"/>
      <w:marRight w:val="0"/>
      <w:marTop w:val="0"/>
      <w:marBottom w:val="0"/>
      <w:divBdr>
        <w:top w:val="none" w:sz="0" w:space="0" w:color="auto"/>
        <w:left w:val="none" w:sz="0" w:space="0" w:color="auto"/>
        <w:bottom w:val="none" w:sz="0" w:space="0" w:color="auto"/>
        <w:right w:val="none" w:sz="0" w:space="0" w:color="auto"/>
      </w:divBdr>
    </w:div>
    <w:div w:id="1354499927">
      <w:bodyDiv w:val="1"/>
      <w:marLeft w:val="0"/>
      <w:marRight w:val="0"/>
      <w:marTop w:val="0"/>
      <w:marBottom w:val="0"/>
      <w:divBdr>
        <w:top w:val="none" w:sz="0" w:space="0" w:color="auto"/>
        <w:left w:val="none" w:sz="0" w:space="0" w:color="auto"/>
        <w:bottom w:val="none" w:sz="0" w:space="0" w:color="auto"/>
        <w:right w:val="none" w:sz="0" w:space="0" w:color="auto"/>
      </w:divBdr>
      <w:divsChild>
        <w:div w:id="1848403917">
          <w:marLeft w:val="0"/>
          <w:marRight w:val="0"/>
          <w:marTop w:val="0"/>
          <w:marBottom w:val="0"/>
          <w:divBdr>
            <w:top w:val="none" w:sz="0" w:space="0" w:color="auto"/>
            <w:left w:val="none" w:sz="0" w:space="0" w:color="auto"/>
            <w:bottom w:val="none" w:sz="0" w:space="0" w:color="auto"/>
            <w:right w:val="none" w:sz="0" w:space="0" w:color="auto"/>
          </w:divBdr>
          <w:divsChild>
            <w:div w:id="1982035515">
              <w:marLeft w:val="0"/>
              <w:marRight w:val="0"/>
              <w:marTop w:val="0"/>
              <w:marBottom w:val="0"/>
              <w:divBdr>
                <w:top w:val="none" w:sz="0" w:space="0" w:color="auto"/>
                <w:left w:val="none" w:sz="0" w:space="0" w:color="auto"/>
                <w:bottom w:val="none" w:sz="0" w:space="0" w:color="auto"/>
                <w:right w:val="none" w:sz="0" w:space="0" w:color="auto"/>
              </w:divBdr>
              <w:divsChild>
                <w:div w:id="1439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10871">
      <w:bodyDiv w:val="1"/>
      <w:marLeft w:val="0"/>
      <w:marRight w:val="0"/>
      <w:marTop w:val="0"/>
      <w:marBottom w:val="0"/>
      <w:divBdr>
        <w:top w:val="none" w:sz="0" w:space="0" w:color="auto"/>
        <w:left w:val="none" w:sz="0" w:space="0" w:color="auto"/>
        <w:bottom w:val="none" w:sz="0" w:space="0" w:color="auto"/>
        <w:right w:val="none" w:sz="0" w:space="0" w:color="auto"/>
      </w:divBdr>
    </w:div>
    <w:div w:id="1414936158">
      <w:bodyDiv w:val="1"/>
      <w:marLeft w:val="0"/>
      <w:marRight w:val="0"/>
      <w:marTop w:val="0"/>
      <w:marBottom w:val="0"/>
      <w:divBdr>
        <w:top w:val="none" w:sz="0" w:space="0" w:color="auto"/>
        <w:left w:val="none" w:sz="0" w:space="0" w:color="auto"/>
        <w:bottom w:val="none" w:sz="0" w:space="0" w:color="auto"/>
        <w:right w:val="none" w:sz="0" w:space="0" w:color="auto"/>
      </w:divBdr>
    </w:div>
    <w:div w:id="1513951381">
      <w:bodyDiv w:val="1"/>
      <w:marLeft w:val="0"/>
      <w:marRight w:val="0"/>
      <w:marTop w:val="0"/>
      <w:marBottom w:val="0"/>
      <w:divBdr>
        <w:top w:val="none" w:sz="0" w:space="0" w:color="auto"/>
        <w:left w:val="none" w:sz="0" w:space="0" w:color="auto"/>
        <w:bottom w:val="none" w:sz="0" w:space="0" w:color="auto"/>
        <w:right w:val="none" w:sz="0" w:space="0" w:color="auto"/>
      </w:divBdr>
    </w:div>
    <w:div w:id="1522235208">
      <w:bodyDiv w:val="1"/>
      <w:marLeft w:val="0"/>
      <w:marRight w:val="0"/>
      <w:marTop w:val="0"/>
      <w:marBottom w:val="0"/>
      <w:divBdr>
        <w:top w:val="none" w:sz="0" w:space="0" w:color="auto"/>
        <w:left w:val="none" w:sz="0" w:space="0" w:color="auto"/>
        <w:bottom w:val="none" w:sz="0" w:space="0" w:color="auto"/>
        <w:right w:val="none" w:sz="0" w:space="0" w:color="auto"/>
      </w:divBdr>
    </w:div>
    <w:div w:id="1538466586">
      <w:bodyDiv w:val="1"/>
      <w:marLeft w:val="0"/>
      <w:marRight w:val="0"/>
      <w:marTop w:val="0"/>
      <w:marBottom w:val="0"/>
      <w:divBdr>
        <w:top w:val="none" w:sz="0" w:space="0" w:color="auto"/>
        <w:left w:val="none" w:sz="0" w:space="0" w:color="auto"/>
        <w:bottom w:val="none" w:sz="0" w:space="0" w:color="auto"/>
        <w:right w:val="none" w:sz="0" w:space="0" w:color="auto"/>
      </w:divBdr>
    </w:div>
    <w:div w:id="1563784625">
      <w:bodyDiv w:val="1"/>
      <w:marLeft w:val="0"/>
      <w:marRight w:val="0"/>
      <w:marTop w:val="0"/>
      <w:marBottom w:val="0"/>
      <w:divBdr>
        <w:top w:val="none" w:sz="0" w:space="0" w:color="auto"/>
        <w:left w:val="none" w:sz="0" w:space="0" w:color="auto"/>
        <w:bottom w:val="none" w:sz="0" w:space="0" w:color="auto"/>
        <w:right w:val="none" w:sz="0" w:space="0" w:color="auto"/>
      </w:divBdr>
      <w:divsChild>
        <w:div w:id="1393237337">
          <w:marLeft w:val="0"/>
          <w:marRight w:val="0"/>
          <w:marTop w:val="0"/>
          <w:marBottom w:val="0"/>
          <w:divBdr>
            <w:top w:val="none" w:sz="0" w:space="0" w:color="auto"/>
            <w:left w:val="none" w:sz="0" w:space="0" w:color="auto"/>
            <w:bottom w:val="none" w:sz="0" w:space="0" w:color="auto"/>
            <w:right w:val="none" w:sz="0" w:space="0" w:color="auto"/>
          </w:divBdr>
          <w:divsChild>
            <w:div w:id="1734043097">
              <w:marLeft w:val="0"/>
              <w:marRight w:val="0"/>
              <w:marTop w:val="0"/>
              <w:marBottom w:val="0"/>
              <w:divBdr>
                <w:top w:val="none" w:sz="0" w:space="0" w:color="auto"/>
                <w:left w:val="none" w:sz="0" w:space="0" w:color="auto"/>
                <w:bottom w:val="none" w:sz="0" w:space="0" w:color="auto"/>
                <w:right w:val="none" w:sz="0" w:space="0" w:color="auto"/>
              </w:divBdr>
              <w:divsChild>
                <w:div w:id="231157419">
                  <w:marLeft w:val="0"/>
                  <w:marRight w:val="0"/>
                  <w:marTop w:val="0"/>
                  <w:marBottom w:val="0"/>
                  <w:divBdr>
                    <w:top w:val="none" w:sz="0" w:space="0" w:color="auto"/>
                    <w:left w:val="none" w:sz="0" w:space="0" w:color="auto"/>
                    <w:bottom w:val="none" w:sz="0" w:space="0" w:color="auto"/>
                    <w:right w:val="none" w:sz="0" w:space="0" w:color="auto"/>
                  </w:divBdr>
                  <w:divsChild>
                    <w:div w:id="5994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35199">
      <w:bodyDiv w:val="1"/>
      <w:marLeft w:val="0"/>
      <w:marRight w:val="0"/>
      <w:marTop w:val="0"/>
      <w:marBottom w:val="0"/>
      <w:divBdr>
        <w:top w:val="none" w:sz="0" w:space="0" w:color="auto"/>
        <w:left w:val="none" w:sz="0" w:space="0" w:color="auto"/>
        <w:bottom w:val="none" w:sz="0" w:space="0" w:color="auto"/>
        <w:right w:val="none" w:sz="0" w:space="0" w:color="auto"/>
      </w:divBdr>
      <w:divsChild>
        <w:div w:id="561015501">
          <w:marLeft w:val="0"/>
          <w:marRight w:val="0"/>
          <w:marTop w:val="0"/>
          <w:marBottom w:val="0"/>
          <w:divBdr>
            <w:top w:val="none" w:sz="0" w:space="0" w:color="auto"/>
            <w:left w:val="none" w:sz="0" w:space="0" w:color="auto"/>
            <w:bottom w:val="none" w:sz="0" w:space="0" w:color="auto"/>
            <w:right w:val="none" w:sz="0" w:space="0" w:color="auto"/>
          </w:divBdr>
          <w:divsChild>
            <w:div w:id="1819418320">
              <w:marLeft w:val="0"/>
              <w:marRight w:val="0"/>
              <w:marTop w:val="0"/>
              <w:marBottom w:val="0"/>
              <w:divBdr>
                <w:top w:val="none" w:sz="0" w:space="0" w:color="auto"/>
                <w:left w:val="none" w:sz="0" w:space="0" w:color="auto"/>
                <w:bottom w:val="none" w:sz="0" w:space="0" w:color="auto"/>
                <w:right w:val="none" w:sz="0" w:space="0" w:color="auto"/>
              </w:divBdr>
              <w:divsChild>
                <w:div w:id="1641224864">
                  <w:marLeft w:val="0"/>
                  <w:marRight w:val="0"/>
                  <w:marTop w:val="0"/>
                  <w:marBottom w:val="0"/>
                  <w:divBdr>
                    <w:top w:val="none" w:sz="0" w:space="0" w:color="auto"/>
                    <w:left w:val="none" w:sz="0" w:space="0" w:color="auto"/>
                    <w:bottom w:val="none" w:sz="0" w:space="0" w:color="auto"/>
                    <w:right w:val="none" w:sz="0" w:space="0" w:color="auto"/>
                  </w:divBdr>
                  <w:divsChild>
                    <w:div w:id="4189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738625">
      <w:bodyDiv w:val="1"/>
      <w:marLeft w:val="0"/>
      <w:marRight w:val="0"/>
      <w:marTop w:val="0"/>
      <w:marBottom w:val="0"/>
      <w:divBdr>
        <w:top w:val="none" w:sz="0" w:space="0" w:color="auto"/>
        <w:left w:val="none" w:sz="0" w:space="0" w:color="auto"/>
        <w:bottom w:val="none" w:sz="0" w:space="0" w:color="auto"/>
        <w:right w:val="none" w:sz="0" w:space="0" w:color="auto"/>
      </w:divBdr>
      <w:divsChild>
        <w:div w:id="304090576">
          <w:marLeft w:val="0"/>
          <w:marRight w:val="0"/>
          <w:marTop w:val="0"/>
          <w:marBottom w:val="0"/>
          <w:divBdr>
            <w:top w:val="none" w:sz="0" w:space="0" w:color="auto"/>
            <w:left w:val="none" w:sz="0" w:space="0" w:color="auto"/>
            <w:bottom w:val="none" w:sz="0" w:space="0" w:color="auto"/>
            <w:right w:val="none" w:sz="0" w:space="0" w:color="auto"/>
          </w:divBdr>
          <w:divsChild>
            <w:div w:id="907806728">
              <w:marLeft w:val="0"/>
              <w:marRight w:val="0"/>
              <w:marTop w:val="0"/>
              <w:marBottom w:val="0"/>
              <w:divBdr>
                <w:top w:val="none" w:sz="0" w:space="0" w:color="auto"/>
                <w:left w:val="none" w:sz="0" w:space="0" w:color="auto"/>
                <w:bottom w:val="none" w:sz="0" w:space="0" w:color="auto"/>
                <w:right w:val="none" w:sz="0" w:space="0" w:color="auto"/>
              </w:divBdr>
              <w:divsChild>
                <w:div w:id="11725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1551">
      <w:bodyDiv w:val="1"/>
      <w:marLeft w:val="0"/>
      <w:marRight w:val="0"/>
      <w:marTop w:val="0"/>
      <w:marBottom w:val="0"/>
      <w:divBdr>
        <w:top w:val="none" w:sz="0" w:space="0" w:color="auto"/>
        <w:left w:val="none" w:sz="0" w:space="0" w:color="auto"/>
        <w:bottom w:val="none" w:sz="0" w:space="0" w:color="auto"/>
        <w:right w:val="none" w:sz="0" w:space="0" w:color="auto"/>
      </w:divBdr>
    </w:div>
    <w:div w:id="1704550623">
      <w:bodyDiv w:val="1"/>
      <w:marLeft w:val="0"/>
      <w:marRight w:val="0"/>
      <w:marTop w:val="0"/>
      <w:marBottom w:val="0"/>
      <w:divBdr>
        <w:top w:val="none" w:sz="0" w:space="0" w:color="auto"/>
        <w:left w:val="none" w:sz="0" w:space="0" w:color="auto"/>
        <w:bottom w:val="none" w:sz="0" w:space="0" w:color="auto"/>
        <w:right w:val="none" w:sz="0" w:space="0" w:color="auto"/>
      </w:divBdr>
    </w:div>
    <w:div w:id="1731029909">
      <w:bodyDiv w:val="1"/>
      <w:marLeft w:val="0"/>
      <w:marRight w:val="0"/>
      <w:marTop w:val="0"/>
      <w:marBottom w:val="0"/>
      <w:divBdr>
        <w:top w:val="none" w:sz="0" w:space="0" w:color="auto"/>
        <w:left w:val="none" w:sz="0" w:space="0" w:color="auto"/>
        <w:bottom w:val="none" w:sz="0" w:space="0" w:color="auto"/>
        <w:right w:val="none" w:sz="0" w:space="0" w:color="auto"/>
      </w:divBdr>
      <w:divsChild>
        <w:div w:id="1375084065">
          <w:marLeft w:val="0"/>
          <w:marRight w:val="0"/>
          <w:marTop w:val="0"/>
          <w:marBottom w:val="0"/>
          <w:divBdr>
            <w:top w:val="none" w:sz="0" w:space="0" w:color="auto"/>
            <w:left w:val="none" w:sz="0" w:space="0" w:color="auto"/>
            <w:bottom w:val="none" w:sz="0" w:space="0" w:color="auto"/>
            <w:right w:val="none" w:sz="0" w:space="0" w:color="auto"/>
          </w:divBdr>
          <w:divsChild>
            <w:div w:id="759254163">
              <w:marLeft w:val="0"/>
              <w:marRight w:val="0"/>
              <w:marTop w:val="0"/>
              <w:marBottom w:val="0"/>
              <w:divBdr>
                <w:top w:val="none" w:sz="0" w:space="0" w:color="auto"/>
                <w:left w:val="none" w:sz="0" w:space="0" w:color="auto"/>
                <w:bottom w:val="none" w:sz="0" w:space="0" w:color="auto"/>
                <w:right w:val="none" w:sz="0" w:space="0" w:color="auto"/>
              </w:divBdr>
              <w:divsChild>
                <w:div w:id="2829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16511">
      <w:bodyDiv w:val="1"/>
      <w:marLeft w:val="0"/>
      <w:marRight w:val="0"/>
      <w:marTop w:val="0"/>
      <w:marBottom w:val="0"/>
      <w:divBdr>
        <w:top w:val="none" w:sz="0" w:space="0" w:color="auto"/>
        <w:left w:val="none" w:sz="0" w:space="0" w:color="auto"/>
        <w:bottom w:val="none" w:sz="0" w:space="0" w:color="auto"/>
        <w:right w:val="none" w:sz="0" w:space="0" w:color="auto"/>
      </w:divBdr>
    </w:div>
    <w:div w:id="1774471414">
      <w:bodyDiv w:val="1"/>
      <w:marLeft w:val="0"/>
      <w:marRight w:val="0"/>
      <w:marTop w:val="0"/>
      <w:marBottom w:val="0"/>
      <w:divBdr>
        <w:top w:val="none" w:sz="0" w:space="0" w:color="auto"/>
        <w:left w:val="none" w:sz="0" w:space="0" w:color="auto"/>
        <w:bottom w:val="none" w:sz="0" w:space="0" w:color="auto"/>
        <w:right w:val="none" w:sz="0" w:space="0" w:color="auto"/>
      </w:divBdr>
    </w:div>
    <w:div w:id="1783642830">
      <w:bodyDiv w:val="1"/>
      <w:marLeft w:val="0"/>
      <w:marRight w:val="0"/>
      <w:marTop w:val="0"/>
      <w:marBottom w:val="0"/>
      <w:divBdr>
        <w:top w:val="none" w:sz="0" w:space="0" w:color="auto"/>
        <w:left w:val="none" w:sz="0" w:space="0" w:color="auto"/>
        <w:bottom w:val="none" w:sz="0" w:space="0" w:color="auto"/>
        <w:right w:val="none" w:sz="0" w:space="0" w:color="auto"/>
      </w:divBdr>
      <w:divsChild>
        <w:div w:id="2008241301">
          <w:marLeft w:val="0"/>
          <w:marRight w:val="0"/>
          <w:marTop w:val="0"/>
          <w:marBottom w:val="0"/>
          <w:divBdr>
            <w:top w:val="none" w:sz="0" w:space="0" w:color="auto"/>
            <w:left w:val="none" w:sz="0" w:space="0" w:color="auto"/>
            <w:bottom w:val="none" w:sz="0" w:space="0" w:color="auto"/>
            <w:right w:val="none" w:sz="0" w:space="0" w:color="auto"/>
          </w:divBdr>
          <w:divsChild>
            <w:div w:id="32652882">
              <w:marLeft w:val="0"/>
              <w:marRight w:val="0"/>
              <w:marTop w:val="0"/>
              <w:marBottom w:val="0"/>
              <w:divBdr>
                <w:top w:val="none" w:sz="0" w:space="0" w:color="auto"/>
                <w:left w:val="none" w:sz="0" w:space="0" w:color="auto"/>
                <w:bottom w:val="none" w:sz="0" w:space="0" w:color="auto"/>
                <w:right w:val="none" w:sz="0" w:space="0" w:color="auto"/>
              </w:divBdr>
              <w:divsChild>
                <w:div w:id="44568974">
                  <w:marLeft w:val="0"/>
                  <w:marRight w:val="0"/>
                  <w:marTop w:val="0"/>
                  <w:marBottom w:val="0"/>
                  <w:divBdr>
                    <w:top w:val="none" w:sz="0" w:space="0" w:color="auto"/>
                    <w:left w:val="none" w:sz="0" w:space="0" w:color="auto"/>
                    <w:bottom w:val="none" w:sz="0" w:space="0" w:color="auto"/>
                    <w:right w:val="none" w:sz="0" w:space="0" w:color="auto"/>
                  </w:divBdr>
                  <w:divsChild>
                    <w:div w:id="2634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2534">
      <w:bodyDiv w:val="1"/>
      <w:marLeft w:val="0"/>
      <w:marRight w:val="0"/>
      <w:marTop w:val="0"/>
      <w:marBottom w:val="0"/>
      <w:divBdr>
        <w:top w:val="none" w:sz="0" w:space="0" w:color="auto"/>
        <w:left w:val="none" w:sz="0" w:space="0" w:color="auto"/>
        <w:bottom w:val="none" w:sz="0" w:space="0" w:color="auto"/>
        <w:right w:val="none" w:sz="0" w:space="0" w:color="auto"/>
      </w:divBdr>
    </w:div>
    <w:div w:id="1834180744">
      <w:bodyDiv w:val="1"/>
      <w:marLeft w:val="0"/>
      <w:marRight w:val="0"/>
      <w:marTop w:val="0"/>
      <w:marBottom w:val="0"/>
      <w:divBdr>
        <w:top w:val="none" w:sz="0" w:space="0" w:color="auto"/>
        <w:left w:val="none" w:sz="0" w:space="0" w:color="auto"/>
        <w:bottom w:val="none" w:sz="0" w:space="0" w:color="auto"/>
        <w:right w:val="none" w:sz="0" w:space="0" w:color="auto"/>
      </w:divBdr>
      <w:divsChild>
        <w:div w:id="10837468">
          <w:marLeft w:val="0"/>
          <w:marRight w:val="0"/>
          <w:marTop w:val="0"/>
          <w:marBottom w:val="0"/>
          <w:divBdr>
            <w:top w:val="single" w:sz="2" w:space="0" w:color="E5E7EB"/>
            <w:left w:val="single" w:sz="2" w:space="0" w:color="E5E7EB"/>
            <w:bottom w:val="single" w:sz="2" w:space="0" w:color="E5E7EB"/>
            <w:right w:val="single" w:sz="2" w:space="0" w:color="E5E7EB"/>
          </w:divBdr>
        </w:div>
        <w:div w:id="72434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8781379">
      <w:bodyDiv w:val="1"/>
      <w:marLeft w:val="0"/>
      <w:marRight w:val="0"/>
      <w:marTop w:val="0"/>
      <w:marBottom w:val="0"/>
      <w:divBdr>
        <w:top w:val="none" w:sz="0" w:space="0" w:color="auto"/>
        <w:left w:val="none" w:sz="0" w:space="0" w:color="auto"/>
        <w:bottom w:val="none" w:sz="0" w:space="0" w:color="auto"/>
        <w:right w:val="none" w:sz="0" w:space="0" w:color="auto"/>
      </w:divBdr>
    </w:div>
    <w:div w:id="1945184158">
      <w:bodyDiv w:val="1"/>
      <w:marLeft w:val="0"/>
      <w:marRight w:val="0"/>
      <w:marTop w:val="0"/>
      <w:marBottom w:val="0"/>
      <w:divBdr>
        <w:top w:val="none" w:sz="0" w:space="0" w:color="auto"/>
        <w:left w:val="none" w:sz="0" w:space="0" w:color="auto"/>
        <w:bottom w:val="none" w:sz="0" w:space="0" w:color="auto"/>
        <w:right w:val="none" w:sz="0" w:space="0" w:color="auto"/>
      </w:divBdr>
    </w:div>
    <w:div w:id="2048336105">
      <w:bodyDiv w:val="1"/>
      <w:marLeft w:val="0"/>
      <w:marRight w:val="0"/>
      <w:marTop w:val="0"/>
      <w:marBottom w:val="0"/>
      <w:divBdr>
        <w:top w:val="none" w:sz="0" w:space="0" w:color="auto"/>
        <w:left w:val="none" w:sz="0" w:space="0" w:color="auto"/>
        <w:bottom w:val="none" w:sz="0" w:space="0" w:color="auto"/>
        <w:right w:val="none" w:sz="0" w:space="0" w:color="auto"/>
      </w:divBdr>
      <w:divsChild>
        <w:div w:id="1999534802">
          <w:marLeft w:val="0"/>
          <w:marRight w:val="0"/>
          <w:marTop w:val="0"/>
          <w:marBottom w:val="0"/>
          <w:divBdr>
            <w:top w:val="none" w:sz="0" w:space="0" w:color="auto"/>
            <w:left w:val="none" w:sz="0" w:space="0" w:color="auto"/>
            <w:bottom w:val="none" w:sz="0" w:space="0" w:color="auto"/>
            <w:right w:val="none" w:sz="0" w:space="0" w:color="auto"/>
          </w:divBdr>
          <w:divsChild>
            <w:div w:id="2076002255">
              <w:marLeft w:val="0"/>
              <w:marRight w:val="0"/>
              <w:marTop w:val="0"/>
              <w:marBottom w:val="0"/>
              <w:divBdr>
                <w:top w:val="none" w:sz="0" w:space="0" w:color="auto"/>
                <w:left w:val="none" w:sz="0" w:space="0" w:color="auto"/>
                <w:bottom w:val="none" w:sz="0" w:space="0" w:color="auto"/>
                <w:right w:val="none" w:sz="0" w:space="0" w:color="auto"/>
              </w:divBdr>
              <w:divsChild>
                <w:div w:id="10744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8883">
      <w:bodyDiv w:val="1"/>
      <w:marLeft w:val="0"/>
      <w:marRight w:val="0"/>
      <w:marTop w:val="0"/>
      <w:marBottom w:val="0"/>
      <w:divBdr>
        <w:top w:val="none" w:sz="0" w:space="0" w:color="auto"/>
        <w:left w:val="none" w:sz="0" w:space="0" w:color="auto"/>
        <w:bottom w:val="none" w:sz="0" w:space="0" w:color="auto"/>
        <w:right w:val="none" w:sz="0" w:space="0" w:color="auto"/>
      </w:divBdr>
      <w:divsChild>
        <w:div w:id="182014161">
          <w:marLeft w:val="0"/>
          <w:marRight w:val="0"/>
          <w:marTop w:val="0"/>
          <w:marBottom w:val="0"/>
          <w:divBdr>
            <w:top w:val="none" w:sz="0" w:space="0" w:color="auto"/>
            <w:left w:val="none" w:sz="0" w:space="0" w:color="auto"/>
            <w:bottom w:val="none" w:sz="0" w:space="0" w:color="auto"/>
            <w:right w:val="none" w:sz="0" w:space="0" w:color="auto"/>
          </w:divBdr>
          <w:divsChild>
            <w:div w:id="1346521837">
              <w:marLeft w:val="0"/>
              <w:marRight w:val="0"/>
              <w:marTop w:val="0"/>
              <w:marBottom w:val="0"/>
              <w:divBdr>
                <w:top w:val="none" w:sz="0" w:space="0" w:color="auto"/>
                <w:left w:val="none" w:sz="0" w:space="0" w:color="auto"/>
                <w:bottom w:val="none" w:sz="0" w:space="0" w:color="auto"/>
                <w:right w:val="none" w:sz="0" w:space="0" w:color="auto"/>
              </w:divBdr>
              <w:divsChild>
                <w:div w:id="13874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2741">
      <w:bodyDiv w:val="1"/>
      <w:marLeft w:val="0"/>
      <w:marRight w:val="0"/>
      <w:marTop w:val="0"/>
      <w:marBottom w:val="0"/>
      <w:divBdr>
        <w:top w:val="none" w:sz="0" w:space="0" w:color="auto"/>
        <w:left w:val="none" w:sz="0" w:space="0" w:color="auto"/>
        <w:bottom w:val="none" w:sz="0" w:space="0" w:color="auto"/>
        <w:right w:val="none" w:sz="0" w:space="0" w:color="auto"/>
      </w:divBdr>
    </w:div>
    <w:div w:id="213536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dc:description/>
  <cp:lastModifiedBy>Bishma Jayathilaka</cp:lastModifiedBy>
  <cp:revision>7</cp:revision>
  <cp:lastPrinted>2009-01-07T21:57:00Z</cp:lastPrinted>
  <dcterms:created xsi:type="dcterms:W3CDTF">2024-08-29T05:43:00Z</dcterms:created>
  <dcterms:modified xsi:type="dcterms:W3CDTF">2025-06-22T01:34:00Z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MSIP_Label_8772ba27-cab8-4042-a351-a31f6e4eacdc_Enabled">
    <vt:lpwstr>true</vt:lpwstr>
  </property>
  <property fmtid="{D5CDD505-2E9C-101B-9397-08002B2CF9AE}" pid="10" name="MSIP_Label_8772ba27-cab8-4042-a351-a31f6e4eacdc_SetDate">
    <vt:lpwstr>2024-03-03T19:46:56Z</vt:lpwstr>
  </property>
  <property fmtid="{D5CDD505-2E9C-101B-9397-08002B2CF9AE}" pid="11" name="MSIP_Label_8772ba27-cab8-4042-a351-a31f6e4eacdc_Method">
    <vt:lpwstr>Standard</vt:lpwstr>
  </property>
  <property fmtid="{D5CDD505-2E9C-101B-9397-08002B2CF9AE}" pid="12" name="MSIP_Label_8772ba27-cab8-4042-a351-a31f6e4eacdc_Name">
    <vt:lpwstr>Internal</vt:lpwstr>
  </property>
  <property fmtid="{D5CDD505-2E9C-101B-9397-08002B2CF9AE}" pid="13" name="MSIP_Label_8772ba27-cab8-4042-a351-a31f6e4eacdc_SiteId">
    <vt:lpwstr>715902d6-f63e-4b8d-929b-4bb170bad492</vt:lpwstr>
  </property>
  <property fmtid="{D5CDD505-2E9C-101B-9397-08002B2CF9AE}" pid="14" name="MSIP_Label_8772ba27-cab8-4042-a351-a31f6e4eacdc_ActionId">
    <vt:lpwstr>308e4536-17b0-4184-900d-17963809bdab</vt:lpwstr>
  </property>
  <property fmtid="{D5CDD505-2E9C-101B-9397-08002B2CF9AE}" pid="15" name="MSIP_Label_8772ba27-cab8-4042-a351-a31f6e4eacdc_ContentBits">
    <vt:lpwstr>0</vt:lpwstr>
  </property>
</Properties>
</file>