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65146" w14:textId="77777777" w:rsidR="00165A31" w:rsidRDefault="00000000">
      <w:pPr>
        <w:pStyle w:val="11"/>
        <w:spacing w:afterLines="100" w:after="312" w:line="480" w:lineRule="auto"/>
        <w:rPr>
          <w:rFonts w:ascii="Times New Roman" w:hAnsi="Times New Roman" w:cs="Times New Roman"/>
          <w:b/>
          <w:color w:val="0432FF"/>
          <w:sz w:val="32"/>
          <w:szCs w:val="32"/>
        </w:rPr>
      </w:pPr>
      <w:bookmarkStart w:id="0" w:name="_Hlk61807979"/>
      <w:r>
        <w:rPr>
          <w:rFonts w:ascii="Times New Roman" w:hAnsi="Times New Roman" w:cs="Times New Roman"/>
          <w:b/>
          <w:color w:val="0432FF"/>
          <w:sz w:val="32"/>
          <w:szCs w:val="32"/>
        </w:rPr>
        <w:t xml:space="preserve">Electronic Supporting Information (ESI) </w:t>
      </w:r>
    </w:p>
    <w:bookmarkEnd w:id="0"/>
    <w:p w14:paraId="2FF8DE0C" w14:textId="77777777" w:rsidR="00165A31" w:rsidRDefault="00000000">
      <w:pPr>
        <w:snapToGrid w:val="0"/>
        <w:spacing w:line="48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 xml:space="preserve">Ultrasensitive sensing platform based on 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Au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  <w:vertAlign w:val="subscript"/>
        </w:rPr>
        <w:t>0.1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FeCoNiCu high</w:t>
      </w:r>
      <w:r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>-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entropy alloy</w:t>
      </w:r>
      <w:r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 xml:space="preserve"> nanoparticle-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DNA walker</w:t>
      </w:r>
      <w:r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 xml:space="preserve"> dual signal amplification for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30"/>
          <w:szCs w:val="30"/>
        </w:rPr>
        <w:t xml:space="preserve">electrochemical </w:t>
      </w: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detection of miRNA-21</w:t>
      </w:r>
    </w:p>
    <w:p w14:paraId="796B303F" w14:textId="5576022B" w:rsidR="00165A31" w:rsidRDefault="00000000">
      <w:pPr>
        <w:pStyle w:val="a9"/>
        <w:rPr>
          <w:rFonts w:ascii="Times New Roman" w:hAnsi="Times New Roman" w:cs="Times New Roman"/>
          <w:b/>
          <w:bCs/>
          <w:iCs/>
          <w:color w:val="0000FF"/>
        </w:rPr>
      </w:pPr>
      <w:r>
        <w:rPr>
          <w:rFonts w:ascii="Times New Roman" w:hAnsi="Times New Roman" w:cs="Times New Roman"/>
          <w:b/>
          <w:bCs/>
          <w:iCs/>
          <w:color w:val="0000FF"/>
        </w:rPr>
        <w:t xml:space="preserve">Li </w:t>
      </w:r>
      <w:proofErr w:type="spellStart"/>
      <w:r>
        <w:rPr>
          <w:rFonts w:ascii="Times New Roman" w:hAnsi="Times New Roman" w:cs="Times New Roman"/>
          <w:b/>
          <w:bCs/>
          <w:iCs/>
          <w:color w:val="0000FF"/>
        </w:rPr>
        <w:t>Ruiyi</w:t>
      </w:r>
      <w:r>
        <w:rPr>
          <w:rFonts w:ascii="Times New Roman" w:hAnsi="Times New Roman" w:cs="Times New Roman"/>
          <w:b/>
          <w:bCs/>
          <w:iCs/>
          <w:color w:val="0000FF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bCs/>
          <w:iCs/>
          <w:color w:val="0000FF"/>
          <w:vertAlign w:val="superscript"/>
        </w:rPr>
        <w:t>*</w:t>
      </w:r>
      <w:r>
        <w:rPr>
          <w:rFonts w:ascii="Times New Roman" w:hAnsi="Times New Roman" w:cs="Times New Roman"/>
          <w:b/>
          <w:bCs/>
          <w:iCs/>
          <w:color w:val="0000FF"/>
        </w:rPr>
        <w:t xml:space="preserve">,Li </w:t>
      </w:r>
      <w:proofErr w:type="spellStart"/>
      <w:r>
        <w:rPr>
          <w:rFonts w:ascii="Times New Roman" w:hAnsi="Times New Roman" w:cs="Times New Roman"/>
          <w:b/>
          <w:bCs/>
          <w:iCs/>
          <w:color w:val="0000FF"/>
        </w:rPr>
        <w:t>Mingyao</w:t>
      </w:r>
      <w:r>
        <w:rPr>
          <w:rFonts w:ascii="Times New Roman" w:hAnsi="Times New Roman" w:cs="Times New Roman"/>
          <w:b/>
          <w:bCs/>
          <w:iCs/>
          <w:color w:val="0000FF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bCs/>
          <w:iCs/>
          <w:color w:val="0000FF"/>
        </w:rPr>
        <w:t xml:space="preserve">, Wang </w:t>
      </w:r>
      <w:proofErr w:type="spellStart"/>
      <w:r>
        <w:rPr>
          <w:rFonts w:ascii="Times New Roman" w:hAnsi="Times New Roman" w:cs="Times New Roman"/>
          <w:b/>
          <w:bCs/>
          <w:iCs/>
          <w:color w:val="0000FF"/>
        </w:rPr>
        <w:t>Miao</w:t>
      </w:r>
      <w:r w:rsidR="00FE511D">
        <w:rPr>
          <w:rFonts w:ascii="Times New Roman" w:hAnsi="Times New Roman" w:cs="Times New Roman" w:hint="eastAsia"/>
          <w:b/>
          <w:bCs/>
          <w:iCs/>
          <w:color w:val="0000FF"/>
          <w:vertAlign w:val="superscript"/>
        </w:rPr>
        <w:t>b</w:t>
      </w:r>
      <w:proofErr w:type="spellEnd"/>
      <w:r>
        <w:rPr>
          <w:rFonts w:ascii="Times New Roman" w:hAnsi="Times New Roman" w:cs="Times New Roman"/>
          <w:b/>
          <w:bCs/>
          <w:iCs/>
          <w:color w:val="0000FF"/>
        </w:rPr>
        <w:t xml:space="preserve"> and Li </w:t>
      </w:r>
      <w:proofErr w:type="spellStart"/>
      <w:r>
        <w:rPr>
          <w:rFonts w:ascii="Times New Roman" w:hAnsi="Times New Roman" w:cs="Times New Roman"/>
          <w:b/>
          <w:bCs/>
          <w:iCs/>
          <w:color w:val="0000FF"/>
        </w:rPr>
        <w:t>Zaijun</w:t>
      </w:r>
      <w:r>
        <w:rPr>
          <w:rFonts w:ascii="Times New Roman" w:hAnsi="Times New Roman" w:cs="Times New Roman"/>
          <w:b/>
          <w:bCs/>
          <w:iCs/>
          <w:color w:val="0000FF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bCs/>
          <w:iCs/>
          <w:color w:val="0000FF"/>
          <w:vertAlign w:val="superscript"/>
        </w:rPr>
        <w:footnoteReference w:customMarkFollows="1" w:id="1"/>
        <w:sym w:font="Symbol" w:char="F02A"/>
      </w:r>
    </w:p>
    <w:p w14:paraId="2026E271" w14:textId="77777777" w:rsidR="00165A31" w:rsidRDefault="00000000" w:rsidP="0039395F">
      <w:pPr>
        <w:pStyle w:val="a9"/>
        <w:snapToGrid w:val="0"/>
        <w:spacing w:before="0" w:beforeAutospacing="0" w:after="0" w:afterAutospacing="0" w:line="480" w:lineRule="auto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a </w:t>
      </w:r>
      <w:r>
        <w:rPr>
          <w:rFonts w:ascii="Times New Roman" w:hAnsi="Times New Roman" w:cs="Times New Roman"/>
          <w:i/>
          <w:iCs/>
          <w:sz w:val="20"/>
          <w:szCs w:val="20"/>
        </w:rPr>
        <w:t>School of Life Science and Health Engineering, School of Chemical and Material Engineering, Jiangnan University, Wuxi 214122, China</w:t>
      </w:r>
    </w:p>
    <w:p w14:paraId="6CA894D5" w14:textId="0DDB9839" w:rsidR="00165A31" w:rsidRDefault="0039395F" w:rsidP="0039395F">
      <w:pPr>
        <w:pStyle w:val="a9"/>
        <w:snapToGrid w:val="0"/>
        <w:spacing w:before="0" w:beforeAutospacing="0" w:after="0" w:afterAutospacing="0" w:line="480" w:lineRule="auto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>b</w:t>
      </w:r>
      <w:r w:rsidR="00DE669B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Reproductive Medicine Department, Wuxi Hospital of Traditional Chinese Medicine, Wuxi 214000, China</w:t>
      </w:r>
    </w:p>
    <w:p w14:paraId="1A62A698" w14:textId="77777777" w:rsidR="00165A31" w:rsidRDefault="00000000">
      <w:pPr>
        <w:pStyle w:val="a9"/>
        <w:spacing w:beforeLines="100" w:before="312" w:beforeAutospacing="0" w:afterLines="100" w:after="312" w:afterAutospacing="0" w:line="48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1. Experimental</w:t>
      </w:r>
    </w:p>
    <w:p w14:paraId="559DC865" w14:textId="77777777" w:rsidR="00165A31" w:rsidRDefault="00000000">
      <w:pPr>
        <w:pStyle w:val="RSCB06BHeadingSub-Section"/>
        <w:spacing w:beforeLines="25" w:before="78" w:beforeAutospacing="0" w:afterLines="25" w:after="78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1.1. Reagents</w:t>
      </w:r>
    </w:p>
    <w:p w14:paraId="211DA6DB" w14:textId="77777777" w:rsidR="00165A31" w:rsidRDefault="00000000">
      <w:pPr>
        <w:snapToGrid w:val="0"/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Chloroauric acid (HAuCl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(99.995%),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ferric chloride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cobalt chloride (CoCl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nickel chloride (NiCl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), copper chloride (CuCl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), citric acid,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serine,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mercaptohexanol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(MCH) and K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(&gt;99.95%)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were purchased from Sigma-Aldrich Company. The phosphate-buffered solution (PBS, Na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HPO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-NaH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-KCl, 0.1 M, pH 7.4) was prepared in the laboratory. The deionized water was produced by using Millipore Milli-Q grade with a resistivity of 18.2 MΩ cm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All oligonucleotides were made and purified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Biotech. Co., Ltd (Shanghai, China)</w:t>
      </w:r>
      <w:r>
        <w:rPr>
          <w:rFonts w:ascii="Times New Roman" w:hAnsi="Times New Roman" w:cs="Times New Roman" w:hint="eastAsia"/>
          <w:sz w:val="24"/>
          <w:szCs w:val="24"/>
        </w:rPr>
        <w:t>, including</w:t>
      </w:r>
      <w:r>
        <w:rPr>
          <w:rFonts w:ascii="Times New Roman" w:eastAsia="宋体" w:hAnsi="Times New Roman" w:cs="Times New Roman"/>
          <w:sz w:val="24"/>
          <w:szCs w:val="24"/>
        </w:rPr>
        <w:t xml:space="preserve"> MiRNA-21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bookmarkStart w:id="1" w:name="OLE_LINK2"/>
      <w:r>
        <w:rPr>
          <w:rFonts w:ascii="Times New Roman" w:eastAsia="宋体" w:hAnsi="Times New Roman" w:cs="Times New Roman"/>
          <w:sz w:val="24"/>
          <w:szCs w:val="24"/>
        </w:rPr>
        <w:t>5´-UAGCUUAUCAGACUGAUGUUGA-3´</w:t>
      </w:r>
      <w:bookmarkEnd w:id="1"/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Start w:id="2" w:name="OLE_LINK1"/>
      <w:r>
        <w:rPr>
          <w:rFonts w:ascii="Times New Roman" w:eastAsia="等线" w:hAnsi="Times New Roman" w:cs="Times New Roman" w:hint="eastAsia"/>
          <w:sz w:val="24"/>
          <w:szCs w:val="24"/>
        </w:rPr>
        <w:t xml:space="preserve">miRNA-21 with </w:t>
      </w:r>
      <w:r>
        <w:rPr>
          <w:rFonts w:ascii="Times New Roman" w:eastAsia="等线" w:hAnsi="Times New Roman" w:cs="Times New Roman"/>
          <w:sz w:val="24"/>
          <w:szCs w:val="24"/>
        </w:rPr>
        <w:t>single-base mismatch</w:t>
      </w:r>
      <w:bookmarkEnd w:id="2"/>
      <w:r>
        <w:rPr>
          <w:rFonts w:ascii="Times New Roman" w:eastAsia="等线" w:hAnsi="Times New Roman" w:cs="Times New Roman"/>
          <w:sz w:val="24"/>
          <w:szCs w:val="24"/>
        </w:rPr>
        <w:t xml:space="preserve"> (</w:t>
      </w:r>
      <w:r>
        <w:rPr>
          <w:rFonts w:ascii="Times New Roman" w:eastAsia="等线" w:hAnsi="Times New Roman" w:cs="Times New Roman" w:hint="eastAsia"/>
          <w:sz w:val="24"/>
          <w:szCs w:val="24"/>
        </w:rPr>
        <w:t>miRNA-21-1M</w:t>
      </w:r>
      <w:r>
        <w:rPr>
          <w:rFonts w:ascii="Times New Roman" w:eastAsia="等线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5´-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C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AGCUUAUCAGACUGAUGUUGA</w:t>
      </w:r>
      <w:r>
        <w:rPr>
          <w:rFonts w:ascii="Times New Roman" w:eastAsia="宋体" w:hAnsi="Times New Roman" w:cs="Times New Roman"/>
          <w:sz w:val="24"/>
          <w:szCs w:val="24"/>
        </w:rPr>
        <w:t>-3´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miRNA-21 with two</w:t>
      </w:r>
      <w:r>
        <w:rPr>
          <w:rFonts w:ascii="Times New Roman" w:eastAsia="等线" w:hAnsi="Times New Roman" w:cs="Times New Roman"/>
          <w:sz w:val="24"/>
          <w:szCs w:val="24"/>
        </w:rPr>
        <w:t>-base mismatch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(miRNA-21-2M</w:t>
      </w:r>
      <w:r>
        <w:rPr>
          <w:rFonts w:ascii="Times New Roman" w:eastAsia="等线" w:hAnsi="Times New Roman" w:cs="Times New Roman"/>
          <w:sz w:val="24"/>
          <w:szCs w:val="24"/>
        </w:rPr>
        <w:t>)</w:t>
      </w:r>
      <w:r>
        <w:rPr>
          <w:rFonts w:ascii="Times New Roman" w:eastAsia="等线" w:hAnsi="Times New Roman" w:cs="Times New Roman" w:hint="eastAsia"/>
          <w:color w:val="FF0000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5´-UAGCUUAUCAGACUGAUG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CC</w:t>
      </w:r>
      <w:r>
        <w:rPr>
          <w:rFonts w:ascii="Times New Roman" w:eastAsia="宋体" w:hAnsi="Times New Roman" w:cs="Times New Roman"/>
          <w:sz w:val="24"/>
          <w:szCs w:val="24"/>
        </w:rPr>
        <w:t>GA-3´</w:t>
      </w:r>
      <w:r>
        <w:rPr>
          <w:rFonts w:ascii="Times New Roman" w:eastAsia="宋体" w:hAnsi="Times New Roman" w:cs="Times New Roman" w:hint="eastAsia"/>
          <w:sz w:val="24"/>
          <w:szCs w:val="24"/>
        </w:rPr>
        <w:t>), miRNA-21 with three-base mismatch (miRNA-21-3M)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5´-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>AGCUUAUCAGACUGAUG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CC</w:t>
      </w:r>
      <w:r>
        <w:rPr>
          <w:rFonts w:ascii="Times New Roman" w:eastAsia="宋体" w:hAnsi="Times New Roman" w:cs="Times New Roman"/>
          <w:sz w:val="24"/>
          <w:szCs w:val="24"/>
        </w:rPr>
        <w:t>GA-3´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miRNA-210 (</w:t>
      </w:r>
      <w:r>
        <w:rPr>
          <w:rFonts w:ascii="Times New Roman" w:eastAsia="宋体" w:hAnsi="Times New Roman" w:cs="Times New Roman"/>
          <w:sz w:val="24"/>
          <w:szCs w:val="24"/>
        </w:rPr>
        <w:t>5´-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CUGUGCGUGUGACAGCGGCUGA</w:t>
      </w:r>
      <w:r>
        <w:rPr>
          <w:rFonts w:ascii="Times New Roman" w:eastAsia="宋体" w:hAnsi="Times New Roman" w:cs="Times New Roman"/>
          <w:sz w:val="24"/>
          <w:szCs w:val="24"/>
        </w:rPr>
        <w:t>-3´</w:t>
      </w:r>
      <w:r>
        <w:rPr>
          <w:rFonts w:ascii="Times New Roman" w:hAnsi="Times New Roman" w:cs="Times New Roman" w:hint="eastAsia"/>
          <w:sz w:val="24"/>
          <w:szCs w:val="24"/>
        </w:rPr>
        <w:t>), miRNA-221 (</w:t>
      </w:r>
      <w:r>
        <w:rPr>
          <w:rFonts w:ascii="Times New Roman" w:eastAsia="宋体" w:hAnsi="Times New Roman" w:cs="Times New Roman"/>
          <w:sz w:val="24"/>
          <w:szCs w:val="24"/>
        </w:rPr>
        <w:t>5´-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AGCUACAUUGUCUGCUGGGU UUC</w:t>
      </w:r>
      <w:r>
        <w:rPr>
          <w:rFonts w:ascii="Times New Roman" w:eastAsia="宋体" w:hAnsi="Times New Roman" w:cs="Times New Roman"/>
          <w:sz w:val="24"/>
          <w:szCs w:val="24"/>
        </w:rPr>
        <w:t>-3´</w:t>
      </w:r>
      <w:r>
        <w:rPr>
          <w:rFonts w:ascii="Times New Roman" w:hAnsi="Times New Roman" w:cs="Times New Roman" w:hint="eastAsia"/>
          <w:sz w:val="24"/>
          <w:szCs w:val="24"/>
        </w:rPr>
        <w:t xml:space="preserve">), </w:t>
      </w:r>
      <w:r>
        <w:rPr>
          <w:rFonts w:ascii="Times New Roman" w:eastAsia="宋体" w:hAnsi="Times New Roman" w:cs="Times New Roman"/>
          <w:sz w:val="24"/>
          <w:szCs w:val="24"/>
        </w:rPr>
        <w:t>Aptamer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5´-CGTCAACATCAGTCTGATAAGCTAT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TGACG-3´</w:t>
      </w:r>
      <w:r>
        <w:rPr>
          <w:rFonts w:ascii="Times New Roman" w:eastAsia="宋体" w:hAnsi="Times New Roman" w:cs="Times New Roman" w:hint="eastAsia"/>
          <w:sz w:val="24"/>
          <w:szCs w:val="24"/>
        </w:rPr>
        <w:t>), walker (</w:t>
      </w:r>
      <w:r>
        <w:rPr>
          <w:rFonts w:ascii="Times New Roman" w:eastAsia="宋体" w:hAnsi="Times New Roman" w:cs="Times New Roman"/>
          <w:sz w:val="24"/>
          <w:szCs w:val="24"/>
        </w:rPr>
        <w:t>5´-SH-</w:t>
      </w:r>
      <w:r>
        <w:rPr>
          <w:rFonts w:ascii="Times New Roman" w:eastAsia="宋体" w:hAnsi="Times New Roman" w:cs="Times New Roman"/>
          <w:sz w:val="24"/>
          <w:szCs w:val="24"/>
        </w:rPr>
        <w:lastRenderedPageBreak/>
        <w:t>(CH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-TTTTTTTTTTTTTTTTTTTTTTTTTTTTTTCGTCAACTTATCAGACTGATGTAGTTGA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CG-3´</w:t>
      </w:r>
      <w:r>
        <w:rPr>
          <w:rFonts w:ascii="Times New Roman" w:eastAsia="宋体" w:hAnsi="Times New Roman" w:cs="Times New Roman" w:hint="eastAsia"/>
          <w:sz w:val="24"/>
          <w:szCs w:val="24"/>
        </w:rPr>
        <w:t>), H1(</w:t>
      </w:r>
      <w:r>
        <w:rPr>
          <w:rFonts w:ascii="Times New Roman" w:eastAsia="宋体" w:hAnsi="Times New Roman" w:cs="Times New Roman"/>
          <w:sz w:val="24"/>
          <w:szCs w:val="24"/>
        </w:rPr>
        <w:t>5´-SH-(CH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-CTACATCAGTCTGATAAGTTGACGAGTGGGTAGGGTAGCGTC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AACTTATCAGAC-3´</w:t>
      </w:r>
      <w:r>
        <w:rPr>
          <w:rFonts w:ascii="Times New Roman" w:eastAsia="宋体" w:hAnsi="Times New Roman" w:cs="Times New Roman" w:hint="eastAsia"/>
          <w:sz w:val="24"/>
          <w:szCs w:val="24"/>
        </w:rPr>
        <w:t>), H2-Fc (</w:t>
      </w:r>
      <w:r>
        <w:rPr>
          <w:rFonts w:ascii="Times New Roman" w:eastAsia="宋体" w:hAnsi="Times New Roman" w:cs="Times New Roman"/>
          <w:sz w:val="24"/>
          <w:szCs w:val="24"/>
        </w:rPr>
        <w:t>5´-AAGTTGACGCTACCCTACCCACTCGTCAACTTCTAAG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ACAGTGGGTACTAGGGTATTGGG-Ferrocene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>
        <w:rPr>
          <w:rFonts w:ascii="Times New Roman" w:eastAsia="宋体" w:hAnsi="Times New Roman" w:cs="Times New Roman"/>
          <w:sz w:val="24"/>
          <w:szCs w:val="24"/>
        </w:rPr>
        <w:t>-3´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The concentration of oligonucleotides was determined by measuring absorption at 260 nm. The DNA stock solution was prepared in the Tris/Mg/K buffer containing 20 mM Tris-HCl, 1 mM MgCl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1 mM CaCl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5 mM </w:t>
      </w:r>
      <w:proofErr w:type="spellStart"/>
      <w:r>
        <w:rPr>
          <w:rFonts w:ascii="Times New Roman" w:hAnsi="Times New Roman" w:cs="Times New Roman"/>
          <w:sz w:val="24"/>
          <w:szCs w:val="24"/>
        </w:rPr>
        <w:t>KCl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pH 7.4 and stored at -20°C for further use.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Before use, H1 and H2 sequence are heated at 95 °C for 5 min and slowly cooled to room temperature at 1 °C min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/>
          <w:sz w:val="24"/>
          <w:szCs w:val="24"/>
        </w:rPr>
        <w:t xml:space="preserve"> to form stable hairpin structure.</w:t>
      </w:r>
    </w:p>
    <w:p w14:paraId="0996E313" w14:textId="77777777" w:rsidR="00165A31" w:rsidRDefault="00000000">
      <w:pPr>
        <w:pStyle w:val="RSCB06BHeadingSub-Section"/>
        <w:spacing w:beforeLines="25" w:before="78" w:beforeAutospacing="0" w:afterLines="25" w:after="78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1.2. Structural characterization</w:t>
      </w:r>
    </w:p>
    <w:p w14:paraId="7C91F643" w14:textId="77777777" w:rsidR="00165A31" w:rsidRDefault="00000000">
      <w:pPr>
        <w:snapToGrid w:val="0"/>
        <w:spacing w:line="480" w:lineRule="auto"/>
        <w:contextualSpacing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Morphology and structure were characterized by scanning electron microscope (SEM, JEOL, S-4800) and transmission electron microscope (TEM, JEOL, Jem-2100). The crystal structure and chemical composition were studied by X-ray diffraction (XRD, Bruker D8 Advance, Cu Kα radiation, λ= 0.15406 nm). The valence states were characterized by X-ray photoelectron spectroscopy (XPS, Kratos, Axis supra) with mono chromated Al KR radiation. The band gap was evaluated by obtaining UV-visible diffuse reflectance spectra by UV-visible spectrophotometer (UV-vis, Shimadzu, UV-3600 Plus). </w:t>
      </w:r>
      <w:r>
        <w:rPr>
          <w:rFonts w:ascii="Times New Roman" w:eastAsia="Segoe UI" w:hAnsi="Times New Roman"/>
          <w:sz w:val="24"/>
          <w:shd w:val="clear" w:color="auto" w:fill="FFFFFF"/>
        </w:rPr>
        <w:t>The infrared spectra (IR) were obtained on a Nicolet FT-IR 6700 spectrometer. The UV-visible spectrum was recorded on a TU-1901 spectrometer with a DH-2000 deuterium and tungsten–halogen light source in the absorbance mode (Beijing Purkinje General Instrument Co., Ltd, China).</w:t>
      </w:r>
    </w:p>
    <w:p w14:paraId="06A1688C" w14:textId="77777777" w:rsidR="00165A31" w:rsidRDefault="00000000">
      <w:pPr>
        <w:pStyle w:val="RSCB06BHeadingSub-Section"/>
        <w:spacing w:beforeLines="25" w:before="78" w:beforeAutospacing="0" w:afterLines="25" w:after="78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1.3. Electrochemical measurements</w:t>
      </w:r>
    </w:p>
    <w:p w14:paraId="79346E3D" w14:textId="77777777" w:rsidR="00165A31" w:rsidRDefault="00000000">
      <w:pPr>
        <w:snapToGrid w:val="0"/>
        <w:spacing w:line="48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Cyclic voltammetry (CV), electrochemical impedance spectroscopy (EIS) and differential pulse voltammetry (DPV) were measured on a CHI660D electrochemical workstation. The conventional three-electrode testing system was employed for all electrochemical measurements. The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sensor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Ag/AgCl electrode and platinum wire were employed as the working electrode, reference electrode and counter electrode, respectively. The EIS measurements were measured at the frequency range from 100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bookmarkStart w:id="3" w:name="OLE_LINK32"/>
      <w:r>
        <w:rPr>
          <w:rFonts w:ascii="Times New Roman" w:hAnsi="Times New Roman" w:cs="Times New Roman"/>
          <w:color w:val="000000" w:themeColor="text1"/>
          <w:sz w:val="24"/>
          <w:szCs w:val="24"/>
        </w:rPr>
        <w:t>Hz</w:t>
      </w:r>
      <w:bookmarkEnd w:id="3"/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Hz with the potential amplitude of ±5 mV. The DPV parameters were set to scan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rate of 4 mV s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50 mV pulse amplitude, 20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pulse width and -0.2 V initial potential.</w:t>
      </w:r>
    </w:p>
    <w:p w14:paraId="6B7620E1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Figures and Tables</w:t>
      </w:r>
    </w:p>
    <w:p w14:paraId="2DD8485B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2F743C" wp14:editId="1C8AED2D">
            <wp:extent cx="2541905" cy="1276350"/>
            <wp:effectExtent l="0" t="0" r="0" b="0"/>
            <wp:docPr id="1982495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95355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67" cy="128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  <w:r>
        <w:rPr>
          <w:rFonts w:ascii="Times New Roman" w:hAnsi="Times New Roman" w:cs="Times New Roman" w:hint="eastAsia"/>
          <w:b/>
          <w:bCs/>
          <w:color w:val="0432FF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432FF"/>
          <w:sz w:val="24"/>
          <w:szCs w:val="24"/>
        </w:rPr>
        <w:t>ig. s1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Optical photographs of </w:t>
      </w:r>
      <w:r>
        <w:rPr>
          <w:rFonts w:ascii="Times New Roman" w:hAnsi="Times New Roman" w:cs="Times New Roman" w:hint="eastAsia"/>
          <w:sz w:val="24"/>
          <w:szCs w:val="24"/>
        </w:rPr>
        <w:t>SGQD aqueous solution (a), Me-SGQD complex solution (b) and Au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 w:hint="eastAsia"/>
          <w:sz w:val="24"/>
          <w:szCs w:val="24"/>
        </w:rPr>
        <w:t>FeCoNiCu</w:t>
      </w:r>
      <w:r>
        <w:rPr>
          <w:rFonts w:ascii="Times New Roman" w:hAnsi="Times New Roman" w:cs="Times New Roman"/>
          <w:sz w:val="24"/>
          <w:szCs w:val="24"/>
        </w:rPr>
        <w:t xml:space="preserve"> (c)</w:t>
      </w:r>
    </w:p>
    <w:p w14:paraId="5D5CA532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9A6D9" wp14:editId="2542A1F5">
            <wp:extent cx="3023235" cy="3041650"/>
            <wp:effectExtent l="0" t="0" r="5715" b="6350"/>
            <wp:docPr id="9018664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6641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5CB6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432FF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432FF"/>
          <w:sz w:val="24"/>
          <w:szCs w:val="24"/>
        </w:rPr>
        <w:t>ig. s2</w:t>
      </w:r>
      <w:r>
        <w:rPr>
          <w:rFonts w:ascii="Times New Roman" w:hAnsi="Times New Roman" w:cs="Times New Roman"/>
          <w:sz w:val="24"/>
          <w:szCs w:val="24"/>
        </w:rPr>
        <w:t xml:space="preserve"> Particle size distribution of </w:t>
      </w:r>
      <w:r>
        <w:rPr>
          <w:rFonts w:ascii="Times New Roman" w:hAnsi="Times New Roman" w:cs="Times New Roman" w:hint="eastAsia"/>
          <w:sz w:val="24"/>
          <w:szCs w:val="24"/>
        </w:rPr>
        <w:t>Au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 w:hint="eastAsia"/>
          <w:sz w:val="24"/>
          <w:szCs w:val="24"/>
        </w:rPr>
        <w:t>FeCoNiCu nanoparticles</w:t>
      </w:r>
    </w:p>
    <w:p w14:paraId="48037B06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C06A7" wp14:editId="67A7F58E">
            <wp:extent cx="2096770" cy="2145665"/>
            <wp:effectExtent l="0" t="0" r="0" b="6985"/>
            <wp:docPr id="18525221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22138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64E7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CC"/>
          <w:sz w:val="24"/>
          <w:szCs w:val="24"/>
        </w:rPr>
        <w:lastRenderedPageBreak/>
        <w:t>Fig. s3</w:t>
      </w:r>
      <w:r>
        <w:rPr>
          <w:rFonts w:ascii="Times New Roman" w:hAnsi="Times New Roman" w:cs="Times New Roman" w:hint="eastAsia"/>
          <w:sz w:val="24"/>
          <w:szCs w:val="24"/>
        </w:rPr>
        <w:t xml:space="preserve"> Total XPS spectrum of Au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 w:hint="eastAsia"/>
          <w:sz w:val="24"/>
          <w:szCs w:val="24"/>
        </w:rPr>
        <w:t>FeCoNiCu</w:t>
      </w:r>
    </w:p>
    <w:p w14:paraId="5992D5F2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1842DF7" wp14:editId="36E42D5B">
            <wp:extent cx="4824730" cy="2303780"/>
            <wp:effectExtent l="0" t="0" r="0" b="1270"/>
            <wp:docPr id="14201767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76726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918F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FF"/>
          <w:sz w:val="24"/>
          <w:szCs w:val="24"/>
        </w:rPr>
        <w:t>Fig. s4</w:t>
      </w:r>
      <w:r>
        <w:rPr>
          <w:rFonts w:ascii="Times New Roman" w:hAnsi="Times New Roman" w:cs="Times New Roman" w:hint="eastAsia"/>
          <w:sz w:val="24"/>
          <w:szCs w:val="24"/>
        </w:rPr>
        <w:t xml:space="preserve"> CV (A) and DPV curves (B) in 1 mM K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Fe(CN)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 xml:space="preserve"> in the PBS of pH 7.4 of GCE electrodes modified by equal mass of Au-control and Au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 w:hint="eastAsia"/>
          <w:sz w:val="24"/>
          <w:szCs w:val="24"/>
        </w:rPr>
        <w:t>FeCoNiCu</w:t>
      </w:r>
    </w:p>
    <w:p w14:paraId="6FAB0352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AACC09E" wp14:editId="00664EF6">
            <wp:extent cx="5501005" cy="5565140"/>
            <wp:effectExtent l="0" t="0" r="4445" b="0"/>
            <wp:docPr id="11240547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54743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452" cy="55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620B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FF"/>
          <w:sz w:val="24"/>
          <w:szCs w:val="24"/>
        </w:rPr>
        <w:t>Fig. s5</w:t>
      </w:r>
      <w:r>
        <w:rPr>
          <w:rFonts w:ascii="Times New Roman" w:hAnsi="Times New Roman" w:cs="Times New Roman" w:hint="eastAsia"/>
          <w:sz w:val="24"/>
          <w:szCs w:val="24"/>
        </w:rPr>
        <w:t xml:space="preserve"> CV curves at different scan rate of 10, 20, 30, 40, 50 and 60 mV s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  <w:szCs w:val="24"/>
        </w:rPr>
        <w:t>of Au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 w:hint="eastAsia"/>
          <w:sz w:val="24"/>
          <w:szCs w:val="24"/>
        </w:rPr>
        <w:t xml:space="preserve">FeCoNiCu (A) and Au-control electrodes (B), and relationship curves of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 w:hint="eastAsia"/>
          <w:sz w:val="24"/>
          <w:szCs w:val="24"/>
        </w:rPr>
        <w:t>J with scan rate (C) of Au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 w:hint="eastAsia"/>
          <w:sz w:val="24"/>
          <w:szCs w:val="24"/>
        </w:rPr>
        <w:t>FeCoNiCu (A) and Au-control electrodes</w:t>
      </w:r>
    </w:p>
    <w:p w14:paraId="5FDD0035" w14:textId="77777777" w:rsidR="00165A31" w:rsidRDefault="00000000">
      <w:pPr>
        <w:spacing w:beforeLines="50" w:before="156" w:afterLines="50" w:after="156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EFD382" wp14:editId="5E921F82">
            <wp:extent cx="3468370" cy="3035300"/>
            <wp:effectExtent l="0" t="0" r="0" b="0"/>
            <wp:docPr id="1843986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86768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E4A5" w14:textId="77777777" w:rsidR="00165A31" w:rsidRDefault="00000000">
      <w:pPr>
        <w:spacing w:beforeLines="50" w:before="156" w:afterLines="50" w:after="156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FF"/>
          <w:sz w:val="24"/>
          <w:szCs w:val="24"/>
        </w:rPr>
        <w:t>Fig. s6</w:t>
      </w:r>
      <w:r>
        <w:rPr>
          <w:rFonts w:ascii="Times New Roman" w:hAnsi="Times New Roman" w:cs="Times New Roman" w:hint="eastAsia"/>
          <w:sz w:val="24"/>
          <w:szCs w:val="24"/>
        </w:rPr>
        <w:t xml:space="preserve"> The DPV peak current in the presence of 1</w:t>
      </w:r>
      <w:r>
        <w:rPr>
          <w:rFonts w:ascii="等线" w:eastAsia="等线" w:hAnsi="等线" w:cs="Times New Roman" w:hint="eastAsia"/>
          <w:sz w:val="24"/>
          <w:szCs w:val="24"/>
        </w:rPr>
        <w:t>×</w:t>
      </w:r>
      <w:r>
        <w:rPr>
          <w:rFonts w:ascii="Times New Roman" w:hAnsi="Times New Roman" w:cs="Times New Roman" w:hint="eastAsia"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-15</w:t>
      </w:r>
      <w:r>
        <w:rPr>
          <w:rFonts w:ascii="Times New Roman" w:hAnsi="Times New Roman" w:cs="Times New Roman" w:hint="eastAsia"/>
          <w:sz w:val="24"/>
          <w:szCs w:val="24"/>
        </w:rPr>
        <w:t xml:space="preserve"> M miRNA-21, miRNA-21-1M, miRNA-21-2M, miRNA-21-3M, miRNA-210, and miRNA-221</w:t>
      </w:r>
    </w:p>
    <w:p w14:paraId="79195D4A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432FF"/>
        </w:rPr>
        <w:t>Table s1</w:t>
      </w:r>
      <w:r>
        <w:rPr>
          <w:rFonts w:ascii="Times New Roman" w:hAnsi="Times New Roman" w:cs="Times New Roman"/>
        </w:rPr>
        <w:t xml:space="preserve"> EIS of the electrode modification process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971"/>
        <w:gridCol w:w="992"/>
        <w:gridCol w:w="955"/>
        <w:gridCol w:w="1530"/>
        <w:gridCol w:w="222"/>
      </w:tblGrid>
      <w:tr w:rsidR="00165A31" w14:paraId="10465D65" w14:textId="77777777">
        <w:trPr>
          <w:trHeight w:val="64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D1CC76F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Electrode modification process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41BC85D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  <w:r>
              <w:rPr>
                <w:rFonts w:eastAsia="宋体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Ω</w:t>
            </w:r>
            <w:r>
              <w:rPr>
                <w:rFonts w:eastAsia="宋体" w:hint="eastAsia"/>
                <w:sz w:val="20"/>
                <w:szCs w:val="20"/>
              </w:rPr>
              <w:t>）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8E265DD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ct</w:t>
            </w:r>
            <w:proofErr w:type="spellEnd"/>
            <w:r>
              <w:rPr>
                <w:rFonts w:eastAsia="宋体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Ω</w:t>
            </w:r>
            <w:r>
              <w:rPr>
                <w:rFonts w:eastAsia="宋体" w:hint="eastAsia"/>
                <w:sz w:val="20"/>
                <w:szCs w:val="20"/>
              </w:rPr>
              <w:t>）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06A8D1B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 (F)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2B3F2AA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Warburg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C7143E4" w14:textId="77777777" w:rsidR="00165A31" w:rsidRDefault="00165A31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A31" w14:paraId="3974D472" w14:textId="77777777">
        <w:trPr>
          <w:trHeight w:val="640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6799DD1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A8489F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F6D29A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3FA4BCB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1.24E-4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3A694F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FE6EF3D" w14:textId="77777777" w:rsidR="00165A31" w:rsidRDefault="00165A31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5A31" w14:paraId="206E0547" w14:textId="77777777">
        <w:trPr>
          <w:trHeight w:val="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6F8B9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HEA/GCE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0ACD7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3B9EE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0A2D2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1.24E-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3771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2CC22" w14:textId="77777777" w:rsidR="00165A31" w:rsidRDefault="00165A31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5A31" w14:paraId="068F1494" w14:textId="77777777">
        <w:trPr>
          <w:trHeight w:val="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D2EDD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walker-Apt/H1/HEA/GCE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BA55B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166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3826D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F7ECB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9.388E-5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FFA81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9E8A6" w14:textId="77777777" w:rsidR="00165A31" w:rsidRDefault="00165A31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5A31" w14:paraId="20F9B0AE" w14:textId="77777777">
        <w:trPr>
          <w:trHeight w:val="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53760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MCH/walker-Apt/H1/ HEA/GCE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A2DE6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208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FAA18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D36E2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2.677E-4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F3F9C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836C3" w14:textId="77777777" w:rsidR="00165A31" w:rsidRDefault="00165A31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5A31" w14:paraId="50F15DAE" w14:textId="77777777">
        <w:trPr>
          <w:trHeight w:val="62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5FBD4E2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H2-Fc/MCH/walker-Apt/H1/ HEA/GCE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922BB7E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47F9EFF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F038EC1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.6E-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6884E18" w14:textId="77777777" w:rsidR="00165A31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628A93D" w14:textId="77777777" w:rsidR="00165A31" w:rsidRDefault="00165A31">
            <w:pPr>
              <w:spacing w:line="48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6A3B1DA" w14:textId="77777777" w:rsidR="00165A31" w:rsidRDefault="0000000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等线" w:hAnsi="Times New Roman" w:cs="Times New Roman"/>
          <w:b/>
          <w:bCs/>
          <w:color w:val="0000FF"/>
          <w:sz w:val="20"/>
          <w:szCs w:val="20"/>
          <w:lang w:bidi="ar"/>
        </w:rPr>
        <w:t xml:space="preserve">Table S2 </w:t>
      </w:r>
      <w:r>
        <w:rPr>
          <w:rFonts w:ascii="Times New Roman" w:eastAsia="等线" w:hAnsi="Times New Roman" w:cs="Times New Roman"/>
          <w:sz w:val="20"/>
          <w:szCs w:val="20"/>
          <w:lang w:bidi="ar"/>
        </w:rPr>
        <w:t xml:space="preserve">Analytical performance of different analytical methods for electrochemical detection of </w:t>
      </w:r>
      <w:r>
        <w:rPr>
          <w:rFonts w:ascii="Times New Roman" w:eastAsia="宋体" w:hAnsi="Times New Roman" w:cs="Times New Roman"/>
          <w:sz w:val="20"/>
          <w:szCs w:val="20"/>
          <w:lang w:bidi="ar"/>
        </w:rPr>
        <w:t>MiRNA-21</w:t>
      </w: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1844"/>
        <w:gridCol w:w="3147"/>
        <w:gridCol w:w="1286"/>
        <w:gridCol w:w="975"/>
        <w:gridCol w:w="878"/>
        <w:gridCol w:w="797"/>
        <w:gridCol w:w="711"/>
      </w:tblGrid>
      <w:tr w:rsidR="00165A31" w14:paraId="01231CEE" w14:textId="77777777" w:rsidTr="00165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0EAE9A3" w14:textId="77777777" w:rsidR="00165A31" w:rsidRDefault="00000000">
            <w:pPr>
              <w:snapToGrid w:val="0"/>
              <w:spacing w:line="360" w:lineRule="auto"/>
              <w:ind w:rightChars="-41" w:right="-86"/>
              <w:jc w:val="left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Sensing materials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F11EC35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Signal amplification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D9F667F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Detection technique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72C0DA6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Linear range</w:t>
            </w:r>
          </w:p>
          <w:p w14:paraId="00146849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9F156DE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LOD</w:t>
            </w:r>
          </w:p>
          <w:p w14:paraId="2A9E4BC8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(M)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5CE0390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Sample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B6B5EDE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Ref</w:t>
            </w:r>
          </w:p>
        </w:tc>
      </w:tr>
      <w:tr w:rsidR="00165A31" w14:paraId="5EFB5678" w14:textId="77777777" w:rsidTr="00165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19855E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hint="default"/>
                <w:sz w:val="20"/>
                <w:szCs w:val="20"/>
              </w:rPr>
              <w:t>Polypyrrole</w:t>
            </w:r>
            <w:proofErr w:type="spellEnd"/>
            <w:r>
              <w:rPr>
                <w:rFonts w:ascii="Times New Roman" w:hAnsi="Times New Roman" w:hint="default"/>
                <w:sz w:val="20"/>
                <w:szCs w:val="20"/>
              </w:rPr>
              <w:t>/Au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1E35BF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Click chemistry-mediated variable temperature amplification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00DA71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C91D22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-15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-3x10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6F7366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5.7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AAE5EC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Serum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436EB8" w14:textId="3E268F27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1</w:t>
            </w:r>
          </w:p>
        </w:tc>
      </w:tr>
      <w:tr w:rsidR="00165A31" w14:paraId="52E4B140" w14:textId="77777777" w:rsidTr="00165A31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B311A53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Ti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3</w:t>
            </w:r>
            <w:r>
              <w:rPr>
                <w:rFonts w:ascii="Times New Roman" w:hAnsi="Times New Roman" w:hint="default"/>
                <w:sz w:val="20"/>
                <w:szCs w:val="20"/>
              </w:rPr>
              <w:t>C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hint="default"/>
                <w:sz w:val="20"/>
                <w:szCs w:val="20"/>
              </w:rPr>
              <w:t>T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X</w:t>
            </w:r>
          </w:p>
        </w:tc>
        <w:tc>
          <w:tcPr>
            <w:tcW w:w="0" w:type="auto"/>
            <w:shd w:val="clear" w:color="auto" w:fill="auto"/>
          </w:tcPr>
          <w:p w14:paraId="55CBCF19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Photocatalytic atom transfer radical polymerization</w:t>
            </w:r>
          </w:p>
        </w:tc>
        <w:tc>
          <w:tcPr>
            <w:tcW w:w="0" w:type="auto"/>
            <w:shd w:val="clear" w:color="auto" w:fill="auto"/>
          </w:tcPr>
          <w:p w14:paraId="06D4D01F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SWV</w:t>
            </w:r>
          </w:p>
        </w:tc>
        <w:tc>
          <w:tcPr>
            <w:tcW w:w="0" w:type="auto"/>
            <w:shd w:val="clear" w:color="auto" w:fill="auto"/>
          </w:tcPr>
          <w:p w14:paraId="2D40E72A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-17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-13</w:t>
            </w:r>
          </w:p>
        </w:tc>
        <w:tc>
          <w:tcPr>
            <w:tcW w:w="0" w:type="auto"/>
            <w:shd w:val="clear" w:color="auto" w:fill="auto"/>
          </w:tcPr>
          <w:p w14:paraId="2DF10F0D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2.81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-18</w:t>
            </w:r>
          </w:p>
        </w:tc>
        <w:tc>
          <w:tcPr>
            <w:tcW w:w="0" w:type="auto"/>
            <w:shd w:val="clear" w:color="auto" w:fill="auto"/>
          </w:tcPr>
          <w:p w14:paraId="13DB2291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8C9DB08" w14:textId="2A768269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lang w:bidi="ar"/>
              </w:rPr>
              <w:t>2</w:t>
            </w:r>
          </w:p>
        </w:tc>
      </w:tr>
      <w:tr w:rsidR="00165A31" w14:paraId="780D006A" w14:textId="77777777" w:rsidTr="00165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A70BAF2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lastRenderedPageBreak/>
              <w:t>Magnetite bead</w:t>
            </w:r>
          </w:p>
        </w:tc>
        <w:tc>
          <w:tcPr>
            <w:tcW w:w="0" w:type="auto"/>
            <w:shd w:val="clear" w:color="auto" w:fill="auto"/>
          </w:tcPr>
          <w:p w14:paraId="41C08F76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Digestion-to-growth regulated tandem isothermal amplification</w:t>
            </w:r>
          </w:p>
        </w:tc>
        <w:tc>
          <w:tcPr>
            <w:tcW w:w="0" w:type="auto"/>
            <w:shd w:val="clear" w:color="auto" w:fill="auto"/>
          </w:tcPr>
          <w:p w14:paraId="134C6887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shd w:val="clear" w:color="auto" w:fill="auto"/>
          </w:tcPr>
          <w:p w14:paraId="7552C188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0-1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-8</w:t>
            </w:r>
          </w:p>
        </w:tc>
        <w:tc>
          <w:tcPr>
            <w:tcW w:w="0" w:type="auto"/>
            <w:shd w:val="clear" w:color="auto" w:fill="auto"/>
          </w:tcPr>
          <w:p w14:paraId="02D76AFB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3.5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-14</w:t>
            </w:r>
          </w:p>
        </w:tc>
        <w:tc>
          <w:tcPr>
            <w:tcW w:w="0" w:type="auto"/>
            <w:shd w:val="clear" w:color="auto" w:fill="auto"/>
          </w:tcPr>
          <w:p w14:paraId="1D2FDA4E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FD6A1E0" w14:textId="0473F6D6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3</w:t>
            </w:r>
          </w:p>
        </w:tc>
      </w:tr>
      <w:tr w:rsidR="00165A31" w14:paraId="6E80E7DD" w14:textId="77777777" w:rsidTr="00165A31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5D5CDE2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Au</w:t>
            </w:r>
          </w:p>
        </w:tc>
        <w:tc>
          <w:tcPr>
            <w:tcW w:w="0" w:type="auto"/>
            <w:shd w:val="clear" w:color="auto" w:fill="auto"/>
          </w:tcPr>
          <w:p w14:paraId="164815D2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679CE09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SWV</w:t>
            </w:r>
          </w:p>
        </w:tc>
        <w:tc>
          <w:tcPr>
            <w:tcW w:w="0" w:type="auto"/>
            <w:shd w:val="clear" w:color="auto" w:fill="auto"/>
          </w:tcPr>
          <w:p w14:paraId="69E22AAD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48C0EE8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2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-9</w:t>
            </w:r>
          </w:p>
        </w:tc>
        <w:tc>
          <w:tcPr>
            <w:tcW w:w="0" w:type="auto"/>
            <w:shd w:val="clear" w:color="auto" w:fill="auto"/>
          </w:tcPr>
          <w:p w14:paraId="2C24AEE0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Urine</w:t>
            </w:r>
          </w:p>
        </w:tc>
        <w:tc>
          <w:tcPr>
            <w:tcW w:w="0" w:type="auto"/>
            <w:shd w:val="clear" w:color="auto" w:fill="auto"/>
          </w:tcPr>
          <w:p w14:paraId="1655A3FD" w14:textId="45FBC49C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4</w:t>
            </w:r>
          </w:p>
        </w:tc>
      </w:tr>
      <w:tr w:rsidR="00165A31" w14:paraId="2831C295" w14:textId="77777777" w:rsidTr="00165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4C0A03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Graphene oxide/Au</w:t>
            </w:r>
          </w:p>
        </w:tc>
        <w:tc>
          <w:tcPr>
            <w:tcW w:w="0" w:type="auto"/>
            <w:shd w:val="clear" w:color="auto" w:fill="auto"/>
          </w:tcPr>
          <w:p w14:paraId="1A28F154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DNA cycle</w:t>
            </w:r>
          </w:p>
        </w:tc>
        <w:tc>
          <w:tcPr>
            <w:tcW w:w="0" w:type="auto"/>
            <w:shd w:val="clear" w:color="auto" w:fill="auto"/>
          </w:tcPr>
          <w:p w14:paraId="2FBEEDFF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shd w:val="clear" w:color="auto" w:fill="auto"/>
          </w:tcPr>
          <w:p w14:paraId="4ABD183E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2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-15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-10</w:t>
            </w:r>
          </w:p>
        </w:tc>
        <w:tc>
          <w:tcPr>
            <w:tcW w:w="0" w:type="auto"/>
            <w:shd w:val="clear" w:color="auto" w:fill="auto"/>
          </w:tcPr>
          <w:p w14:paraId="5357DCBC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1.24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-15</w:t>
            </w:r>
          </w:p>
        </w:tc>
        <w:tc>
          <w:tcPr>
            <w:tcW w:w="0" w:type="auto"/>
            <w:shd w:val="clear" w:color="auto" w:fill="auto"/>
          </w:tcPr>
          <w:p w14:paraId="6CBC0CCF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Plasma</w:t>
            </w:r>
          </w:p>
        </w:tc>
        <w:tc>
          <w:tcPr>
            <w:tcW w:w="0" w:type="auto"/>
            <w:shd w:val="clear" w:color="auto" w:fill="auto"/>
          </w:tcPr>
          <w:p w14:paraId="05444C5A" w14:textId="6651E8BE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5</w:t>
            </w:r>
          </w:p>
        </w:tc>
      </w:tr>
      <w:tr w:rsidR="00165A31" w14:paraId="5A7A65F9" w14:textId="77777777" w:rsidTr="00165A31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8029636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Graphene oxide/graphene</w:t>
            </w:r>
          </w:p>
        </w:tc>
        <w:tc>
          <w:tcPr>
            <w:tcW w:w="0" w:type="auto"/>
            <w:shd w:val="clear" w:color="auto" w:fill="auto"/>
          </w:tcPr>
          <w:p w14:paraId="3649656B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8C47E82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shd w:val="clear" w:color="auto" w:fill="auto"/>
          </w:tcPr>
          <w:p w14:paraId="65360363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-14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-9</w:t>
            </w:r>
          </w:p>
        </w:tc>
        <w:tc>
          <w:tcPr>
            <w:tcW w:w="0" w:type="auto"/>
            <w:shd w:val="clear" w:color="auto" w:fill="auto"/>
          </w:tcPr>
          <w:p w14:paraId="642CD5B6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3.18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-15</w:t>
            </w:r>
          </w:p>
        </w:tc>
        <w:tc>
          <w:tcPr>
            <w:tcW w:w="0" w:type="auto"/>
            <w:shd w:val="clear" w:color="auto" w:fill="auto"/>
          </w:tcPr>
          <w:p w14:paraId="270FA4C6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E310ADC" w14:textId="0529FCF9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6</w:t>
            </w:r>
          </w:p>
        </w:tc>
      </w:tr>
      <w:tr w:rsidR="00165A31" w14:paraId="030C3F78" w14:textId="77777777" w:rsidTr="00165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4A6E94F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MnO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hint="default"/>
                <w:sz w:val="20"/>
                <w:szCs w:val="20"/>
              </w:rPr>
              <w:t>/Au</w:t>
            </w:r>
          </w:p>
        </w:tc>
        <w:tc>
          <w:tcPr>
            <w:tcW w:w="0" w:type="auto"/>
            <w:shd w:val="clear" w:color="auto" w:fill="auto"/>
          </w:tcPr>
          <w:p w14:paraId="32514C19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Hybridization chain reaction and horseradish and peroxidase signal amplification</w:t>
            </w:r>
          </w:p>
        </w:tc>
        <w:tc>
          <w:tcPr>
            <w:tcW w:w="0" w:type="auto"/>
            <w:shd w:val="clear" w:color="auto" w:fill="auto"/>
          </w:tcPr>
          <w:p w14:paraId="73E13119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shd w:val="clear" w:color="auto" w:fill="auto"/>
          </w:tcPr>
          <w:p w14:paraId="21257A01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-16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-7</w:t>
            </w:r>
          </w:p>
        </w:tc>
        <w:tc>
          <w:tcPr>
            <w:tcW w:w="0" w:type="auto"/>
            <w:shd w:val="clear" w:color="auto" w:fill="auto"/>
          </w:tcPr>
          <w:p w14:paraId="35C63DD3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6.3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-17</w:t>
            </w:r>
          </w:p>
        </w:tc>
        <w:tc>
          <w:tcPr>
            <w:tcW w:w="0" w:type="auto"/>
            <w:shd w:val="clear" w:color="auto" w:fill="auto"/>
          </w:tcPr>
          <w:p w14:paraId="113E89BE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Serum</w:t>
            </w:r>
          </w:p>
        </w:tc>
        <w:tc>
          <w:tcPr>
            <w:tcW w:w="0" w:type="auto"/>
            <w:shd w:val="clear" w:color="auto" w:fill="auto"/>
          </w:tcPr>
          <w:p w14:paraId="2736F972" w14:textId="7B5783E8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7</w:t>
            </w:r>
          </w:p>
        </w:tc>
      </w:tr>
      <w:tr w:rsidR="00165A31" w14:paraId="64800CA9" w14:textId="77777777" w:rsidTr="00165A31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7EB82CA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WS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hint="default"/>
                <w:sz w:val="20"/>
                <w:szCs w:val="20"/>
              </w:rPr>
              <w:t>/Ag</w:t>
            </w:r>
          </w:p>
        </w:tc>
        <w:tc>
          <w:tcPr>
            <w:tcW w:w="0" w:type="auto"/>
            <w:shd w:val="clear" w:color="auto" w:fill="auto"/>
          </w:tcPr>
          <w:p w14:paraId="71052898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 xml:space="preserve">Catalytic and electron transfer </w:t>
            </w:r>
            <w:proofErr w:type="spellStart"/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centre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DF33C4D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shd w:val="clear" w:color="auto" w:fill="auto"/>
          </w:tcPr>
          <w:p w14:paraId="275D5906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0.01-1000</w:t>
            </w:r>
          </w:p>
        </w:tc>
        <w:tc>
          <w:tcPr>
            <w:tcW w:w="0" w:type="auto"/>
            <w:shd w:val="clear" w:color="auto" w:fill="auto"/>
          </w:tcPr>
          <w:p w14:paraId="432D092E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0.00118</w:t>
            </w:r>
          </w:p>
        </w:tc>
        <w:tc>
          <w:tcPr>
            <w:tcW w:w="0" w:type="auto"/>
            <w:shd w:val="clear" w:color="auto" w:fill="auto"/>
          </w:tcPr>
          <w:p w14:paraId="31C606EC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Serum</w:t>
            </w:r>
          </w:p>
        </w:tc>
        <w:tc>
          <w:tcPr>
            <w:tcW w:w="0" w:type="auto"/>
            <w:shd w:val="clear" w:color="auto" w:fill="auto"/>
          </w:tcPr>
          <w:p w14:paraId="15046414" w14:textId="3F6C5EEB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lang w:bidi="ar"/>
              </w:rPr>
              <w:t>8</w:t>
            </w:r>
          </w:p>
        </w:tc>
      </w:tr>
      <w:tr w:rsidR="00165A31" w14:paraId="06F83BF3" w14:textId="77777777" w:rsidTr="00165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F728E7B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Pt@CeO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08D0CB6B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Biotin-streptavidin affinity interaction</w:t>
            </w:r>
          </w:p>
        </w:tc>
        <w:tc>
          <w:tcPr>
            <w:tcW w:w="0" w:type="auto"/>
            <w:shd w:val="clear" w:color="auto" w:fill="auto"/>
          </w:tcPr>
          <w:p w14:paraId="4D188D54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shd w:val="clear" w:color="auto" w:fill="auto"/>
          </w:tcPr>
          <w:p w14:paraId="41F2B7F7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-14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-9</w:t>
            </w:r>
          </w:p>
        </w:tc>
        <w:tc>
          <w:tcPr>
            <w:tcW w:w="0" w:type="auto"/>
            <w:shd w:val="clear" w:color="auto" w:fill="auto"/>
          </w:tcPr>
          <w:p w14:paraId="17886084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1.41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-15</w:t>
            </w:r>
          </w:p>
        </w:tc>
        <w:tc>
          <w:tcPr>
            <w:tcW w:w="0" w:type="auto"/>
            <w:shd w:val="clear" w:color="auto" w:fill="auto"/>
          </w:tcPr>
          <w:p w14:paraId="65EB5D00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Serum</w:t>
            </w:r>
          </w:p>
        </w:tc>
        <w:tc>
          <w:tcPr>
            <w:tcW w:w="0" w:type="auto"/>
            <w:shd w:val="clear" w:color="auto" w:fill="auto"/>
          </w:tcPr>
          <w:p w14:paraId="115BB9EC" w14:textId="0F72AE70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sz w:val="20"/>
                <w:szCs w:val="20"/>
                <w:lang w:bidi="ar"/>
              </w:rPr>
              <w:t>9</w:t>
            </w:r>
          </w:p>
        </w:tc>
      </w:tr>
      <w:tr w:rsidR="00165A31" w14:paraId="347B8215" w14:textId="77777777" w:rsidTr="00165A31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C208901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hAnsi="Times New Roman" w:hint="default"/>
                <w:sz w:val="20"/>
                <w:szCs w:val="20"/>
              </w:rPr>
              <w:t>Au/MoS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hint="default"/>
                <w:sz w:val="20"/>
                <w:szCs w:val="20"/>
              </w:rPr>
              <w:t>/Cu</w:t>
            </w:r>
            <w:r>
              <w:rPr>
                <w:rFonts w:ascii="Times New Roman" w:hAnsi="Times New Roman" w:hint="default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hint="default"/>
                <w:sz w:val="20"/>
                <w:szCs w:val="20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14:paraId="0734E041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Toehold mediated strand displacement reaction</w:t>
            </w:r>
          </w:p>
        </w:tc>
        <w:tc>
          <w:tcPr>
            <w:tcW w:w="0" w:type="auto"/>
            <w:shd w:val="clear" w:color="auto" w:fill="auto"/>
          </w:tcPr>
          <w:p w14:paraId="128BDEE1" w14:textId="77777777" w:rsidR="00165A31" w:rsidRDefault="00165A31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AF2193C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5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-17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-11</w:t>
            </w:r>
          </w:p>
        </w:tc>
        <w:tc>
          <w:tcPr>
            <w:tcW w:w="0" w:type="auto"/>
            <w:shd w:val="clear" w:color="auto" w:fill="auto"/>
          </w:tcPr>
          <w:p w14:paraId="54BECED0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8.3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-18</w:t>
            </w:r>
          </w:p>
        </w:tc>
        <w:tc>
          <w:tcPr>
            <w:tcW w:w="0" w:type="auto"/>
            <w:shd w:val="clear" w:color="auto" w:fill="auto"/>
          </w:tcPr>
          <w:p w14:paraId="3710EE5C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Serum</w:t>
            </w:r>
          </w:p>
        </w:tc>
        <w:tc>
          <w:tcPr>
            <w:tcW w:w="0" w:type="auto"/>
            <w:shd w:val="clear" w:color="auto" w:fill="auto"/>
          </w:tcPr>
          <w:p w14:paraId="1F950F5F" w14:textId="0BC84926" w:rsidR="00165A31" w:rsidRDefault="008F182E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FF"/>
                <w:lang w:bidi="ar"/>
              </w:rPr>
              <w:t>10</w:t>
            </w:r>
          </w:p>
        </w:tc>
      </w:tr>
      <w:tr w:rsidR="00165A31" w14:paraId="3594A57C" w14:textId="77777777" w:rsidTr="00165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13A3FEA" w14:textId="77777777" w:rsidR="00165A31" w:rsidRDefault="00000000">
            <w:pPr>
              <w:pStyle w:val="msolistparagraph0"/>
              <w:widowControl/>
              <w:snapToGrid w:val="0"/>
              <w:spacing w:line="360" w:lineRule="auto"/>
              <w:ind w:rightChars="-41" w:right="-86" w:firstLineChars="0" w:firstLine="0"/>
              <w:jc w:val="left"/>
              <w:rPr>
                <w:rFonts w:ascii="Times New Roman" w:hAnsi="Times New Roman" w:hint="default"/>
                <w:sz w:val="20"/>
                <w:szCs w:val="20"/>
              </w:rPr>
            </w:pPr>
            <w:r>
              <w:rPr>
                <w:rFonts w:ascii="Times New Roman" w:eastAsia="宋体" w:hAnsi="Times New Roman" w:hint="default"/>
                <w:sz w:val="20"/>
                <w:szCs w:val="20"/>
              </w:rPr>
              <w:t>Au</w:t>
            </w:r>
            <w:r>
              <w:rPr>
                <w:rFonts w:ascii="Times New Roman" w:eastAsia="宋体" w:hAnsi="Times New Roman" w:hint="default"/>
                <w:sz w:val="20"/>
                <w:szCs w:val="20"/>
                <w:vertAlign w:val="subscript"/>
              </w:rPr>
              <w:t>0.1</w:t>
            </w:r>
            <w:r>
              <w:rPr>
                <w:rFonts w:ascii="Times New Roman" w:eastAsia="宋体" w:hAnsi="Times New Roman" w:hint="default"/>
                <w:sz w:val="20"/>
                <w:szCs w:val="20"/>
              </w:rPr>
              <w:t>FeCoNiCu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2B2B725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DNA walker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D28D6B2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DPV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2C117E1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-20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-1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4BE178C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3.4</w:t>
            </w:r>
            <w:r>
              <w:rPr>
                <w:rFonts w:ascii="等线" w:eastAsia="等线" w:hAnsi="等线" w:cs="Times New Roman"/>
                <w:sz w:val="20"/>
                <w:szCs w:val="20"/>
                <w:lang w:bidi="ar"/>
              </w:rPr>
              <w:t>×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10</w:t>
            </w:r>
            <w:r>
              <w:rPr>
                <w:rFonts w:ascii="Times New Roman" w:eastAsia="等线" w:hAnsi="Times New Roman" w:cs="Times New Roman" w:hint="default"/>
                <w:sz w:val="20"/>
                <w:szCs w:val="20"/>
                <w:vertAlign w:val="superscript"/>
                <w:lang w:bidi="ar"/>
              </w:rPr>
              <w:t>-21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B9A4162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sz w:val="20"/>
                <w:szCs w:val="20"/>
                <w:lang w:bidi="ar"/>
              </w:rPr>
              <w:t>Serum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7CB1941" w14:textId="77777777" w:rsidR="00165A31" w:rsidRDefault="00000000">
            <w:pPr>
              <w:snapToGrid w:val="0"/>
              <w:spacing w:line="360" w:lineRule="auto"/>
              <w:ind w:leftChars="-54" w:left="-113" w:rightChars="-41" w:right="-8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 w:hint="default"/>
                <w:color w:val="0000FF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default"/>
                <w:color w:val="0000FF"/>
                <w:sz w:val="20"/>
                <w:szCs w:val="20"/>
                <w:lang w:bidi="ar"/>
              </w:rPr>
              <w:t>This work</w:t>
            </w:r>
          </w:p>
        </w:tc>
      </w:tr>
    </w:tbl>
    <w:p w14:paraId="229D5BD8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FF"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b/>
          <w:bCs/>
          <w:color w:val="0000FF"/>
          <w:sz w:val="20"/>
          <w:szCs w:val="20"/>
        </w:rPr>
        <w:t>S3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results for detection of miRNA-21 in serum samples by the proposed method (N=5)</w:t>
      </w:r>
    </w:p>
    <w:tbl>
      <w:tblPr>
        <w:tblStyle w:val="6-51"/>
        <w:tblW w:w="0" w:type="auto"/>
        <w:tblLook w:val="04A0" w:firstRow="1" w:lastRow="0" w:firstColumn="1" w:lastColumn="0" w:noHBand="0" w:noVBand="1"/>
      </w:tblPr>
      <w:tblGrid>
        <w:gridCol w:w="1583"/>
        <w:gridCol w:w="1644"/>
        <w:gridCol w:w="3611"/>
        <w:gridCol w:w="983"/>
        <w:gridCol w:w="606"/>
      </w:tblGrid>
      <w:tr w:rsidR="00165A31" w14:paraId="288D9485" w14:textId="77777777" w:rsidTr="00165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9D92020" w14:textId="77777777" w:rsidR="00165A31" w:rsidRDefault="00000000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Samples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9B21702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miRNA-21 added</w:t>
            </w:r>
          </w:p>
          <w:p w14:paraId="70298815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4567E1A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miRNA-21 found by the proposed method </w:t>
            </w:r>
          </w:p>
          <w:p w14:paraId="0530514A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9AB2CF2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Recovery</w:t>
            </w:r>
          </w:p>
          <w:p w14:paraId="26E80812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(%)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E8A714F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RSD</w:t>
            </w:r>
          </w:p>
          <w:p w14:paraId="1029A437" w14:textId="77777777" w:rsidR="00165A31" w:rsidRDefault="00000000">
            <w:pPr>
              <w:snapToGrid w:val="0"/>
              <w:spacing w:line="48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(%)</w:t>
            </w:r>
          </w:p>
        </w:tc>
      </w:tr>
      <w:tr w:rsidR="00165A31" w14:paraId="5327FFB7" w14:textId="77777777" w:rsidTr="00165A3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A87712E" w14:textId="77777777" w:rsidR="00165A31" w:rsidRDefault="00000000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Serum sample 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190DDAC3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438E37A4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0.780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0.006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41F96F63" w14:textId="77777777" w:rsidR="00165A31" w:rsidRDefault="00165A31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1932F685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2.12</w:t>
            </w:r>
          </w:p>
        </w:tc>
      </w:tr>
      <w:tr w:rsidR="00165A31" w14:paraId="77F232FD" w14:textId="77777777" w:rsidTr="00165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14:paraId="408A008C" w14:textId="77777777" w:rsidR="00165A31" w:rsidRDefault="00165A31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943D860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0" w:type="auto"/>
            <w:shd w:val="clear" w:color="auto" w:fill="auto"/>
          </w:tcPr>
          <w:p w14:paraId="0AD0825E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1.292 ± 0.05</w:t>
            </w:r>
          </w:p>
        </w:tc>
        <w:tc>
          <w:tcPr>
            <w:tcW w:w="0" w:type="auto"/>
            <w:shd w:val="clear" w:color="auto" w:fill="auto"/>
          </w:tcPr>
          <w:p w14:paraId="7C25F90E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102.4</w:t>
            </w:r>
          </w:p>
        </w:tc>
        <w:tc>
          <w:tcPr>
            <w:tcW w:w="0" w:type="auto"/>
            <w:shd w:val="clear" w:color="auto" w:fill="auto"/>
          </w:tcPr>
          <w:p w14:paraId="57D09508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1.79</w:t>
            </w:r>
          </w:p>
        </w:tc>
      </w:tr>
      <w:tr w:rsidR="00165A31" w14:paraId="478F1A95" w14:textId="77777777" w:rsidTr="00165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14:paraId="219B0102" w14:textId="77777777" w:rsidR="00165A31" w:rsidRDefault="00000000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4" w:name="_Hlk197334464" w:colFirst="1" w:colLast="4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Serum sample 2</w:t>
            </w:r>
          </w:p>
        </w:tc>
        <w:tc>
          <w:tcPr>
            <w:tcW w:w="0" w:type="auto"/>
            <w:shd w:val="clear" w:color="auto" w:fill="auto"/>
          </w:tcPr>
          <w:p w14:paraId="52826F2F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70F04686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0.084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0.002</w:t>
            </w:r>
          </w:p>
        </w:tc>
        <w:tc>
          <w:tcPr>
            <w:tcW w:w="0" w:type="auto"/>
            <w:shd w:val="clear" w:color="auto" w:fill="auto"/>
          </w:tcPr>
          <w:p w14:paraId="4CCE6476" w14:textId="77777777" w:rsidR="00165A31" w:rsidRDefault="00165A31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4F0DE5B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2.44</w:t>
            </w:r>
          </w:p>
        </w:tc>
      </w:tr>
      <w:tr w:rsidR="00165A31" w14:paraId="00A6FF91" w14:textId="77777777" w:rsidTr="00165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14:paraId="57FB9195" w14:textId="77777777" w:rsidR="00165A31" w:rsidRDefault="00165A31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90CD798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0" w:type="auto"/>
            <w:shd w:val="clear" w:color="auto" w:fill="auto"/>
          </w:tcPr>
          <w:p w14:paraId="2CB7D396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0.578 ± 0.014</w:t>
            </w:r>
          </w:p>
        </w:tc>
        <w:tc>
          <w:tcPr>
            <w:tcW w:w="0" w:type="auto"/>
            <w:shd w:val="clear" w:color="auto" w:fill="auto"/>
          </w:tcPr>
          <w:p w14:paraId="233CF484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98.8</w:t>
            </w:r>
          </w:p>
        </w:tc>
        <w:tc>
          <w:tcPr>
            <w:tcW w:w="0" w:type="auto"/>
            <w:shd w:val="clear" w:color="auto" w:fill="auto"/>
          </w:tcPr>
          <w:p w14:paraId="747D2951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3.44</w:t>
            </w:r>
          </w:p>
        </w:tc>
      </w:tr>
      <w:bookmarkEnd w:id="4"/>
      <w:tr w:rsidR="00165A31" w14:paraId="59090A48" w14:textId="77777777" w:rsidTr="00165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14:paraId="21A709F6" w14:textId="77777777" w:rsidR="00165A31" w:rsidRDefault="00000000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Serum sample 3</w:t>
            </w:r>
          </w:p>
        </w:tc>
        <w:tc>
          <w:tcPr>
            <w:tcW w:w="0" w:type="auto"/>
            <w:shd w:val="clear" w:color="auto" w:fill="auto"/>
          </w:tcPr>
          <w:p w14:paraId="2035E342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4E5C257E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0.015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0.002</w:t>
            </w:r>
          </w:p>
        </w:tc>
        <w:tc>
          <w:tcPr>
            <w:tcW w:w="0" w:type="auto"/>
            <w:shd w:val="clear" w:color="auto" w:fill="auto"/>
          </w:tcPr>
          <w:p w14:paraId="4017320C" w14:textId="77777777" w:rsidR="00165A31" w:rsidRDefault="00165A31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4E7BB4B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2.99</w:t>
            </w:r>
          </w:p>
        </w:tc>
      </w:tr>
      <w:tr w:rsidR="00165A31" w14:paraId="509E890B" w14:textId="77777777" w:rsidTr="00165A31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</w:tcBorders>
            <w:shd w:val="clear" w:color="auto" w:fill="auto"/>
          </w:tcPr>
          <w:p w14:paraId="4ADC446C" w14:textId="77777777" w:rsidR="00165A31" w:rsidRDefault="00165A31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F39BC05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4EF1562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0.521 ± 0.006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3143D53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101.2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A816221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3.54</w:t>
            </w:r>
          </w:p>
        </w:tc>
      </w:tr>
      <w:tr w:rsidR="00165A31" w14:paraId="55AA5C74" w14:textId="77777777" w:rsidTr="00165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6CFC4AFA" w14:textId="77777777" w:rsidR="00165A31" w:rsidRDefault="00000000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5" w:name="_Hlk197334654" w:colFirst="1" w:colLast="4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Serum sample 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5D54CD0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2F081F0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0.130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FB57468" w14:textId="77777777" w:rsidR="00165A31" w:rsidRDefault="00165A31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F3F97AB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1.83</w:t>
            </w:r>
          </w:p>
        </w:tc>
      </w:tr>
      <w:tr w:rsidR="00165A31" w14:paraId="2E692396" w14:textId="77777777" w:rsidTr="00165A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3A9A61C" w14:textId="77777777" w:rsidR="00165A31" w:rsidRDefault="00165A31">
            <w:pPr>
              <w:snapToGrid w:val="0"/>
              <w:spacing w:line="480" w:lineRule="auto"/>
              <w:contextualSpacing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E563D17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D7268AE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0.622 ± 0.012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926C66F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98.4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3F976777" w14:textId="77777777" w:rsidR="00165A31" w:rsidRDefault="00000000">
            <w:pPr>
              <w:snapToGrid w:val="0"/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1.21</w:t>
            </w:r>
          </w:p>
        </w:tc>
      </w:tr>
    </w:tbl>
    <w:bookmarkEnd w:id="5"/>
    <w:p w14:paraId="128705CA" w14:textId="77777777" w:rsidR="00165A31" w:rsidRDefault="00000000">
      <w:pPr>
        <w:spacing w:beforeLines="50" w:before="156" w:afterLines="50" w:after="156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References</w:t>
      </w:r>
    </w:p>
    <w:p w14:paraId="60F5D71F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] X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Liu, Q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Wang,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Zhang, Z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Yang, N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Xu, 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Yang, D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Huo, C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Hou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Detecting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miRNA-21 using dual-mode biosensor via click chemistry-mediated variable temperature amplification reaction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Chem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Eng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479 (2024) 147231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FF"/>
          <w:sz w:val="20"/>
          <w:szCs w:val="20"/>
        </w:rPr>
        <w:t>https://doi.org/10.1016/j.cej.2023.147231</w:t>
      </w:r>
    </w:p>
    <w:p w14:paraId="524A97B4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] 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Nguyen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Wang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G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Sun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Kong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X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Zhang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Nguyen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Wang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Sun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Kong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 X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Zhang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Microchim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Acta </w:t>
      </w:r>
      <w:r>
        <w:rPr>
          <w:rFonts w:ascii="Times New Roman" w:hAnsi="Times New Roman" w:cs="Times New Roman" w:hint="eastAsia"/>
          <w:sz w:val="20"/>
          <w:szCs w:val="20"/>
        </w:rPr>
        <w:t xml:space="preserve">191 </w:t>
      </w:r>
      <w:r>
        <w:rPr>
          <w:rFonts w:ascii="Times New Roman" w:hAnsi="Times New Roman" w:cs="Times New Roman"/>
          <w:sz w:val="20"/>
          <w:szCs w:val="20"/>
        </w:rPr>
        <w:t>(2024) 472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hyperlink r:id="rId12" w:history="1">
        <w:r w:rsidR="00165A31">
          <w:rPr>
            <w:rStyle w:val="ac"/>
            <w:rFonts w:ascii="Times New Roman" w:hAnsi="Times New Roman" w:cs="Times New Roman"/>
            <w:sz w:val="20"/>
            <w:szCs w:val="20"/>
            <w:u w:val="none"/>
          </w:rPr>
          <w:t>https://doi.org/10.1007/s00604-024-06542-7</w:t>
        </w:r>
      </w:hyperlink>
    </w:p>
    <w:p w14:paraId="12AAAD42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Yan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Xu, L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Yang, B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Yao, G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Liu, W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Chen, Target-triggered substantial stacking of electroactive indicators based on digestion-to-growth regulated tandem isothermal amplification for ultrasensitive miRNA determination,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Sensor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Actuat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B-Chem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344 (2021) 130280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FF"/>
          <w:sz w:val="20"/>
          <w:szCs w:val="20"/>
        </w:rPr>
        <w:t>https://doi.org/10.1016/j.snb.2021.130280</w:t>
      </w:r>
    </w:p>
    <w:p w14:paraId="38C580CA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] W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Cimmino1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D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>
        <w:rPr>
          <w:rFonts w:ascii="Times New Roman" w:hAnsi="Times New Roman" w:cs="Times New Roman"/>
          <w:sz w:val="20"/>
          <w:szCs w:val="20"/>
        </w:rPr>
        <w:t>Migliorelli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Singh1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Miglione1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>
        <w:rPr>
          <w:rFonts w:ascii="Times New Roman" w:hAnsi="Times New Roman" w:cs="Times New Roman"/>
          <w:sz w:val="20"/>
          <w:szCs w:val="20"/>
        </w:rPr>
        <w:t>Generelli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 · 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 Cinti1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Design of a printed electrochemical strip towards miRNA</w:t>
      </w:r>
      <w:r>
        <w:rPr>
          <w:rFonts w:ascii="Times New Roman" w:hAnsi="Times New Roman" w:cs="Times New Roman"/>
          <w:sz w:val="20"/>
          <w:szCs w:val="20"/>
        </w:rPr>
        <w:noBreakHyphen/>
        <w:t>21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detection in urine samples: optimization of the experimental procedures for real sample application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Anal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Bioanal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Chem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(2023) 415:4511</w:t>
      </w:r>
      <w:r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4520.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FF"/>
          <w:sz w:val="20"/>
          <w:szCs w:val="20"/>
        </w:rPr>
        <w:t>https://doi.org/10.1007/s00216-023-04659-x</w:t>
      </w:r>
    </w:p>
    <w:p w14:paraId="0BEA879F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] A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Khodadoust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N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Nasirizadeh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Seyfati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Taheri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Ghanei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Bagherif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High-performance strategy for the construction of electrochemical biosensor for simultaneous detection of miRNA-141 and miRNA-21 as lung cancer biomarkers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hyperlink r:id="rId13" w:tooltip="Go to Talanta on ScienceDirect" w:history="1">
        <w:r w:rsidR="00165A31">
          <w:rPr>
            <w:rStyle w:val="ac"/>
            <w:rFonts w:ascii="Times New Roman" w:hAnsi="Times New Roman" w:cs="Times New Roman"/>
            <w:color w:val="auto"/>
            <w:sz w:val="20"/>
            <w:szCs w:val="20"/>
            <w:u w:val="none"/>
          </w:rPr>
          <w:t>Talanta</w:t>
        </w:r>
      </w:hyperlink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252</w:t>
      </w:r>
      <w:r>
        <w:rPr>
          <w:rFonts w:ascii="Times New Roman" w:hAnsi="Times New Roman" w:cs="Times New Roman" w:hint="eastAsia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2023</w:t>
      </w:r>
      <w:r>
        <w:rPr>
          <w:rFonts w:ascii="Times New Roman" w:hAnsi="Times New Roman" w:cs="Times New Roman" w:hint="eastAsia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123863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FF"/>
          <w:sz w:val="20"/>
          <w:szCs w:val="20"/>
        </w:rPr>
        <w:t>https://doi.org/10.1016/j.talanta.2022.123863</w:t>
      </w:r>
    </w:p>
    <w:p w14:paraId="3F61A81E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>] 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Huang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Govindasamy, 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Chinnapaiyan</w:t>
      </w:r>
      <w:proofErr w:type="spellEnd"/>
      <w:r>
        <w:rPr>
          <w:rFonts w:ascii="Times New Roman" w:hAnsi="Times New Roman" w:cs="Times New Roman"/>
          <w:sz w:val="20"/>
          <w:szCs w:val="20"/>
        </w:rPr>
        <w:t>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Lin, 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Lu, 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Samukawa</w:t>
      </w:r>
      <w:proofErr w:type="spellEnd"/>
      <w:r>
        <w:rPr>
          <w:rFonts w:ascii="Times New Roman" w:hAnsi="Times New Roman" w:cs="Times New Roman"/>
          <w:sz w:val="20"/>
          <w:szCs w:val="20"/>
        </w:rPr>
        <w:t>, C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Huang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Electrochemical biosensor based on an atomic layered composite of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graphene oxide/graphene as an electrode material towards selective and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sensitive detection of miRNA-21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hyperlink r:id="rId14" w:tooltip="Go to Microchemical Journal on ScienceDirect" w:history="1">
        <w:r w:rsidR="00165A31">
          <w:rPr>
            <w:rStyle w:val="ac"/>
            <w:rFonts w:ascii="Times New Roman" w:hAnsi="Times New Roman" w:cs="Times New Roman"/>
            <w:color w:val="auto"/>
            <w:sz w:val="20"/>
            <w:szCs w:val="20"/>
            <w:u w:val="none"/>
          </w:rPr>
          <w:t>Microchem</w:t>
        </w:r>
        <w:r w:rsidR="00165A31">
          <w:rPr>
            <w:rStyle w:val="ac"/>
            <w:rFonts w:ascii="Times New Roman" w:hAnsi="Times New Roman" w:cs="Times New Roman" w:hint="eastAsia"/>
            <w:color w:val="auto"/>
            <w:sz w:val="20"/>
            <w:szCs w:val="20"/>
            <w:u w:val="none"/>
          </w:rPr>
          <w:t>.</w:t>
        </w:r>
        <w:r w:rsidR="00165A31">
          <w:rPr>
            <w:rStyle w:val="ac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J</w:t>
        </w:r>
        <w:r w:rsidR="00165A31">
          <w:rPr>
            <w:rStyle w:val="ac"/>
            <w:rFonts w:ascii="Times New Roman" w:hAnsi="Times New Roman" w:cs="Times New Roman" w:hint="eastAsia"/>
            <w:color w:val="auto"/>
            <w:sz w:val="20"/>
            <w:szCs w:val="20"/>
            <w:u w:val="none"/>
          </w:rPr>
          <w:t>.</w:t>
        </w:r>
      </w:hyperlink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199</w:t>
      </w:r>
      <w:r>
        <w:rPr>
          <w:rFonts w:ascii="Times New Roman" w:hAnsi="Times New Roman" w:cs="Times New Roman" w:hint="eastAsia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2024</w:t>
      </w:r>
      <w:r>
        <w:rPr>
          <w:rFonts w:ascii="Times New Roman" w:hAnsi="Times New Roman" w:cs="Times New Roman" w:hint="eastAsia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110112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FF"/>
          <w:sz w:val="20"/>
          <w:szCs w:val="20"/>
        </w:rPr>
        <w:t>https://doi.org/10.1016/j.microc.2024.110112</w:t>
      </w:r>
    </w:p>
    <w:p w14:paraId="207B5A12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Li, 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Zhang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Zhang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Ultrasensitive electrochemical sensing platform for miRNA-21 detection based on manganese dioxide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gold nanoparticle nanoconjugates coupled with hybridization chain reaction and horseradish peroxidase signal amplification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Analyst</w:t>
      </w:r>
      <w:r>
        <w:rPr>
          <w:rFonts w:ascii="Times New Roman" w:hAnsi="Times New Roman" w:cs="Times New Roman" w:hint="eastAsia"/>
          <w:sz w:val="20"/>
          <w:szCs w:val="20"/>
        </w:rPr>
        <w:t xml:space="preserve"> 148 (</w:t>
      </w:r>
      <w:r>
        <w:rPr>
          <w:rFonts w:ascii="Times New Roman" w:hAnsi="Times New Roman" w:cs="Times New Roman"/>
          <w:sz w:val="20"/>
          <w:szCs w:val="20"/>
        </w:rPr>
        <w:t>2023</w:t>
      </w:r>
      <w:r>
        <w:rPr>
          <w:rFonts w:ascii="Times New Roman" w:hAnsi="Times New Roman" w:cs="Times New Roman" w:hint="eastAsia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2180–2188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FF"/>
          <w:sz w:val="20"/>
          <w:szCs w:val="20"/>
        </w:rPr>
        <w:t>DOI: 10.1039/d3an00490b</w:t>
      </w:r>
    </w:p>
    <w:p w14:paraId="373B2FD8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] 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Fu, C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Xie, Z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Yang, 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Jiang, 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Cheng, C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Zhu, K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Wu, H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Ye, W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Xia, N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Jaffrezic</w:t>
      </w:r>
      <w:proofErr w:type="spellEnd"/>
      <w:r>
        <w:rPr>
          <w:rFonts w:ascii="Times New Roman" w:hAnsi="Times New Roman" w:cs="Times New Roman"/>
          <w:sz w:val="20"/>
          <w:szCs w:val="20"/>
        </w:rPr>
        <w:t>-Renault, Z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Guo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Electrochemical signal amplification strategy based on trace metal ion modified WS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for ultra-sensitive detection of miRNA-21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Talanta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260 (2023) 124552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15" w:history="1">
        <w:r w:rsidR="00165A31">
          <w:rPr>
            <w:rStyle w:val="ac"/>
            <w:rFonts w:ascii="Times New Roman" w:hAnsi="Times New Roman" w:cs="Times New Roman"/>
            <w:sz w:val="20"/>
            <w:szCs w:val="20"/>
            <w:u w:val="none"/>
          </w:rPr>
          <w:t>https://doi.org/10.1016/j.talanta.2023.124552</w:t>
        </w:r>
      </w:hyperlink>
    </w:p>
    <w:p w14:paraId="74A739FF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] P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Chen,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Jiang, X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Xie, D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Sun, 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Liu,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Zhao,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Li, A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B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Tamayo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B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Liu,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Miao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R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Ouyang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Rapid electrochemical detection of MiRNA-21 facilitated by the excellent catalytic ability of Pt@CeO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nanospheres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RSC Adv. </w:t>
      </w:r>
      <w:r>
        <w:rPr>
          <w:rFonts w:ascii="Times New Roman" w:hAnsi="Times New Roman" w:cs="Times New Roman" w:hint="eastAsia"/>
          <w:sz w:val="20"/>
          <w:szCs w:val="20"/>
        </w:rPr>
        <w:t>12 (</w:t>
      </w:r>
      <w:r>
        <w:rPr>
          <w:rFonts w:ascii="Times New Roman" w:hAnsi="Times New Roman" w:cs="Times New Roman"/>
          <w:sz w:val="20"/>
          <w:szCs w:val="20"/>
        </w:rPr>
        <w:t>2022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11867–11876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FF"/>
          <w:sz w:val="20"/>
          <w:szCs w:val="20"/>
        </w:rPr>
        <w:t>DOI: 10.1039/d2ra01047j.</w:t>
      </w:r>
    </w:p>
    <w:p w14:paraId="4E68E53F" w14:textId="77777777" w:rsidR="00165A31" w:rsidRDefault="00000000">
      <w:pPr>
        <w:snapToGrid w:val="0"/>
        <w:spacing w:line="480" w:lineRule="auto"/>
        <w:ind w:leftChars="1" w:left="284" w:hangingChars="141" w:hanging="282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[1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] 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Xu, X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Luo,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Li, Y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Liu, 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Lu, </w:t>
      </w:r>
      <w:proofErr w:type="spellStart"/>
      <w:r>
        <w:rPr>
          <w:rFonts w:ascii="Times New Roman" w:hAnsi="Times New Roman" w:cs="Times New Roman"/>
          <w:sz w:val="20"/>
          <w:szCs w:val="20"/>
        </w:rPr>
        <w:t>X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Lin</w:t>
      </w:r>
      <w:proofErr w:type="spellEnd"/>
      <w:r>
        <w:rPr>
          <w:rFonts w:ascii="Times New Roman" w:hAnsi="Times New Roman" w:cs="Times New Roman"/>
          <w:sz w:val="20"/>
          <w:szCs w:val="20"/>
        </w:rPr>
        <w:t>, K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J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Huang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A self-powered sensor based on hollow bimetallic sulfide and double-strand TSDR amplification achieves sensitive miRNA-21 detection,</w:t>
      </w:r>
      <w:r>
        <w:rPr>
          <w:rFonts w:ascii="微软雅黑" w:eastAsia="微软雅黑" w:hAnsi="微软雅黑" w:hint="eastAsia"/>
          <w:color w:val="555555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Sensor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Actuat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B-Chem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420 (2024) 136487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16" w:history="1">
        <w:r w:rsidR="00165A31">
          <w:rPr>
            <w:rStyle w:val="ac"/>
            <w:rFonts w:ascii="Times New Roman" w:hAnsi="Times New Roman" w:cs="Times New Roman"/>
            <w:sz w:val="20"/>
            <w:szCs w:val="20"/>
            <w:u w:val="none"/>
          </w:rPr>
          <w:t>https://doi.org/10.1016/j.snb.2024.136487</w:t>
        </w:r>
      </w:hyperlink>
    </w:p>
    <w:sectPr w:rsidR="00165A31">
      <w:footerReference w:type="even" r:id="rId17"/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74F91" w14:textId="77777777" w:rsidR="00074D62" w:rsidRDefault="00074D62">
      <w:pPr>
        <w:rPr>
          <w:rFonts w:hint="eastAsia"/>
        </w:rPr>
      </w:pPr>
      <w:r>
        <w:separator/>
      </w:r>
    </w:p>
  </w:endnote>
  <w:endnote w:type="continuationSeparator" w:id="0">
    <w:p w14:paraId="5F022440" w14:textId="77777777" w:rsidR="00074D62" w:rsidRDefault="00074D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ＭＳ 明朝"/>
    <w:panose1 w:val="020206090402050803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348450674"/>
      <w:docPartObj>
        <w:docPartGallery w:val="AutoText"/>
      </w:docPartObj>
    </w:sdtPr>
    <w:sdtContent>
      <w:p w14:paraId="23293D37" w14:textId="77777777" w:rsidR="00165A31" w:rsidRDefault="00000000">
        <w:pPr>
          <w:pStyle w:val="a3"/>
          <w:framePr w:wrap="auto" w:vAnchor="text" w:hAnchor="margin" w:xAlign="center" w:y="1"/>
          <w:rPr>
            <w:rStyle w:val="ab"/>
            <w:rFonts w:hint="eastAsia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rFonts w:hint="eastAsia"/>
          </w:rPr>
          <w:t>7</w:t>
        </w:r>
        <w:r>
          <w:rPr>
            <w:rStyle w:val="ab"/>
          </w:rPr>
          <w:fldChar w:fldCharType="end"/>
        </w:r>
      </w:p>
    </w:sdtContent>
  </w:sdt>
  <w:p w14:paraId="001E343C" w14:textId="77777777" w:rsidR="00165A31" w:rsidRDefault="00165A31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1743295655"/>
      <w:docPartObj>
        <w:docPartGallery w:val="AutoText"/>
      </w:docPartObj>
    </w:sdtPr>
    <w:sdtContent>
      <w:p w14:paraId="5BE8FE20" w14:textId="77777777" w:rsidR="00165A31" w:rsidRDefault="00000000">
        <w:pPr>
          <w:pStyle w:val="a3"/>
          <w:framePr w:wrap="auto" w:vAnchor="text" w:hAnchor="margin" w:xAlign="center" w:y="1"/>
          <w:rPr>
            <w:rStyle w:val="ab"/>
            <w:rFonts w:hint="eastAsia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</w:rPr>
          <w:t>1</w:t>
        </w:r>
        <w:r>
          <w:rPr>
            <w:rStyle w:val="ab"/>
          </w:rPr>
          <w:fldChar w:fldCharType="end"/>
        </w:r>
      </w:p>
    </w:sdtContent>
  </w:sdt>
  <w:p w14:paraId="1469FC07" w14:textId="77777777" w:rsidR="00165A31" w:rsidRDefault="00165A31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7EB4F" w14:textId="77777777" w:rsidR="00074D62" w:rsidRDefault="00074D62">
      <w:pPr>
        <w:rPr>
          <w:rFonts w:hint="eastAsia"/>
        </w:rPr>
      </w:pPr>
      <w:r>
        <w:separator/>
      </w:r>
    </w:p>
  </w:footnote>
  <w:footnote w:type="continuationSeparator" w:id="0">
    <w:p w14:paraId="3635F903" w14:textId="77777777" w:rsidR="00074D62" w:rsidRDefault="00074D62">
      <w:pPr>
        <w:rPr>
          <w:rFonts w:hint="eastAsia"/>
        </w:rPr>
      </w:pPr>
      <w:r>
        <w:continuationSeparator/>
      </w:r>
    </w:p>
  </w:footnote>
  <w:footnote w:id="1">
    <w:p w14:paraId="7C2A09BB" w14:textId="77777777" w:rsidR="00165A31" w:rsidRDefault="00000000">
      <w:pPr>
        <w:pStyle w:val="a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ad"/>
          <w:rFonts w:ascii="Times New Roman" w:hAnsi="Times New Roman" w:cs="Times New Roman"/>
          <w:sz w:val="20"/>
          <w:szCs w:val="20"/>
        </w:rPr>
        <w:sym w:font="Symbol" w:char="F02A"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Corresponding authors. Tel.: 13912371144. E-mail address: </w:t>
      </w:r>
      <w:r>
        <w:rPr>
          <w:rStyle w:val="ac"/>
          <w:rFonts w:ascii="Times New Roman" w:hAnsi="Times New Roman" w:cs="Times New Roman"/>
          <w:color w:val="000000"/>
          <w:sz w:val="20"/>
          <w:szCs w:val="20"/>
        </w:rPr>
        <w:t xml:space="preserve">ruiyili@jiangnan.edu.cn and </w:t>
      </w:r>
      <w:r>
        <w:rPr>
          <w:rFonts w:ascii="Times New Roman" w:hAnsi="Times New Roman" w:cs="Times New Roman"/>
          <w:color w:val="000000"/>
          <w:sz w:val="20"/>
          <w:szCs w:val="20"/>
        </w:rPr>
        <w:t>zaijunli@jiangnan.edu.cn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mirrorMargin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jZDYwY2IxYmNkODA1M2I0OWVhMTZiMzE1NWYzNzMifQ=="/>
  </w:docVars>
  <w:rsids>
    <w:rsidRoot w:val="004E5D08"/>
    <w:rsid w:val="BAFADC17"/>
    <w:rsid w:val="00030130"/>
    <w:rsid w:val="000373BD"/>
    <w:rsid w:val="00045B96"/>
    <w:rsid w:val="00050BC6"/>
    <w:rsid w:val="00054CF1"/>
    <w:rsid w:val="000606A2"/>
    <w:rsid w:val="000627C5"/>
    <w:rsid w:val="0007297B"/>
    <w:rsid w:val="00074D62"/>
    <w:rsid w:val="000844B7"/>
    <w:rsid w:val="0009266E"/>
    <w:rsid w:val="000B53FC"/>
    <w:rsid w:val="000C398A"/>
    <w:rsid w:val="000D3803"/>
    <w:rsid w:val="000D6F6B"/>
    <w:rsid w:val="001012B5"/>
    <w:rsid w:val="00127910"/>
    <w:rsid w:val="00133461"/>
    <w:rsid w:val="0013443D"/>
    <w:rsid w:val="00137C10"/>
    <w:rsid w:val="00142204"/>
    <w:rsid w:val="00147D8E"/>
    <w:rsid w:val="00153EAC"/>
    <w:rsid w:val="00154D12"/>
    <w:rsid w:val="00165A31"/>
    <w:rsid w:val="0019114B"/>
    <w:rsid w:val="001A01A6"/>
    <w:rsid w:val="001A66CB"/>
    <w:rsid w:val="001A6929"/>
    <w:rsid w:val="001B33FC"/>
    <w:rsid w:val="001B7227"/>
    <w:rsid w:val="001C568F"/>
    <w:rsid w:val="001C5982"/>
    <w:rsid w:val="001C7F76"/>
    <w:rsid w:val="001D0720"/>
    <w:rsid w:val="001E4AAD"/>
    <w:rsid w:val="001E6240"/>
    <w:rsid w:val="001F6D6B"/>
    <w:rsid w:val="002068AC"/>
    <w:rsid w:val="002216E7"/>
    <w:rsid w:val="002241F4"/>
    <w:rsid w:val="002254BD"/>
    <w:rsid w:val="00226D44"/>
    <w:rsid w:val="00233737"/>
    <w:rsid w:val="002347C8"/>
    <w:rsid w:val="00253C4E"/>
    <w:rsid w:val="002704A9"/>
    <w:rsid w:val="00271BCE"/>
    <w:rsid w:val="00271BD6"/>
    <w:rsid w:val="00276FF3"/>
    <w:rsid w:val="002831E2"/>
    <w:rsid w:val="0028342B"/>
    <w:rsid w:val="002C7550"/>
    <w:rsid w:val="002D04BA"/>
    <w:rsid w:val="002D5D62"/>
    <w:rsid w:val="002E67FB"/>
    <w:rsid w:val="003018EF"/>
    <w:rsid w:val="00317C42"/>
    <w:rsid w:val="00320209"/>
    <w:rsid w:val="00321C49"/>
    <w:rsid w:val="00325044"/>
    <w:rsid w:val="00335AF8"/>
    <w:rsid w:val="003429B5"/>
    <w:rsid w:val="00347951"/>
    <w:rsid w:val="00360F82"/>
    <w:rsid w:val="00373716"/>
    <w:rsid w:val="003763B7"/>
    <w:rsid w:val="00385D19"/>
    <w:rsid w:val="0039395F"/>
    <w:rsid w:val="003A0EC7"/>
    <w:rsid w:val="003A1C49"/>
    <w:rsid w:val="003B5752"/>
    <w:rsid w:val="003B5FD9"/>
    <w:rsid w:val="003C40A2"/>
    <w:rsid w:val="003D4688"/>
    <w:rsid w:val="003D5964"/>
    <w:rsid w:val="003F000A"/>
    <w:rsid w:val="003F4216"/>
    <w:rsid w:val="0040466B"/>
    <w:rsid w:val="00407C0B"/>
    <w:rsid w:val="00415EB9"/>
    <w:rsid w:val="00426FAF"/>
    <w:rsid w:val="00460489"/>
    <w:rsid w:val="00481204"/>
    <w:rsid w:val="004873FB"/>
    <w:rsid w:val="004932EF"/>
    <w:rsid w:val="004A36F9"/>
    <w:rsid w:val="004A40EB"/>
    <w:rsid w:val="004B6A11"/>
    <w:rsid w:val="004B6C10"/>
    <w:rsid w:val="004C5FB7"/>
    <w:rsid w:val="004C7965"/>
    <w:rsid w:val="004D2CD6"/>
    <w:rsid w:val="004D78DF"/>
    <w:rsid w:val="004E20C3"/>
    <w:rsid w:val="004E5D08"/>
    <w:rsid w:val="00506E75"/>
    <w:rsid w:val="00510453"/>
    <w:rsid w:val="005109C4"/>
    <w:rsid w:val="005138B3"/>
    <w:rsid w:val="005175E3"/>
    <w:rsid w:val="00520E84"/>
    <w:rsid w:val="00521E81"/>
    <w:rsid w:val="00525222"/>
    <w:rsid w:val="00526107"/>
    <w:rsid w:val="005379EB"/>
    <w:rsid w:val="005415A3"/>
    <w:rsid w:val="005458CA"/>
    <w:rsid w:val="005520FD"/>
    <w:rsid w:val="00556726"/>
    <w:rsid w:val="00564016"/>
    <w:rsid w:val="00564474"/>
    <w:rsid w:val="00567F1C"/>
    <w:rsid w:val="005706EB"/>
    <w:rsid w:val="00570F0B"/>
    <w:rsid w:val="0057229C"/>
    <w:rsid w:val="005D2B97"/>
    <w:rsid w:val="005D4B8B"/>
    <w:rsid w:val="005E0BE5"/>
    <w:rsid w:val="005F48A8"/>
    <w:rsid w:val="005F6078"/>
    <w:rsid w:val="00601594"/>
    <w:rsid w:val="00603BD7"/>
    <w:rsid w:val="00606AAF"/>
    <w:rsid w:val="0062163B"/>
    <w:rsid w:val="006402A0"/>
    <w:rsid w:val="00647F55"/>
    <w:rsid w:val="0065392B"/>
    <w:rsid w:val="006576D8"/>
    <w:rsid w:val="00663E67"/>
    <w:rsid w:val="00664F90"/>
    <w:rsid w:val="00672269"/>
    <w:rsid w:val="00683DE4"/>
    <w:rsid w:val="006841DB"/>
    <w:rsid w:val="00695973"/>
    <w:rsid w:val="00696B90"/>
    <w:rsid w:val="00697F02"/>
    <w:rsid w:val="006A3C46"/>
    <w:rsid w:val="006A4ED2"/>
    <w:rsid w:val="006D2314"/>
    <w:rsid w:val="006F47F2"/>
    <w:rsid w:val="00702AFF"/>
    <w:rsid w:val="007066C2"/>
    <w:rsid w:val="0070767A"/>
    <w:rsid w:val="0076102B"/>
    <w:rsid w:val="00764E3C"/>
    <w:rsid w:val="00770305"/>
    <w:rsid w:val="00771E5C"/>
    <w:rsid w:val="00774F2F"/>
    <w:rsid w:val="00786F84"/>
    <w:rsid w:val="00794CAE"/>
    <w:rsid w:val="00795D83"/>
    <w:rsid w:val="007B2FA2"/>
    <w:rsid w:val="007B70D2"/>
    <w:rsid w:val="007D099F"/>
    <w:rsid w:val="0081395E"/>
    <w:rsid w:val="00833BDB"/>
    <w:rsid w:val="008551AA"/>
    <w:rsid w:val="00863BE4"/>
    <w:rsid w:val="008653B3"/>
    <w:rsid w:val="008929F9"/>
    <w:rsid w:val="008C76BA"/>
    <w:rsid w:val="008D205C"/>
    <w:rsid w:val="008E36CE"/>
    <w:rsid w:val="008F182E"/>
    <w:rsid w:val="00902CD8"/>
    <w:rsid w:val="00903730"/>
    <w:rsid w:val="009160DA"/>
    <w:rsid w:val="0092318A"/>
    <w:rsid w:val="009432E6"/>
    <w:rsid w:val="00944F4C"/>
    <w:rsid w:val="00973D83"/>
    <w:rsid w:val="0099494C"/>
    <w:rsid w:val="009A0510"/>
    <w:rsid w:val="009A2EE5"/>
    <w:rsid w:val="009B3827"/>
    <w:rsid w:val="009B4A3A"/>
    <w:rsid w:val="009B6FF4"/>
    <w:rsid w:val="009C6FB3"/>
    <w:rsid w:val="009D4709"/>
    <w:rsid w:val="009E1BA2"/>
    <w:rsid w:val="009E1F6C"/>
    <w:rsid w:val="00A04F6C"/>
    <w:rsid w:val="00A05284"/>
    <w:rsid w:val="00A0657A"/>
    <w:rsid w:val="00A0793B"/>
    <w:rsid w:val="00A137A6"/>
    <w:rsid w:val="00A348EB"/>
    <w:rsid w:val="00A406E6"/>
    <w:rsid w:val="00A47C42"/>
    <w:rsid w:val="00A50774"/>
    <w:rsid w:val="00A60329"/>
    <w:rsid w:val="00A60CD4"/>
    <w:rsid w:val="00A629D5"/>
    <w:rsid w:val="00A647BF"/>
    <w:rsid w:val="00A7617E"/>
    <w:rsid w:val="00A85BA6"/>
    <w:rsid w:val="00AB4DBD"/>
    <w:rsid w:val="00AC09F1"/>
    <w:rsid w:val="00AC3C5B"/>
    <w:rsid w:val="00AC694D"/>
    <w:rsid w:val="00AD162C"/>
    <w:rsid w:val="00AE4346"/>
    <w:rsid w:val="00AE531E"/>
    <w:rsid w:val="00AF0E38"/>
    <w:rsid w:val="00B01FE7"/>
    <w:rsid w:val="00B321AB"/>
    <w:rsid w:val="00B4284D"/>
    <w:rsid w:val="00B4342E"/>
    <w:rsid w:val="00B56DAE"/>
    <w:rsid w:val="00B7226E"/>
    <w:rsid w:val="00B73506"/>
    <w:rsid w:val="00B7375A"/>
    <w:rsid w:val="00B861CD"/>
    <w:rsid w:val="00B9540A"/>
    <w:rsid w:val="00BC4820"/>
    <w:rsid w:val="00BC699E"/>
    <w:rsid w:val="00BD030F"/>
    <w:rsid w:val="00BD707C"/>
    <w:rsid w:val="00BD7296"/>
    <w:rsid w:val="00C06385"/>
    <w:rsid w:val="00C25351"/>
    <w:rsid w:val="00C27D9E"/>
    <w:rsid w:val="00C30863"/>
    <w:rsid w:val="00C33F97"/>
    <w:rsid w:val="00C34258"/>
    <w:rsid w:val="00C40DF6"/>
    <w:rsid w:val="00C51A41"/>
    <w:rsid w:val="00C5377A"/>
    <w:rsid w:val="00C72377"/>
    <w:rsid w:val="00C85A80"/>
    <w:rsid w:val="00C87D6F"/>
    <w:rsid w:val="00C925B8"/>
    <w:rsid w:val="00CB4346"/>
    <w:rsid w:val="00CC6F73"/>
    <w:rsid w:val="00CD1FB1"/>
    <w:rsid w:val="00CD65C9"/>
    <w:rsid w:val="00CD6954"/>
    <w:rsid w:val="00CE0CC0"/>
    <w:rsid w:val="00CE3B56"/>
    <w:rsid w:val="00CE6CB1"/>
    <w:rsid w:val="00CF3005"/>
    <w:rsid w:val="00D00494"/>
    <w:rsid w:val="00D17C45"/>
    <w:rsid w:val="00D20E6D"/>
    <w:rsid w:val="00D21A7A"/>
    <w:rsid w:val="00D239F4"/>
    <w:rsid w:val="00D27524"/>
    <w:rsid w:val="00D27B5A"/>
    <w:rsid w:val="00D3392C"/>
    <w:rsid w:val="00D341C9"/>
    <w:rsid w:val="00D3422F"/>
    <w:rsid w:val="00D5016C"/>
    <w:rsid w:val="00D56775"/>
    <w:rsid w:val="00D61239"/>
    <w:rsid w:val="00D7189B"/>
    <w:rsid w:val="00D76051"/>
    <w:rsid w:val="00D8452E"/>
    <w:rsid w:val="00DA130D"/>
    <w:rsid w:val="00DA55F1"/>
    <w:rsid w:val="00DD45B4"/>
    <w:rsid w:val="00DE669B"/>
    <w:rsid w:val="00E00EF7"/>
    <w:rsid w:val="00E11489"/>
    <w:rsid w:val="00E20C79"/>
    <w:rsid w:val="00E228FE"/>
    <w:rsid w:val="00E231BA"/>
    <w:rsid w:val="00E30FDA"/>
    <w:rsid w:val="00E36E56"/>
    <w:rsid w:val="00E665B2"/>
    <w:rsid w:val="00E6711B"/>
    <w:rsid w:val="00E73CB6"/>
    <w:rsid w:val="00E92803"/>
    <w:rsid w:val="00E93862"/>
    <w:rsid w:val="00EB5449"/>
    <w:rsid w:val="00EB5E3C"/>
    <w:rsid w:val="00ED0C56"/>
    <w:rsid w:val="00ED362F"/>
    <w:rsid w:val="00EE77A1"/>
    <w:rsid w:val="00EF40F2"/>
    <w:rsid w:val="00F246F7"/>
    <w:rsid w:val="00F33C48"/>
    <w:rsid w:val="00F4019A"/>
    <w:rsid w:val="00F4064B"/>
    <w:rsid w:val="00F415A7"/>
    <w:rsid w:val="00F47DD9"/>
    <w:rsid w:val="00F5359F"/>
    <w:rsid w:val="00F53712"/>
    <w:rsid w:val="00F9370E"/>
    <w:rsid w:val="00F94B68"/>
    <w:rsid w:val="00F96147"/>
    <w:rsid w:val="00FA2438"/>
    <w:rsid w:val="00FB322C"/>
    <w:rsid w:val="00FB3FB6"/>
    <w:rsid w:val="00FD20E6"/>
    <w:rsid w:val="00FE511D"/>
    <w:rsid w:val="00FE76C3"/>
    <w:rsid w:val="00FF2FAF"/>
    <w:rsid w:val="31E85591"/>
    <w:rsid w:val="6A353D1D"/>
    <w:rsid w:val="6EBB3D87"/>
    <w:rsid w:val="7F7A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555F0B"/>
  <w15:docId w15:val="{809D9E66-6A48-434A-A0F3-67D7560FD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mbria" w:eastAsia="宋体" w:hAnsi="Cambria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note text"/>
    <w:basedOn w:val="a"/>
    <w:link w:val="a8"/>
    <w:uiPriority w:val="99"/>
    <w:unhideWhenUsed/>
    <w:pPr>
      <w:widowControl/>
      <w:snapToGrid w:val="0"/>
      <w:jc w:val="left"/>
    </w:pPr>
    <w:rPr>
      <w:rFonts w:ascii="宋体" w:eastAsia="宋体" w:hAnsi="宋体" w:cs="宋体"/>
      <w:kern w:val="0"/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semiHidden/>
    <w:unhideWhenUsed/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character" w:styleId="ad">
    <w:name w:val="footnote reference"/>
    <w:uiPriority w:val="99"/>
    <w:unhideWhenUsed/>
    <w:rPr>
      <w:vertAlign w:val="superscript"/>
    </w:rPr>
  </w:style>
  <w:style w:type="paragraph" w:customStyle="1" w:styleId="Head1">
    <w:name w:val="Head 1"/>
    <w:basedOn w:val="a"/>
    <w:pPr>
      <w:widowControl/>
      <w:spacing w:beforeLines="50" w:afterLines="50" w:line="480" w:lineRule="auto"/>
      <w:jc w:val="left"/>
    </w:pPr>
    <w:rPr>
      <w:rFonts w:ascii="Calibri" w:eastAsia="MS Mincho" w:hAnsi="Calibri" w:cs="Calibri"/>
      <w:b/>
      <w:bCs/>
      <w:color w:val="000000" w:themeColor="text1"/>
      <w:kern w:val="0"/>
      <w:sz w:val="20"/>
      <w:szCs w:val="20"/>
      <w:lang w:eastAsia="en-GB"/>
    </w:rPr>
  </w:style>
  <w:style w:type="table" w:customStyle="1" w:styleId="41">
    <w:name w:val="无格式表格 41"/>
    <w:basedOn w:val="a1"/>
    <w:uiPriority w:val="44"/>
    <w:rPr>
      <w:szCs w:val="24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8">
    <w:name w:val="脚注文本 字符"/>
    <w:basedOn w:val="a0"/>
    <w:link w:val="a7"/>
    <w:uiPriority w:val="99"/>
    <w:rPr>
      <w:rFonts w:ascii="宋体" w:hAnsi="宋体" w:cs="宋体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正文1"/>
    <w:qFormat/>
    <w:pPr>
      <w:jc w:val="both"/>
    </w:pPr>
    <w:rPr>
      <w:rFonts w:eastAsia="宋体" w:cs="宋体"/>
      <w:kern w:val="2"/>
      <w:sz w:val="21"/>
      <w:szCs w:val="21"/>
    </w:rPr>
  </w:style>
  <w:style w:type="paragraph" w:customStyle="1" w:styleId="RSCB06BHeadingSub-Section">
    <w:name w:val="RSC B06 B Heading (Sub-Section)"/>
    <w:basedOn w:val="a"/>
    <w:link w:val="RSCB06BHeadingSub-SectionChar"/>
    <w:qFormat/>
    <w:pPr>
      <w:widowControl/>
      <w:spacing w:before="100" w:beforeAutospacing="1" w:after="80" w:line="240" w:lineRule="exact"/>
      <w:jc w:val="left"/>
    </w:pPr>
    <w:rPr>
      <w:rFonts w:ascii="等线" w:eastAsia="等线" w:hAnsi="等线" w:cs="Times New Roman"/>
      <w:b/>
      <w:kern w:val="0"/>
      <w:sz w:val="18"/>
      <w:szCs w:val="18"/>
    </w:rPr>
  </w:style>
  <w:style w:type="character" w:customStyle="1" w:styleId="RSCB06BHeadingSub-SectionChar">
    <w:name w:val="RSC B06 B Heading (Sub-Section) Char"/>
    <w:basedOn w:val="a0"/>
    <w:link w:val="RSCB06BHeadingSub-Section"/>
    <w:rPr>
      <w:rFonts w:ascii="等线" w:eastAsia="等线" w:hAnsi="等线"/>
      <w:b/>
      <w:sz w:val="18"/>
      <w:szCs w:val="18"/>
    </w:rPr>
  </w:style>
  <w:style w:type="character" w:customStyle="1" w:styleId="apple-converted-space">
    <w:name w:val="apple-converted-space"/>
    <w:basedOn w:val="a0"/>
  </w:style>
  <w:style w:type="character" w:customStyle="1" w:styleId="10">
    <w:name w:val="标题 1 字符"/>
    <w:basedOn w:val="a0"/>
    <w:link w:val="1"/>
    <w:uiPriority w:val="9"/>
    <w:rPr>
      <w:rFonts w:ascii="Cambria" w:hAnsi="Cambria"/>
      <w:b/>
      <w:bCs/>
      <w:kern w:val="44"/>
      <w:sz w:val="44"/>
      <w:szCs w:val="44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05BHeading">
    <w:name w:val="05 B Heading"/>
    <w:basedOn w:val="a"/>
    <w:link w:val="05BHeadingChar"/>
    <w:uiPriority w:val="99"/>
    <w:qFormat/>
    <w:pPr>
      <w:widowControl/>
      <w:spacing w:before="160" w:after="80" w:line="240" w:lineRule="exact"/>
      <w:jc w:val="left"/>
    </w:pPr>
    <w:rPr>
      <w:rFonts w:ascii="Times New Roman" w:eastAsia="宋体" w:hAnsi="Times New Roman" w:cs="宋体"/>
      <w:b/>
      <w:kern w:val="0"/>
      <w:sz w:val="18"/>
      <w:szCs w:val="18"/>
      <w:lang w:eastAsia="en-US"/>
    </w:rPr>
  </w:style>
  <w:style w:type="character" w:customStyle="1" w:styleId="05BHeadingChar">
    <w:name w:val="05 B Heading Char"/>
    <w:link w:val="05BHeading"/>
    <w:uiPriority w:val="99"/>
    <w:rPr>
      <w:rFonts w:cs="宋体"/>
      <w:b/>
      <w:sz w:val="18"/>
      <w:szCs w:val="18"/>
      <w:lang w:eastAsia="en-US"/>
    </w:rPr>
  </w:style>
  <w:style w:type="table" w:customStyle="1" w:styleId="42">
    <w:name w:val="无格式表格 42"/>
    <w:basedOn w:val="a1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12">
    <w:name w:val="网格型1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a1"/>
    <w:uiPriority w:val="42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6-51">
    <w:name w:val="清单表 6 彩色 - 着色 51"/>
    <w:basedOn w:val="a1"/>
    <w:uiPriority w:val="51"/>
    <w:rPr>
      <w:color w:val="2E74B5" w:themeColor="accent5" w:themeShade="BF"/>
    </w:rPr>
    <w:tblPr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msolistparagraph0">
    <w:name w:val="msolistparagraph"/>
    <w:basedOn w:val="a"/>
    <w:pPr>
      <w:ind w:firstLineChars="200" w:firstLine="420"/>
    </w:pPr>
    <w:rPr>
      <w:rFonts w:ascii="等线" w:eastAsia="等线" w:hAnsi="等线" w:cs="Times New Roman" w:hint="eastAsia"/>
    </w:rPr>
  </w:style>
  <w:style w:type="table" w:customStyle="1" w:styleId="43">
    <w:name w:val="无格式表格 43"/>
    <w:basedOn w:val="a1"/>
    <w:rPr>
      <w:rFonts w:hint="eastAsia"/>
      <w:kern w:val="2"/>
      <w:sz w:val="22"/>
      <w:szCs w:val="24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www.sciencedirect.com/journal/talanta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https://doi.org/10.1007/s00604-024-06542-7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doi.org/10.1016/j.snb.2024.13648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hyperlink" Target="https://doi.org/10.1016/j.talanta.2023.124552" TargetMode="External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s://www.sciencedirect.com/journal/microchemical-journa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1362</Words>
  <Characters>8390</Characters>
  <Application>Microsoft Office Word</Application>
  <DocSecurity>0</DocSecurity>
  <Lines>310</Lines>
  <Paragraphs>221</Paragraphs>
  <ScaleCrop>false</ScaleCrop>
  <Company/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wyq</dc:creator>
  <cp:lastModifiedBy>Ruiyi Li</cp:lastModifiedBy>
  <cp:revision>6</cp:revision>
  <dcterms:created xsi:type="dcterms:W3CDTF">2025-05-17T23:00:00Z</dcterms:created>
  <dcterms:modified xsi:type="dcterms:W3CDTF">2025-06-21T21:42:00Z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3C4D05890FB0438088D7AF829D1BCFC8_12</vt:lpwstr>
  </property>
  <property fmtid="{D5CDD505-2E9C-101B-9397-08002B2CF9AE}" pid="4" name="KSOTemplateDocerSaveRecord">
    <vt:lpwstr>eyJoZGlkIjoiZThhNzI3NDI1NGViNDljMDg0ZDI4NGE5ZGZjZWYxZjIifQ==</vt:lpwstr>
  </property>
</Properties>
</file>