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4C8A55" w14:textId="77777777" w:rsidR="001321DD" w:rsidRDefault="001321DD" w:rsidP="001321DD">
      <w:pPr>
        <w:widowControl w:val="0"/>
        <w:ind w:left="-24" w:right="6163"/>
        <w:jc w:val="both"/>
        <w:rPr>
          <w:b/>
          <w:color w:val="000000"/>
          <w:sz w:val="24"/>
          <w:szCs w:val="24"/>
        </w:rPr>
      </w:pPr>
      <w:r>
        <w:rPr>
          <w:b/>
          <w:color w:val="000000"/>
          <w:sz w:val="24"/>
          <w:szCs w:val="24"/>
        </w:rPr>
        <w:t xml:space="preserve">Supplementary Information </w:t>
      </w:r>
    </w:p>
    <w:p w14:paraId="1D6386E5" w14:textId="77777777" w:rsidR="001321DD" w:rsidRDefault="001321DD" w:rsidP="001321DD">
      <w:pPr>
        <w:widowControl w:val="0"/>
        <w:ind w:right="4881"/>
        <w:jc w:val="both"/>
        <w:rPr>
          <w:i/>
          <w:sz w:val="24"/>
          <w:szCs w:val="24"/>
        </w:rPr>
      </w:pPr>
    </w:p>
    <w:p w14:paraId="0E3AB285" w14:textId="77777777" w:rsidR="001321DD" w:rsidRDefault="001321DD" w:rsidP="001321DD">
      <w:pPr>
        <w:widowControl w:val="0"/>
        <w:ind w:right="4881"/>
        <w:jc w:val="both"/>
        <w:rPr>
          <w:sz w:val="24"/>
          <w:szCs w:val="24"/>
        </w:rPr>
      </w:pPr>
      <w:r>
        <w:rPr>
          <w:sz w:val="24"/>
          <w:szCs w:val="24"/>
        </w:rPr>
        <w:t>1. Supplementary Table</w:t>
      </w:r>
    </w:p>
    <w:p w14:paraId="7CDF5C0C" w14:textId="77777777" w:rsidR="001321DD" w:rsidRDefault="001321DD" w:rsidP="001321DD">
      <w:pPr>
        <w:widowControl w:val="0"/>
        <w:ind w:left="-24" w:right="4881"/>
        <w:jc w:val="both"/>
        <w:rPr>
          <w:sz w:val="24"/>
          <w:szCs w:val="24"/>
        </w:rPr>
      </w:pPr>
    </w:p>
    <w:p w14:paraId="1FDB405B" w14:textId="77777777" w:rsidR="001321DD" w:rsidRDefault="001321DD" w:rsidP="001321DD">
      <w:pPr>
        <w:widowControl w:val="0"/>
        <w:ind w:left="-24" w:right="35"/>
        <w:jc w:val="both"/>
        <w:rPr>
          <w:color w:val="FF0000"/>
          <w:sz w:val="24"/>
          <w:szCs w:val="24"/>
        </w:rPr>
      </w:pPr>
      <w:r>
        <w:rPr>
          <w:b/>
          <w:sz w:val="24"/>
          <w:szCs w:val="24"/>
        </w:rPr>
        <w:t>Supplementary Table 1.</w:t>
      </w:r>
      <w:r>
        <w:rPr>
          <w:sz w:val="24"/>
          <w:szCs w:val="24"/>
        </w:rPr>
        <w:t xml:space="preserve"> Morphological state of the main preserved features in </w:t>
      </w:r>
      <w:r>
        <w:rPr>
          <w:i/>
          <w:sz w:val="24"/>
          <w:szCs w:val="24"/>
        </w:rPr>
        <w:t xml:space="preserve">S. </w:t>
      </w:r>
      <w:proofErr w:type="spellStart"/>
      <w:r>
        <w:rPr>
          <w:i/>
          <w:sz w:val="24"/>
          <w:szCs w:val="24"/>
        </w:rPr>
        <w:t>tchadensis</w:t>
      </w:r>
      <w:proofErr w:type="spellEnd"/>
      <w:r>
        <w:rPr>
          <w:sz w:val="24"/>
          <w:szCs w:val="24"/>
        </w:rPr>
        <w:t xml:space="preserve"> femur and ulnae and their comparative in the extant and extinct </w:t>
      </w:r>
      <w:proofErr w:type="spellStart"/>
      <w:r>
        <w:rPr>
          <w:sz w:val="24"/>
          <w:szCs w:val="24"/>
        </w:rPr>
        <w:t>homininae</w:t>
      </w:r>
      <w:proofErr w:type="spellEnd"/>
      <w:r>
        <w:rPr>
          <w:sz w:val="24"/>
          <w:szCs w:val="24"/>
        </w:rPr>
        <w:t>.</w:t>
      </w:r>
    </w:p>
    <w:p w14:paraId="3940B09C" w14:textId="77777777" w:rsidR="001321DD" w:rsidRDefault="001321DD" w:rsidP="001321DD">
      <w:pPr>
        <w:widowControl w:val="0"/>
        <w:ind w:left="-24" w:right="4881"/>
        <w:jc w:val="both"/>
        <w:rPr>
          <w:color w:val="FF0000"/>
          <w:sz w:val="24"/>
          <w:szCs w:val="24"/>
        </w:rPr>
      </w:pPr>
    </w:p>
    <w:p w14:paraId="01C42A71" w14:textId="77777777" w:rsidR="001321DD" w:rsidRDefault="001321DD" w:rsidP="001321DD">
      <w:pPr>
        <w:widowControl w:val="0"/>
        <w:ind w:left="-24" w:right="4881"/>
        <w:jc w:val="both"/>
        <w:rPr>
          <w:sz w:val="24"/>
          <w:szCs w:val="24"/>
        </w:rPr>
      </w:pPr>
      <w:r>
        <w:rPr>
          <w:sz w:val="24"/>
          <w:szCs w:val="24"/>
        </w:rPr>
        <w:t>2. Supplementary Notes</w:t>
      </w:r>
    </w:p>
    <w:p w14:paraId="5D9CD564" w14:textId="77777777" w:rsidR="001321DD" w:rsidRDefault="001321DD" w:rsidP="001321DD">
      <w:pPr>
        <w:widowControl w:val="0"/>
        <w:ind w:left="-24" w:right="5"/>
        <w:jc w:val="both"/>
        <w:rPr>
          <w:i/>
          <w:sz w:val="24"/>
          <w:szCs w:val="24"/>
        </w:rPr>
      </w:pPr>
    </w:p>
    <w:p w14:paraId="64B33AD7" w14:textId="77777777" w:rsidR="001321DD" w:rsidRDefault="001321DD" w:rsidP="001321DD">
      <w:pPr>
        <w:widowControl w:val="0"/>
        <w:ind w:left="-24" w:right="5"/>
        <w:jc w:val="both"/>
        <w:rPr>
          <w:b/>
          <w:color w:val="000000"/>
          <w:sz w:val="24"/>
          <w:szCs w:val="24"/>
        </w:rPr>
      </w:pPr>
      <w:r>
        <w:rPr>
          <w:b/>
          <w:sz w:val="24"/>
          <w:szCs w:val="24"/>
        </w:rPr>
        <w:t xml:space="preserve">1. </w:t>
      </w:r>
      <w:r>
        <w:rPr>
          <w:b/>
          <w:color w:val="000000"/>
          <w:sz w:val="24"/>
          <w:szCs w:val="24"/>
        </w:rPr>
        <w:t xml:space="preserve">Detailed descriptions of the </w:t>
      </w:r>
      <w:r>
        <w:rPr>
          <w:b/>
          <w:sz w:val="24"/>
          <w:szCs w:val="24"/>
        </w:rPr>
        <w:t>TM</w:t>
      </w:r>
      <w:r>
        <w:rPr>
          <w:b/>
          <w:color w:val="000000"/>
          <w:sz w:val="24"/>
          <w:szCs w:val="24"/>
        </w:rPr>
        <w:t xml:space="preserve"> 266 hominin </w:t>
      </w:r>
      <w:r>
        <w:rPr>
          <w:b/>
          <w:sz w:val="24"/>
          <w:szCs w:val="24"/>
        </w:rPr>
        <w:t>postcranial material</w:t>
      </w:r>
    </w:p>
    <w:p w14:paraId="4AE52EF5" w14:textId="77777777" w:rsidR="001321DD" w:rsidRDefault="001321DD" w:rsidP="001321DD">
      <w:pPr>
        <w:widowControl w:val="0"/>
        <w:ind w:left="-24" w:right="4881"/>
        <w:jc w:val="both"/>
        <w:rPr>
          <w:i/>
          <w:sz w:val="24"/>
          <w:szCs w:val="24"/>
        </w:rPr>
      </w:pPr>
    </w:p>
    <w:p w14:paraId="55475993" w14:textId="77777777" w:rsidR="001321DD" w:rsidRDefault="001321DD" w:rsidP="001321DD">
      <w:pPr>
        <w:widowControl w:val="0"/>
        <w:ind w:left="-24" w:right="4881"/>
        <w:jc w:val="both"/>
        <w:rPr>
          <w:b/>
          <w:i/>
          <w:color w:val="000000"/>
          <w:sz w:val="24"/>
          <w:szCs w:val="24"/>
        </w:rPr>
      </w:pPr>
      <w:r>
        <w:rPr>
          <w:b/>
          <w:i/>
          <w:color w:val="000000"/>
          <w:sz w:val="24"/>
          <w:szCs w:val="24"/>
        </w:rPr>
        <w:t xml:space="preserve">Left femur (TM 266-01-063) </w:t>
      </w:r>
    </w:p>
    <w:p w14:paraId="2D443DD0" w14:textId="77777777" w:rsidR="001321DD" w:rsidRDefault="001321DD" w:rsidP="001321DD">
      <w:pPr>
        <w:widowControl w:val="0"/>
        <w:ind w:left="-24" w:right="-28"/>
        <w:jc w:val="both"/>
        <w:rPr>
          <w:sz w:val="24"/>
          <w:szCs w:val="24"/>
        </w:rPr>
      </w:pPr>
    </w:p>
    <w:p w14:paraId="2E040D23" w14:textId="77777777" w:rsidR="001321DD" w:rsidRDefault="001321DD" w:rsidP="001321DD">
      <w:pPr>
        <w:widowControl w:val="0"/>
        <w:ind w:left="-24" w:right="-28"/>
        <w:jc w:val="both"/>
        <w:rPr>
          <w:color w:val="000000"/>
          <w:sz w:val="24"/>
          <w:szCs w:val="24"/>
        </w:rPr>
      </w:pPr>
      <w:r>
        <w:rPr>
          <w:color w:val="000000"/>
          <w:sz w:val="24"/>
          <w:szCs w:val="24"/>
        </w:rPr>
        <w:t>TM 266-01-063 is a left femoral shaft of about 242 mm, lacking the distal epiphysis and its adjoining metaphyseal region, and most of the proximal epiphysis. The femoral shaft is curved antero-posteriorly. The femoral head is missing, the neck being broken about 15 mm above the margin, which delineates the lesser trochanter proximally. In proximal view, the neck is compressed antero-posteriorly. The medial border of the neck is oriented proximally, on</w:t>
      </w:r>
      <w:r>
        <w:rPr>
          <w:sz w:val="24"/>
          <w:szCs w:val="24"/>
        </w:rPr>
        <w:t xml:space="preserve">ly the </w:t>
      </w:r>
      <w:proofErr w:type="spellStart"/>
      <w:r>
        <w:rPr>
          <w:sz w:val="24"/>
          <w:szCs w:val="24"/>
        </w:rPr>
        <w:t>medialmost</w:t>
      </w:r>
      <w:proofErr w:type="spellEnd"/>
      <w:r>
        <w:rPr>
          <w:sz w:val="24"/>
          <w:szCs w:val="24"/>
        </w:rPr>
        <w:t xml:space="preserve"> portion of the intertrochanteric line is visible</w:t>
      </w:r>
      <w:r>
        <w:rPr>
          <w:color w:val="000000"/>
          <w:sz w:val="24"/>
          <w:szCs w:val="24"/>
        </w:rPr>
        <w:t>. Lateral to the neck, the greater trochanter and the trochanteric fossa are lacking. The preserved portion of the posterior face of the neck presents a slight depression, which cou</w:t>
      </w:r>
      <w:r>
        <w:rPr>
          <w:sz w:val="24"/>
          <w:szCs w:val="24"/>
        </w:rPr>
        <w:t>ld be evidence of the presence of the</w:t>
      </w:r>
      <w:r>
        <w:rPr>
          <w:color w:val="000000"/>
          <w:sz w:val="24"/>
          <w:szCs w:val="24"/>
        </w:rPr>
        <w:t xml:space="preserve"> </w:t>
      </w:r>
      <w:r>
        <w:rPr>
          <w:i/>
          <w:color w:val="000000"/>
          <w:sz w:val="24"/>
          <w:szCs w:val="24"/>
        </w:rPr>
        <w:t>externus obturator</w:t>
      </w:r>
      <w:r>
        <w:rPr>
          <w:color w:val="000000"/>
          <w:sz w:val="24"/>
          <w:szCs w:val="24"/>
        </w:rPr>
        <w:t xml:space="preserve">. The lesser trochanter preserves only its basal surface bordered by a prominent margin. It has a raindrop shape, of 25.3 mm long and 16.2 mm wide. Preserved </w:t>
      </w:r>
      <w:proofErr w:type="gramStart"/>
      <w:r>
        <w:rPr>
          <w:color w:val="000000"/>
          <w:sz w:val="24"/>
          <w:szCs w:val="24"/>
        </w:rPr>
        <w:t>evidences</w:t>
      </w:r>
      <w:proofErr w:type="gramEnd"/>
      <w:r>
        <w:rPr>
          <w:color w:val="000000"/>
          <w:sz w:val="24"/>
          <w:szCs w:val="24"/>
        </w:rPr>
        <w:t xml:space="preserve"> suggest that the lesser trochanter was substantially developed albeit there is no definitive indication on its overall orientation. The lesser trochanter connects to the neck with a slightly concave surface. There is no evidence of an intertrochanteric crest. A </w:t>
      </w:r>
      <w:proofErr w:type="spellStart"/>
      <w:r>
        <w:rPr>
          <w:color w:val="000000"/>
          <w:sz w:val="24"/>
          <w:szCs w:val="24"/>
        </w:rPr>
        <w:t>linea</w:t>
      </w:r>
      <w:proofErr w:type="spellEnd"/>
      <w:r>
        <w:rPr>
          <w:color w:val="000000"/>
          <w:sz w:val="24"/>
          <w:szCs w:val="24"/>
        </w:rPr>
        <w:t xml:space="preserve"> </w:t>
      </w:r>
      <w:proofErr w:type="spellStart"/>
      <w:r>
        <w:rPr>
          <w:color w:val="000000"/>
          <w:sz w:val="24"/>
          <w:szCs w:val="24"/>
        </w:rPr>
        <w:t>pectinea</w:t>
      </w:r>
      <w:proofErr w:type="spellEnd"/>
      <w:r>
        <w:rPr>
          <w:color w:val="000000"/>
          <w:sz w:val="24"/>
          <w:szCs w:val="24"/>
        </w:rPr>
        <w:t xml:space="preserve">, expressed by a bulge, arise from the distal margin that delineates the lesser trochanter. There is no evidence of a </w:t>
      </w:r>
      <w:proofErr w:type="spellStart"/>
      <w:r>
        <w:rPr>
          <w:color w:val="000000"/>
          <w:sz w:val="24"/>
          <w:szCs w:val="24"/>
        </w:rPr>
        <w:t>hypotrochanteric</w:t>
      </w:r>
      <w:proofErr w:type="spellEnd"/>
      <w:r>
        <w:rPr>
          <w:color w:val="000000"/>
          <w:sz w:val="24"/>
          <w:szCs w:val="24"/>
        </w:rPr>
        <w:t xml:space="preserve"> fossa or lateral pilaster. There is no evidence of superomedial and inferolateral fossae. Just distal to the lesser trochanter location, the diameter of the shaft is 24.0 mm antero-posteriorly and 32.0 mm medio-laterally illustrating subtrochanteric </w:t>
      </w:r>
      <w:proofErr w:type="spellStart"/>
      <w:r>
        <w:rPr>
          <w:color w:val="000000"/>
          <w:sz w:val="24"/>
          <w:szCs w:val="24"/>
        </w:rPr>
        <w:t>platymery</w:t>
      </w:r>
      <w:proofErr w:type="spellEnd"/>
      <w:r>
        <w:rPr>
          <w:color w:val="000000"/>
          <w:sz w:val="24"/>
          <w:szCs w:val="24"/>
        </w:rPr>
        <w:t xml:space="preserve">. </w:t>
      </w:r>
    </w:p>
    <w:p w14:paraId="6C78B082" w14:textId="77777777" w:rsidR="001321DD" w:rsidRDefault="001321DD" w:rsidP="001321DD">
      <w:pPr>
        <w:widowControl w:val="0"/>
        <w:ind w:left="-24" w:right="-28"/>
        <w:jc w:val="both"/>
        <w:rPr>
          <w:color w:val="000000"/>
          <w:sz w:val="24"/>
          <w:szCs w:val="24"/>
        </w:rPr>
      </w:pPr>
      <w:r>
        <w:rPr>
          <w:color w:val="000000"/>
          <w:sz w:val="24"/>
          <w:szCs w:val="24"/>
        </w:rPr>
        <w:t xml:space="preserve">Lateral to the lesser trochanter level, the insertion of the </w:t>
      </w:r>
      <w:r>
        <w:rPr>
          <w:i/>
          <w:color w:val="000000"/>
          <w:sz w:val="24"/>
          <w:szCs w:val="24"/>
        </w:rPr>
        <w:t xml:space="preserve">gluteus maximus </w:t>
      </w:r>
      <w:r>
        <w:rPr>
          <w:color w:val="000000"/>
          <w:sz w:val="24"/>
          <w:szCs w:val="24"/>
        </w:rPr>
        <w:t xml:space="preserve">left a small but sharp relief, indicative of the third trochanter, continuing into a rugose surface distally. This rugose surface blends with the lateral component of the </w:t>
      </w:r>
      <w:proofErr w:type="spellStart"/>
      <w:r>
        <w:rPr>
          <w:i/>
          <w:color w:val="000000"/>
          <w:sz w:val="24"/>
          <w:szCs w:val="24"/>
        </w:rPr>
        <w:t>linea</w:t>
      </w:r>
      <w:proofErr w:type="spellEnd"/>
      <w:r>
        <w:rPr>
          <w:i/>
          <w:color w:val="000000"/>
          <w:sz w:val="24"/>
          <w:szCs w:val="24"/>
        </w:rPr>
        <w:t xml:space="preserve"> aspera </w:t>
      </w:r>
      <w:r>
        <w:rPr>
          <w:color w:val="000000"/>
          <w:sz w:val="24"/>
          <w:szCs w:val="24"/>
        </w:rPr>
        <w:t xml:space="preserve">distally. Medially to the lesser trochanter runs the </w:t>
      </w:r>
      <w:proofErr w:type="spellStart"/>
      <w:r>
        <w:rPr>
          <w:color w:val="000000"/>
          <w:sz w:val="24"/>
          <w:szCs w:val="24"/>
        </w:rPr>
        <w:t>spirale</w:t>
      </w:r>
      <w:proofErr w:type="spellEnd"/>
      <w:r>
        <w:rPr>
          <w:color w:val="000000"/>
          <w:sz w:val="24"/>
          <w:szCs w:val="24"/>
        </w:rPr>
        <w:t xml:space="preserve"> line for the insertion of the </w:t>
      </w:r>
      <w:r>
        <w:rPr>
          <w:i/>
          <w:color w:val="000000"/>
          <w:sz w:val="24"/>
          <w:szCs w:val="24"/>
        </w:rPr>
        <w:t>vastus medialis</w:t>
      </w:r>
      <w:r>
        <w:rPr>
          <w:color w:val="000000"/>
          <w:sz w:val="24"/>
          <w:szCs w:val="24"/>
        </w:rPr>
        <w:t xml:space="preserve">. It consists in a straight line, which confounds distally with the medial border of the </w:t>
      </w:r>
      <w:proofErr w:type="spellStart"/>
      <w:r>
        <w:rPr>
          <w:color w:val="000000"/>
          <w:sz w:val="24"/>
          <w:szCs w:val="24"/>
        </w:rPr>
        <w:t>spirale</w:t>
      </w:r>
      <w:proofErr w:type="spellEnd"/>
      <w:r>
        <w:rPr>
          <w:color w:val="000000"/>
          <w:sz w:val="24"/>
          <w:szCs w:val="24"/>
        </w:rPr>
        <w:t xml:space="preserve"> line. The </w:t>
      </w:r>
      <w:proofErr w:type="spellStart"/>
      <w:r>
        <w:rPr>
          <w:color w:val="000000"/>
          <w:sz w:val="24"/>
          <w:szCs w:val="24"/>
        </w:rPr>
        <w:t>linea</w:t>
      </w:r>
      <w:proofErr w:type="spellEnd"/>
      <w:r>
        <w:rPr>
          <w:color w:val="000000"/>
          <w:sz w:val="24"/>
          <w:szCs w:val="24"/>
        </w:rPr>
        <w:t xml:space="preserve"> </w:t>
      </w:r>
      <w:proofErr w:type="spellStart"/>
      <w:r>
        <w:rPr>
          <w:color w:val="000000"/>
          <w:sz w:val="24"/>
          <w:szCs w:val="24"/>
        </w:rPr>
        <w:t>spirale</w:t>
      </w:r>
      <w:proofErr w:type="spellEnd"/>
      <w:r>
        <w:rPr>
          <w:color w:val="000000"/>
          <w:sz w:val="24"/>
          <w:szCs w:val="24"/>
        </w:rPr>
        <w:t xml:space="preserve"> delimits posteriorly a medial shallow fossa. </w:t>
      </w:r>
    </w:p>
    <w:p w14:paraId="6D185F4A" w14:textId="77777777" w:rsidR="001321DD" w:rsidRDefault="001321DD" w:rsidP="001321DD">
      <w:pPr>
        <w:widowControl w:val="0"/>
        <w:ind w:left="-24" w:right="-28"/>
        <w:jc w:val="both"/>
        <w:rPr>
          <w:color w:val="000000"/>
          <w:sz w:val="24"/>
          <w:szCs w:val="24"/>
        </w:rPr>
      </w:pPr>
      <w:r>
        <w:rPr>
          <w:color w:val="000000"/>
          <w:sz w:val="24"/>
          <w:szCs w:val="24"/>
        </w:rPr>
        <w:t xml:space="preserve">The lateral border of the </w:t>
      </w:r>
      <w:proofErr w:type="spellStart"/>
      <w:r>
        <w:rPr>
          <w:i/>
          <w:color w:val="000000"/>
          <w:sz w:val="24"/>
          <w:szCs w:val="24"/>
        </w:rPr>
        <w:t>linea</w:t>
      </w:r>
      <w:proofErr w:type="spellEnd"/>
      <w:r>
        <w:rPr>
          <w:i/>
          <w:color w:val="000000"/>
          <w:sz w:val="24"/>
          <w:szCs w:val="24"/>
        </w:rPr>
        <w:t xml:space="preserve"> aspera </w:t>
      </w:r>
      <w:r>
        <w:rPr>
          <w:color w:val="000000"/>
          <w:sz w:val="24"/>
          <w:szCs w:val="24"/>
        </w:rPr>
        <w:t xml:space="preserve">forms a well-marked, sigmoid, and continuous line from the gluteal ridge to approximately 37.5 mm to the distalmost end of the shaft. It curves medially at about 20 mm distal to the nutrient foramen. The medial and lateral borders of the </w:t>
      </w:r>
      <w:proofErr w:type="spellStart"/>
      <w:r>
        <w:rPr>
          <w:i/>
          <w:color w:val="000000"/>
          <w:sz w:val="24"/>
          <w:szCs w:val="24"/>
        </w:rPr>
        <w:t>linea</w:t>
      </w:r>
      <w:proofErr w:type="spellEnd"/>
      <w:r>
        <w:rPr>
          <w:i/>
          <w:color w:val="000000"/>
          <w:sz w:val="24"/>
          <w:szCs w:val="24"/>
        </w:rPr>
        <w:t xml:space="preserve"> aspera </w:t>
      </w:r>
      <w:r>
        <w:rPr>
          <w:color w:val="000000"/>
          <w:sz w:val="24"/>
          <w:szCs w:val="24"/>
        </w:rPr>
        <w:t xml:space="preserve">do not form a pilaster. The distance between medial and lateral borders of the </w:t>
      </w:r>
      <w:proofErr w:type="spellStart"/>
      <w:r>
        <w:rPr>
          <w:i/>
          <w:color w:val="000000"/>
          <w:sz w:val="24"/>
          <w:szCs w:val="24"/>
        </w:rPr>
        <w:t>linea</w:t>
      </w:r>
      <w:proofErr w:type="spellEnd"/>
      <w:r>
        <w:rPr>
          <w:i/>
          <w:color w:val="000000"/>
          <w:sz w:val="24"/>
          <w:szCs w:val="24"/>
        </w:rPr>
        <w:t xml:space="preserve"> aspera </w:t>
      </w:r>
      <w:r>
        <w:rPr>
          <w:color w:val="000000"/>
          <w:sz w:val="24"/>
          <w:szCs w:val="24"/>
        </w:rPr>
        <w:t xml:space="preserve">is 12.2 mm in its minimum. The anterior face of the proximal end bears a large slightly concave surface, with no discernable relief except a restricted rugose surface located on the proximal border. There is </w:t>
      </w:r>
      <w:r>
        <w:rPr>
          <w:sz w:val="24"/>
          <w:szCs w:val="24"/>
        </w:rPr>
        <w:t>no</w:t>
      </w:r>
      <w:r>
        <w:rPr>
          <w:color w:val="000000"/>
          <w:sz w:val="24"/>
          <w:szCs w:val="24"/>
        </w:rPr>
        <w:t xml:space="preserve"> evidence of the femoral tubercle. </w:t>
      </w:r>
    </w:p>
    <w:p w14:paraId="5B0C81A8" w14:textId="77777777" w:rsidR="001321DD" w:rsidRDefault="001321DD" w:rsidP="001321DD">
      <w:pPr>
        <w:widowControl w:val="0"/>
        <w:ind w:left="-24" w:right="-28"/>
        <w:jc w:val="both"/>
        <w:rPr>
          <w:color w:val="000000"/>
          <w:sz w:val="24"/>
          <w:szCs w:val="24"/>
        </w:rPr>
      </w:pPr>
      <w:r>
        <w:rPr>
          <w:color w:val="000000"/>
          <w:sz w:val="24"/>
          <w:szCs w:val="24"/>
        </w:rPr>
        <w:t xml:space="preserve">Enlargement of the diaphysis start soon after mid-shaft. Distally, there is no anatomical evidence to estimate the location of the metaphyseal region. The medial and lateral borders of the </w:t>
      </w:r>
      <w:proofErr w:type="spellStart"/>
      <w:r>
        <w:rPr>
          <w:i/>
          <w:color w:val="000000"/>
          <w:sz w:val="24"/>
          <w:szCs w:val="24"/>
        </w:rPr>
        <w:t>linea</w:t>
      </w:r>
      <w:proofErr w:type="spellEnd"/>
      <w:r>
        <w:rPr>
          <w:i/>
          <w:color w:val="000000"/>
          <w:sz w:val="24"/>
          <w:szCs w:val="24"/>
        </w:rPr>
        <w:t xml:space="preserve"> aspera </w:t>
      </w:r>
      <w:r>
        <w:rPr>
          <w:color w:val="000000"/>
          <w:sz w:val="24"/>
          <w:szCs w:val="24"/>
        </w:rPr>
        <w:t xml:space="preserve">diverge at about the distal fifth of the shaft length. In anterior view, no patellar fossa is visible. No reliable indicator allows estimating the length of the missing distal portion of the femur. </w:t>
      </w:r>
    </w:p>
    <w:p w14:paraId="09D6F9E7" w14:textId="77777777" w:rsidR="001321DD" w:rsidRDefault="001321DD" w:rsidP="001321DD">
      <w:pPr>
        <w:widowControl w:val="0"/>
        <w:ind w:left="-24" w:right="-28"/>
        <w:jc w:val="both"/>
        <w:rPr>
          <w:b/>
          <w:sz w:val="24"/>
          <w:szCs w:val="24"/>
        </w:rPr>
      </w:pPr>
    </w:p>
    <w:p w14:paraId="173DCDAA" w14:textId="77777777" w:rsidR="001321DD" w:rsidRDefault="001321DD" w:rsidP="001321DD">
      <w:pPr>
        <w:widowControl w:val="0"/>
        <w:ind w:left="-24" w:right="-28"/>
        <w:jc w:val="both"/>
        <w:rPr>
          <w:color w:val="000000"/>
          <w:sz w:val="24"/>
          <w:szCs w:val="24"/>
        </w:rPr>
      </w:pPr>
      <w:r>
        <w:rPr>
          <w:color w:val="000000"/>
          <w:sz w:val="24"/>
          <w:szCs w:val="24"/>
          <w:u w:val="single"/>
        </w:rPr>
        <w:t>Inner structure</w:t>
      </w:r>
      <w:r>
        <w:rPr>
          <w:color w:val="000000"/>
          <w:sz w:val="24"/>
          <w:szCs w:val="24"/>
        </w:rPr>
        <w:t xml:space="preserve">: The medullar cavity is almost completely filled by sediment and no trabecular network is preserved except at proximal end with limited </w:t>
      </w:r>
      <w:proofErr w:type="gramStart"/>
      <w:r>
        <w:rPr>
          <w:color w:val="000000"/>
          <w:sz w:val="24"/>
          <w:szCs w:val="24"/>
        </w:rPr>
        <w:t>evidences</w:t>
      </w:r>
      <w:proofErr w:type="gramEnd"/>
      <w:r>
        <w:rPr>
          <w:color w:val="000000"/>
          <w:sz w:val="24"/>
          <w:szCs w:val="24"/>
        </w:rPr>
        <w:t xml:space="preserve"> close to the cortical bone. At this level, the lesser trochanter is strengthened internally by a spur of bone, also called </w:t>
      </w:r>
      <w:r>
        <w:rPr>
          <w:i/>
          <w:color w:val="000000"/>
          <w:sz w:val="24"/>
          <w:szCs w:val="24"/>
        </w:rPr>
        <w:t xml:space="preserve">calcar </w:t>
      </w:r>
      <w:proofErr w:type="spellStart"/>
      <w:r>
        <w:rPr>
          <w:i/>
          <w:color w:val="000000"/>
          <w:sz w:val="24"/>
          <w:szCs w:val="24"/>
        </w:rPr>
        <w:t>femorale</w:t>
      </w:r>
      <w:proofErr w:type="spellEnd"/>
      <w:r>
        <w:rPr>
          <w:color w:val="000000"/>
          <w:sz w:val="24"/>
          <w:szCs w:val="24"/>
        </w:rPr>
        <w:t xml:space="preserve">, projecting out superiorly from the cortex into central cancellous bone. Precise location of the midshaft is uncertain, but there is a distinct nutrient foramen located posteriorly at about the maximum of curvature of the shaft. Overall preservation of the bone and </w:t>
      </w:r>
      <w:proofErr w:type="spellStart"/>
      <w:r>
        <w:rPr>
          <w:color w:val="000000"/>
          <w:sz w:val="24"/>
          <w:szCs w:val="24"/>
        </w:rPr>
        <w:t>taphonomic</w:t>
      </w:r>
      <w:proofErr w:type="spellEnd"/>
      <w:r>
        <w:rPr>
          <w:color w:val="000000"/>
          <w:sz w:val="24"/>
          <w:szCs w:val="24"/>
        </w:rPr>
        <w:t xml:space="preserve"> aspects prevents from having exact estimation of the average cortical thickness. Nevertheless, linear measurements obtained from micro-CT slice orthogonal to the long axis of the shaft, at nutrient foramen show thickest cortical bone laterally and thinnest anteriorly. The outline of the bone at the same level of the shaft is subcircular with a posterior flattened portion corresponding to the space between the lateral and medial margins of the </w:t>
      </w:r>
      <w:proofErr w:type="spellStart"/>
      <w:r>
        <w:rPr>
          <w:i/>
          <w:color w:val="000000"/>
          <w:sz w:val="24"/>
          <w:szCs w:val="24"/>
        </w:rPr>
        <w:t>linea</w:t>
      </w:r>
      <w:proofErr w:type="spellEnd"/>
      <w:r>
        <w:rPr>
          <w:i/>
          <w:color w:val="000000"/>
          <w:sz w:val="24"/>
          <w:szCs w:val="24"/>
        </w:rPr>
        <w:t xml:space="preserve"> aspera </w:t>
      </w:r>
      <w:r>
        <w:rPr>
          <w:color w:val="000000"/>
          <w:sz w:val="24"/>
          <w:szCs w:val="24"/>
        </w:rPr>
        <w:t xml:space="preserve">(diameters are 27.6 mm mediolaterally and 25.3 mm </w:t>
      </w:r>
      <w:proofErr w:type="spellStart"/>
      <w:r>
        <w:rPr>
          <w:color w:val="000000"/>
          <w:sz w:val="24"/>
          <w:szCs w:val="24"/>
        </w:rPr>
        <w:t>anteroposteriorly</w:t>
      </w:r>
      <w:proofErr w:type="spellEnd"/>
      <w:r>
        <w:rPr>
          <w:color w:val="000000"/>
          <w:sz w:val="24"/>
          <w:szCs w:val="24"/>
        </w:rPr>
        <w:t xml:space="preserve">). </w:t>
      </w:r>
    </w:p>
    <w:p w14:paraId="3907B5D2" w14:textId="77777777" w:rsidR="001321DD" w:rsidRDefault="001321DD" w:rsidP="001321DD">
      <w:pPr>
        <w:widowControl w:val="0"/>
        <w:ind w:left="-24" w:right="6278"/>
        <w:jc w:val="both"/>
        <w:rPr>
          <w:i/>
          <w:sz w:val="24"/>
          <w:szCs w:val="24"/>
        </w:rPr>
      </w:pPr>
    </w:p>
    <w:p w14:paraId="77D70291" w14:textId="77777777" w:rsidR="001321DD" w:rsidRDefault="001321DD" w:rsidP="001321DD">
      <w:pPr>
        <w:widowControl w:val="0"/>
        <w:ind w:left="-24" w:right="6278"/>
        <w:jc w:val="both"/>
        <w:rPr>
          <w:color w:val="000000"/>
          <w:sz w:val="24"/>
          <w:szCs w:val="24"/>
        </w:rPr>
      </w:pPr>
      <w:r>
        <w:rPr>
          <w:b/>
          <w:i/>
          <w:color w:val="000000"/>
          <w:sz w:val="24"/>
          <w:szCs w:val="24"/>
        </w:rPr>
        <w:t xml:space="preserve">Right ulna </w:t>
      </w:r>
      <w:r>
        <w:rPr>
          <w:b/>
          <w:color w:val="000000"/>
          <w:sz w:val="24"/>
          <w:szCs w:val="24"/>
        </w:rPr>
        <w:t>(TM 266-01-358)</w:t>
      </w:r>
      <w:r>
        <w:rPr>
          <w:color w:val="000000"/>
          <w:sz w:val="24"/>
          <w:szCs w:val="24"/>
        </w:rPr>
        <w:t xml:space="preserve"> </w:t>
      </w:r>
    </w:p>
    <w:p w14:paraId="0E8A673F" w14:textId="77777777" w:rsidR="001321DD" w:rsidRDefault="001321DD" w:rsidP="001321DD">
      <w:pPr>
        <w:widowControl w:val="0"/>
        <w:ind w:left="-24" w:right="-23"/>
        <w:jc w:val="both"/>
        <w:rPr>
          <w:sz w:val="24"/>
          <w:szCs w:val="24"/>
        </w:rPr>
      </w:pPr>
    </w:p>
    <w:p w14:paraId="6EA78505" w14:textId="77777777" w:rsidR="001321DD" w:rsidRDefault="001321DD" w:rsidP="001321DD">
      <w:pPr>
        <w:widowControl w:val="0"/>
        <w:ind w:left="-24" w:right="-23"/>
        <w:jc w:val="both"/>
        <w:rPr>
          <w:color w:val="000000"/>
          <w:sz w:val="24"/>
          <w:szCs w:val="24"/>
        </w:rPr>
      </w:pPr>
      <w:r>
        <w:rPr>
          <w:color w:val="000000"/>
          <w:sz w:val="24"/>
          <w:szCs w:val="24"/>
        </w:rPr>
        <w:t xml:space="preserve">It is a half proximal portion of a right ulna, of about 155 mm, preserving most of the proximal epiphysis. The trochlear notch is almost complete but the </w:t>
      </w:r>
      <w:proofErr w:type="spellStart"/>
      <w:r>
        <w:rPr>
          <w:color w:val="000000"/>
          <w:sz w:val="24"/>
          <w:szCs w:val="24"/>
        </w:rPr>
        <w:t>anteroproximal</w:t>
      </w:r>
      <w:proofErr w:type="spellEnd"/>
      <w:r>
        <w:rPr>
          <w:color w:val="000000"/>
          <w:sz w:val="24"/>
          <w:szCs w:val="24"/>
        </w:rPr>
        <w:t xml:space="preserve"> end of the anconeal process and most part of the </w:t>
      </w:r>
      <w:proofErr w:type="spellStart"/>
      <w:r>
        <w:rPr>
          <w:color w:val="000000"/>
          <w:sz w:val="24"/>
          <w:szCs w:val="24"/>
        </w:rPr>
        <w:t>posteroproximal</w:t>
      </w:r>
      <w:proofErr w:type="spellEnd"/>
      <w:r>
        <w:rPr>
          <w:color w:val="000000"/>
          <w:sz w:val="24"/>
          <w:szCs w:val="24"/>
        </w:rPr>
        <w:t xml:space="preserve"> portion of the olecranon. At the level of the coronoid process, the preserved posterior portion of the ulna suggests olecranon does not project posteriorly. The trochlear notch is keeled, narrow in its middle portion, and enlarging distally. In anterior view, the trochlear notch axis defined by the anconeal and coronoid processes is in line with shaft axis. In medial/lateral view, the trochlear notch faces anteriorly. The </w:t>
      </w:r>
      <w:proofErr w:type="spellStart"/>
      <w:r>
        <w:rPr>
          <w:color w:val="000000"/>
          <w:sz w:val="24"/>
          <w:szCs w:val="24"/>
        </w:rPr>
        <w:t>distomedial</w:t>
      </w:r>
      <w:proofErr w:type="spellEnd"/>
      <w:r>
        <w:rPr>
          <w:color w:val="000000"/>
          <w:sz w:val="24"/>
          <w:szCs w:val="24"/>
        </w:rPr>
        <w:t xml:space="preserve"> portion of the trochlear notch is weakly concave and is proportionally large mediolaterally when compared with its lateral counterpart. </w:t>
      </w:r>
    </w:p>
    <w:p w14:paraId="2BA7064E" w14:textId="77777777" w:rsidR="001321DD" w:rsidRDefault="001321DD" w:rsidP="001321DD">
      <w:pPr>
        <w:widowControl w:val="0"/>
        <w:ind w:left="-24" w:right="-28"/>
        <w:jc w:val="both"/>
        <w:rPr>
          <w:color w:val="000000"/>
          <w:sz w:val="24"/>
          <w:szCs w:val="24"/>
        </w:rPr>
      </w:pPr>
      <w:r>
        <w:rPr>
          <w:color w:val="000000"/>
          <w:sz w:val="24"/>
          <w:szCs w:val="24"/>
        </w:rPr>
        <w:t xml:space="preserve">The articular surface of the radial notch is not preserved but its outline shows that it was not rounded but rather </w:t>
      </w:r>
      <w:proofErr w:type="spellStart"/>
      <w:r>
        <w:rPr>
          <w:color w:val="000000"/>
          <w:sz w:val="24"/>
          <w:szCs w:val="24"/>
        </w:rPr>
        <w:t>subrectangular</w:t>
      </w:r>
      <w:proofErr w:type="spellEnd"/>
      <w:r>
        <w:rPr>
          <w:color w:val="000000"/>
          <w:sz w:val="24"/>
          <w:szCs w:val="24"/>
        </w:rPr>
        <w:t xml:space="preserve"> with 16.2 mm wide </w:t>
      </w:r>
      <w:proofErr w:type="spellStart"/>
      <w:r>
        <w:rPr>
          <w:color w:val="000000"/>
          <w:sz w:val="24"/>
          <w:szCs w:val="24"/>
        </w:rPr>
        <w:t>anteroposteriorly</w:t>
      </w:r>
      <w:proofErr w:type="spellEnd"/>
      <w:r>
        <w:rPr>
          <w:color w:val="000000"/>
          <w:sz w:val="24"/>
          <w:szCs w:val="24"/>
        </w:rPr>
        <w:t xml:space="preserve"> and 12.6 mm long </w:t>
      </w:r>
      <w:proofErr w:type="spellStart"/>
      <w:r>
        <w:rPr>
          <w:color w:val="000000"/>
          <w:sz w:val="24"/>
          <w:szCs w:val="24"/>
        </w:rPr>
        <w:t>proximodistally</w:t>
      </w:r>
      <w:proofErr w:type="spellEnd"/>
      <w:r>
        <w:rPr>
          <w:color w:val="000000"/>
          <w:sz w:val="24"/>
          <w:szCs w:val="24"/>
        </w:rPr>
        <w:t xml:space="preserve">. The radial notch is on a promontory. In proximal view, the plan of the radial notch makes an acute angle (~30°) with the major axis (as defined by the keeling axis) of the trochlear notch. In the coronal plan, the radial notch should have not been vertical but slightly oblique distally. Distally, the supinator crest emerges directly from the posterior border of the radial notch and run distally for about 40 mm, the distal end being difficult to estimate due to </w:t>
      </w:r>
      <w:proofErr w:type="spellStart"/>
      <w:r>
        <w:rPr>
          <w:color w:val="000000"/>
          <w:sz w:val="24"/>
          <w:szCs w:val="24"/>
        </w:rPr>
        <w:t>taphonomic</w:t>
      </w:r>
      <w:proofErr w:type="spellEnd"/>
      <w:r>
        <w:rPr>
          <w:color w:val="000000"/>
          <w:sz w:val="24"/>
          <w:szCs w:val="24"/>
        </w:rPr>
        <w:t xml:space="preserve"> alterations. </w:t>
      </w:r>
    </w:p>
    <w:p w14:paraId="41A9B0FB" w14:textId="77777777" w:rsidR="001321DD" w:rsidRDefault="001321DD" w:rsidP="001321DD">
      <w:pPr>
        <w:widowControl w:val="0"/>
        <w:ind w:left="-24" w:right="-28"/>
        <w:jc w:val="both"/>
        <w:rPr>
          <w:color w:val="000000"/>
          <w:sz w:val="24"/>
          <w:szCs w:val="24"/>
        </w:rPr>
      </w:pPr>
      <w:r>
        <w:rPr>
          <w:color w:val="000000"/>
          <w:sz w:val="24"/>
          <w:szCs w:val="24"/>
        </w:rPr>
        <w:t xml:space="preserve">Posteriorly to the supinator crest, a wide and concave fossa for the </w:t>
      </w:r>
      <w:r>
        <w:rPr>
          <w:i/>
          <w:color w:val="000000"/>
          <w:sz w:val="24"/>
          <w:szCs w:val="24"/>
        </w:rPr>
        <w:t xml:space="preserve">anconeus </w:t>
      </w:r>
      <w:r>
        <w:rPr>
          <w:color w:val="000000"/>
          <w:sz w:val="24"/>
          <w:szCs w:val="24"/>
        </w:rPr>
        <w:t xml:space="preserve">is posteriorly delimited by a sharp crest running from the base of the olecranon process to 15 mm distally to the level of the distal border of the radial fossa and then become smooth. Distally, the shaft is subtriangular in section. It is defined by an anterior edge due to the insertion of the interosseous membrane, </w:t>
      </w:r>
      <w:proofErr w:type="gramStart"/>
      <w:r>
        <w:rPr>
          <w:color w:val="000000"/>
          <w:sz w:val="24"/>
          <w:szCs w:val="24"/>
        </w:rPr>
        <w:t>this later separates</w:t>
      </w:r>
      <w:proofErr w:type="gramEnd"/>
      <w:r>
        <w:rPr>
          <w:color w:val="000000"/>
          <w:sz w:val="24"/>
          <w:szCs w:val="24"/>
        </w:rPr>
        <w:t xml:space="preserve"> medially the face for the </w:t>
      </w:r>
      <w:r>
        <w:rPr>
          <w:i/>
          <w:color w:val="000000"/>
          <w:sz w:val="24"/>
          <w:szCs w:val="24"/>
        </w:rPr>
        <w:t xml:space="preserve">flexor digitorum </w:t>
      </w:r>
      <w:proofErr w:type="spellStart"/>
      <w:r>
        <w:rPr>
          <w:i/>
          <w:color w:val="000000"/>
          <w:sz w:val="24"/>
          <w:szCs w:val="24"/>
        </w:rPr>
        <w:t>profondus</w:t>
      </w:r>
      <w:proofErr w:type="spellEnd"/>
      <w:r>
        <w:rPr>
          <w:color w:val="000000"/>
          <w:sz w:val="24"/>
          <w:szCs w:val="24"/>
        </w:rPr>
        <w:t xml:space="preserve">, and laterally the face for the </w:t>
      </w:r>
      <w:r>
        <w:rPr>
          <w:i/>
          <w:color w:val="000000"/>
          <w:sz w:val="24"/>
          <w:szCs w:val="24"/>
        </w:rPr>
        <w:t xml:space="preserve">extensor </w:t>
      </w:r>
      <w:proofErr w:type="spellStart"/>
      <w:r>
        <w:rPr>
          <w:i/>
          <w:color w:val="000000"/>
          <w:sz w:val="24"/>
          <w:szCs w:val="24"/>
        </w:rPr>
        <w:t>ulnaris</w:t>
      </w:r>
      <w:proofErr w:type="spellEnd"/>
      <w:r>
        <w:rPr>
          <w:i/>
          <w:color w:val="000000"/>
          <w:sz w:val="24"/>
          <w:szCs w:val="24"/>
        </w:rPr>
        <w:t xml:space="preserve"> carpi</w:t>
      </w:r>
      <w:r>
        <w:rPr>
          <w:color w:val="000000"/>
          <w:sz w:val="24"/>
          <w:szCs w:val="24"/>
        </w:rPr>
        <w:t xml:space="preserve">. The posterior border is delimited laterally by the crest delimiting the </w:t>
      </w:r>
      <w:r>
        <w:rPr>
          <w:i/>
          <w:color w:val="000000"/>
          <w:sz w:val="24"/>
          <w:szCs w:val="24"/>
        </w:rPr>
        <w:t xml:space="preserve">anconeus </w:t>
      </w:r>
      <w:r>
        <w:rPr>
          <w:color w:val="000000"/>
          <w:sz w:val="24"/>
          <w:szCs w:val="24"/>
        </w:rPr>
        <w:t xml:space="preserve">attachment and medially by the edge for the insertion of the </w:t>
      </w:r>
      <w:r>
        <w:rPr>
          <w:i/>
          <w:color w:val="000000"/>
          <w:sz w:val="24"/>
          <w:szCs w:val="24"/>
        </w:rPr>
        <w:t xml:space="preserve">flexor </w:t>
      </w:r>
      <w:proofErr w:type="spellStart"/>
      <w:r>
        <w:rPr>
          <w:i/>
          <w:color w:val="000000"/>
          <w:sz w:val="24"/>
          <w:szCs w:val="24"/>
        </w:rPr>
        <w:t>ulnaris</w:t>
      </w:r>
      <w:proofErr w:type="spellEnd"/>
      <w:r>
        <w:rPr>
          <w:i/>
          <w:color w:val="000000"/>
          <w:sz w:val="24"/>
          <w:szCs w:val="24"/>
        </w:rPr>
        <w:t xml:space="preserve"> carpi</w:t>
      </w:r>
      <w:r>
        <w:rPr>
          <w:color w:val="000000"/>
          <w:sz w:val="24"/>
          <w:szCs w:val="24"/>
        </w:rPr>
        <w:t xml:space="preserve">. The proximal portion dedicated for the attachment of the </w:t>
      </w:r>
      <w:r>
        <w:rPr>
          <w:i/>
          <w:color w:val="000000"/>
          <w:sz w:val="24"/>
          <w:szCs w:val="24"/>
        </w:rPr>
        <w:t xml:space="preserve">flexor digitorum </w:t>
      </w:r>
      <w:proofErr w:type="spellStart"/>
      <w:r>
        <w:rPr>
          <w:i/>
          <w:color w:val="000000"/>
          <w:sz w:val="24"/>
          <w:szCs w:val="24"/>
        </w:rPr>
        <w:t>profundus</w:t>
      </w:r>
      <w:proofErr w:type="spellEnd"/>
      <w:r>
        <w:rPr>
          <w:i/>
          <w:color w:val="000000"/>
          <w:sz w:val="24"/>
          <w:szCs w:val="24"/>
        </w:rPr>
        <w:t xml:space="preserve"> </w:t>
      </w:r>
      <w:r>
        <w:rPr>
          <w:color w:val="000000"/>
          <w:sz w:val="24"/>
          <w:szCs w:val="24"/>
        </w:rPr>
        <w:t xml:space="preserve">corresponds to a large and shallow depression. The shaft is curved in profile and twists transversally, the insertion of the interosseous membrane deviating laterally. </w:t>
      </w:r>
    </w:p>
    <w:p w14:paraId="25F77470" w14:textId="77777777" w:rsidR="001321DD" w:rsidRDefault="001321DD" w:rsidP="001321DD">
      <w:pPr>
        <w:widowControl w:val="0"/>
        <w:ind w:left="-24" w:right="6427"/>
        <w:jc w:val="both"/>
        <w:rPr>
          <w:i/>
          <w:sz w:val="24"/>
          <w:szCs w:val="24"/>
        </w:rPr>
      </w:pPr>
    </w:p>
    <w:p w14:paraId="213AABB4" w14:textId="77777777" w:rsidR="001321DD" w:rsidRDefault="001321DD" w:rsidP="001321DD">
      <w:pPr>
        <w:widowControl w:val="0"/>
        <w:ind w:left="-24" w:right="6427"/>
        <w:jc w:val="both"/>
        <w:rPr>
          <w:b/>
          <w:color w:val="000000"/>
          <w:sz w:val="24"/>
          <w:szCs w:val="24"/>
        </w:rPr>
      </w:pPr>
      <w:r>
        <w:rPr>
          <w:b/>
          <w:i/>
          <w:color w:val="000000"/>
          <w:sz w:val="24"/>
          <w:szCs w:val="24"/>
        </w:rPr>
        <w:t xml:space="preserve">Left ulna </w:t>
      </w:r>
      <w:r>
        <w:rPr>
          <w:b/>
          <w:color w:val="000000"/>
          <w:sz w:val="24"/>
          <w:szCs w:val="24"/>
        </w:rPr>
        <w:t xml:space="preserve">(TM 266-01-050) </w:t>
      </w:r>
    </w:p>
    <w:p w14:paraId="62D9E903" w14:textId="77777777" w:rsidR="001321DD" w:rsidRDefault="001321DD" w:rsidP="001321DD">
      <w:pPr>
        <w:widowControl w:val="0"/>
        <w:ind w:left="-24" w:right="-28"/>
        <w:jc w:val="both"/>
        <w:rPr>
          <w:sz w:val="24"/>
          <w:szCs w:val="24"/>
        </w:rPr>
      </w:pPr>
    </w:p>
    <w:p w14:paraId="5CCD0303" w14:textId="77777777" w:rsidR="001321DD" w:rsidRDefault="001321DD" w:rsidP="001321DD">
      <w:pPr>
        <w:widowControl w:val="0"/>
        <w:ind w:left="-24" w:right="-28"/>
        <w:jc w:val="both"/>
        <w:rPr>
          <w:color w:val="000000"/>
          <w:sz w:val="24"/>
          <w:szCs w:val="24"/>
        </w:rPr>
      </w:pPr>
      <w:r>
        <w:rPr>
          <w:color w:val="000000"/>
          <w:sz w:val="24"/>
          <w:szCs w:val="24"/>
        </w:rPr>
        <w:t xml:space="preserve">TM 266-01-050 consists in a left ulnar diaphysis of 239 mm long as preserved. The proximal epiphysis is badly damaged. In anterior view, the trochlear notch is eroded preserving only a small distal portion of the </w:t>
      </w:r>
      <w:r>
        <w:rPr>
          <w:i/>
          <w:color w:val="000000"/>
          <w:sz w:val="24"/>
          <w:szCs w:val="24"/>
        </w:rPr>
        <w:t xml:space="preserve">anconeus </w:t>
      </w:r>
      <w:r>
        <w:rPr>
          <w:color w:val="000000"/>
          <w:sz w:val="24"/>
          <w:szCs w:val="24"/>
        </w:rPr>
        <w:t xml:space="preserve">process. Most part of the olecranon is missing but its preserved posterodistal portion indicates olecranon does not project posteriorly. </w:t>
      </w:r>
    </w:p>
    <w:p w14:paraId="3FF96BA6" w14:textId="77777777" w:rsidR="001321DD" w:rsidRDefault="001321DD" w:rsidP="001321DD">
      <w:pPr>
        <w:widowControl w:val="0"/>
        <w:ind w:left="-24" w:right="-23"/>
        <w:jc w:val="both"/>
        <w:rPr>
          <w:color w:val="000000"/>
          <w:sz w:val="24"/>
          <w:szCs w:val="24"/>
        </w:rPr>
      </w:pPr>
      <w:r>
        <w:rPr>
          <w:color w:val="000000"/>
          <w:sz w:val="24"/>
          <w:szCs w:val="24"/>
        </w:rPr>
        <w:t xml:space="preserve">In overall shape, the trochlear notch is narrow in its middle portion. The coronoid process is unpreserved, making impossible any reliable estimation of the trochlear notch angle. The fossa for the </w:t>
      </w:r>
      <w:r>
        <w:rPr>
          <w:i/>
          <w:color w:val="000000"/>
          <w:sz w:val="24"/>
          <w:szCs w:val="24"/>
        </w:rPr>
        <w:t xml:space="preserve">brachialis </w:t>
      </w:r>
      <w:r>
        <w:rPr>
          <w:color w:val="000000"/>
          <w:sz w:val="24"/>
          <w:szCs w:val="24"/>
        </w:rPr>
        <w:t xml:space="preserve">is located anteriorly, in line with the estimated trochlear notch axis (as defined by the anconeal-coronoid processes) and is 15-16 mm long. </w:t>
      </w:r>
    </w:p>
    <w:p w14:paraId="5EA385D0" w14:textId="77777777" w:rsidR="001321DD" w:rsidRDefault="001321DD" w:rsidP="001321DD">
      <w:pPr>
        <w:widowControl w:val="0"/>
        <w:ind w:left="-24" w:right="-19"/>
        <w:jc w:val="both"/>
        <w:rPr>
          <w:color w:val="000000"/>
          <w:sz w:val="24"/>
          <w:szCs w:val="24"/>
        </w:rPr>
      </w:pPr>
      <w:r>
        <w:rPr>
          <w:color w:val="000000"/>
          <w:sz w:val="24"/>
          <w:szCs w:val="24"/>
        </w:rPr>
        <w:t xml:space="preserve">The articular surface of the radial notch is lacking. The radial notch is on a promontory which outline is comparable in shape to the right ulna. Distally, the supinator crest emerges directly from the posterior border of the radial notch, and despite </w:t>
      </w:r>
      <w:proofErr w:type="spellStart"/>
      <w:r>
        <w:rPr>
          <w:color w:val="000000"/>
          <w:sz w:val="24"/>
          <w:szCs w:val="24"/>
        </w:rPr>
        <w:t>taphonomic</w:t>
      </w:r>
      <w:proofErr w:type="spellEnd"/>
      <w:r>
        <w:rPr>
          <w:color w:val="000000"/>
          <w:sz w:val="24"/>
          <w:szCs w:val="24"/>
        </w:rPr>
        <w:t xml:space="preserve"> damage shows comparable condition to the right ulna. </w:t>
      </w:r>
    </w:p>
    <w:p w14:paraId="4251537B" w14:textId="77777777" w:rsidR="001321DD" w:rsidRDefault="001321DD" w:rsidP="001321DD">
      <w:pPr>
        <w:widowControl w:val="0"/>
        <w:ind w:left="-24" w:right="-28"/>
        <w:jc w:val="both"/>
        <w:rPr>
          <w:color w:val="000000"/>
          <w:sz w:val="24"/>
          <w:szCs w:val="24"/>
        </w:rPr>
      </w:pPr>
      <w:r>
        <w:rPr>
          <w:color w:val="000000"/>
          <w:sz w:val="24"/>
          <w:szCs w:val="24"/>
        </w:rPr>
        <w:t xml:space="preserve">Posteriorly to the supinator crest, a wide and concave fossa for the </w:t>
      </w:r>
      <w:r>
        <w:rPr>
          <w:i/>
          <w:color w:val="000000"/>
          <w:sz w:val="24"/>
          <w:szCs w:val="24"/>
        </w:rPr>
        <w:t xml:space="preserve">anconeus </w:t>
      </w:r>
      <w:r>
        <w:rPr>
          <w:color w:val="000000"/>
          <w:sz w:val="24"/>
          <w:szCs w:val="24"/>
        </w:rPr>
        <w:t xml:space="preserve">is posteriorly delimited by a sharp crest running distally from the base of the olecranon process to the level of the radial fossa and then fades into a rounded margin. At midshaft, the ulna is subtriangular in section, in the same configuration of the right ulna and becomes oval distally. As for TM 266-01-358, the posterior face of the ulna is bordered laterally by the crest delimiting the </w:t>
      </w:r>
      <w:r>
        <w:rPr>
          <w:i/>
          <w:color w:val="000000"/>
          <w:sz w:val="24"/>
          <w:szCs w:val="24"/>
        </w:rPr>
        <w:t xml:space="preserve">anconeus </w:t>
      </w:r>
      <w:r>
        <w:rPr>
          <w:color w:val="000000"/>
          <w:sz w:val="24"/>
          <w:szCs w:val="24"/>
        </w:rPr>
        <w:t xml:space="preserve">attachment and medially by the insertion edge for the </w:t>
      </w:r>
      <w:r>
        <w:rPr>
          <w:i/>
          <w:color w:val="000000"/>
          <w:sz w:val="24"/>
          <w:szCs w:val="24"/>
        </w:rPr>
        <w:t xml:space="preserve">flexor </w:t>
      </w:r>
      <w:proofErr w:type="spellStart"/>
      <w:r>
        <w:rPr>
          <w:i/>
          <w:color w:val="000000"/>
          <w:sz w:val="24"/>
          <w:szCs w:val="24"/>
        </w:rPr>
        <w:t>ulnaris</w:t>
      </w:r>
      <w:proofErr w:type="spellEnd"/>
      <w:r>
        <w:rPr>
          <w:i/>
          <w:color w:val="000000"/>
          <w:sz w:val="24"/>
          <w:szCs w:val="24"/>
        </w:rPr>
        <w:t xml:space="preserve"> carpi</w:t>
      </w:r>
      <w:r>
        <w:rPr>
          <w:color w:val="000000"/>
          <w:sz w:val="24"/>
          <w:szCs w:val="24"/>
        </w:rPr>
        <w:t xml:space="preserve">, forming a noticeable flat surface. The proximal portion dedicated for the attachment of the </w:t>
      </w:r>
      <w:r>
        <w:rPr>
          <w:i/>
          <w:color w:val="000000"/>
          <w:sz w:val="24"/>
          <w:szCs w:val="24"/>
        </w:rPr>
        <w:t xml:space="preserve">flexor digitorum </w:t>
      </w:r>
      <w:proofErr w:type="spellStart"/>
      <w:r>
        <w:rPr>
          <w:i/>
          <w:color w:val="000000"/>
          <w:sz w:val="24"/>
          <w:szCs w:val="24"/>
        </w:rPr>
        <w:t>profundus</w:t>
      </w:r>
      <w:proofErr w:type="spellEnd"/>
      <w:r>
        <w:rPr>
          <w:i/>
          <w:color w:val="000000"/>
          <w:sz w:val="24"/>
          <w:szCs w:val="24"/>
        </w:rPr>
        <w:t xml:space="preserve"> </w:t>
      </w:r>
      <w:r>
        <w:rPr>
          <w:color w:val="000000"/>
          <w:sz w:val="24"/>
          <w:szCs w:val="24"/>
        </w:rPr>
        <w:t xml:space="preserve">corresponds to a large and shallow depression. There is no medial protuberance for the attachment of the </w:t>
      </w:r>
      <w:r>
        <w:rPr>
          <w:i/>
          <w:color w:val="000000"/>
          <w:sz w:val="24"/>
          <w:szCs w:val="24"/>
        </w:rPr>
        <w:t xml:space="preserve">flexor digitorum </w:t>
      </w:r>
      <w:proofErr w:type="spellStart"/>
      <w:r>
        <w:rPr>
          <w:i/>
          <w:color w:val="000000"/>
          <w:sz w:val="24"/>
          <w:szCs w:val="24"/>
        </w:rPr>
        <w:t>profundus</w:t>
      </w:r>
      <w:proofErr w:type="spellEnd"/>
      <w:r>
        <w:rPr>
          <w:color w:val="000000"/>
          <w:sz w:val="24"/>
          <w:szCs w:val="24"/>
        </w:rPr>
        <w:t xml:space="preserve">. The shaft is curved in profile, sigmoid coronally and twists transversally, the insertion of the interosseous membrane deviating laterally. Distally, the shaft is likely broken proximal to the quadratus pronator attachment. </w:t>
      </w:r>
    </w:p>
    <w:p w14:paraId="44FC6422" w14:textId="77777777" w:rsidR="001321DD" w:rsidRDefault="001321DD" w:rsidP="001321DD">
      <w:pPr>
        <w:widowControl w:val="0"/>
        <w:ind w:left="-24" w:right="-23"/>
        <w:jc w:val="both"/>
        <w:rPr>
          <w:color w:val="000000"/>
          <w:sz w:val="24"/>
          <w:szCs w:val="24"/>
        </w:rPr>
      </w:pPr>
      <w:r>
        <w:rPr>
          <w:color w:val="000000"/>
          <w:sz w:val="24"/>
          <w:szCs w:val="24"/>
        </w:rPr>
        <w:t xml:space="preserve">The nutrient foramen is located at 92 mm from the </w:t>
      </w:r>
      <w:proofErr w:type="spellStart"/>
      <w:r>
        <w:rPr>
          <w:color w:val="000000"/>
          <w:sz w:val="24"/>
          <w:szCs w:val="24"/>
        </w:rPr>
        <w:t>anteroproximal</w:t>
      </w:r>
      <w:proofErr w:type="spellEnd"/>
      <w:r>
        <w:rPr>
          <w:color w:val="000000"/>
          <w:sz w:val="24"/>
          <w:szCs w:val="24"/>
        </w:rPr>
        <w:t xml:space="preserve"> surface of the lateral quadrant of the trochlear notch. </w:t>
      </w:r>
    </w:p>
    <w:p w14:paraId="219A4D03" w14:textId="77777777" w:rsidR="001321DD" w:rsidRDefault="001321DD" w:rsidP="001321DD">
      <w:pPr>
        <w:widowControl w:val="0"/>
        <w:ind w:left="-24" w:right="6566"/>
        <w:jc w:val="both"/>
        <w:rPr>
          <w:i/>
          <w:sz w:val="24"/>
          <w:szCs w:val="24"/>
        </w:rPr>
      </w:pPr>
    </w:p>
    <w:p w14:paraId="37892BB4" w14:textId="77777777" w:rsidR="001321DD" w:rsidRDefault="001321DD" w:rsidP="001321DD">
      <w:pPr>
        <w:widowControl w:val="0"/>
        <w:ind w:left="-24" w:right="6566"/>
        <w:jc w:val="both"/>
        <w:rPr>
          <w:i/>
          <w:sz w:val="24"/>
          <w:szCs w:val="24"/>
        </w:rPr>
      </w:pPr>
    </w:p>
    <w:p w14:paraId="245E7A66" w14:textId="77777777" w:rsidR="001321DD" w:rsidRDefault="001321DD" w:rsidP="001321DD">
      <w:pPr>
        <w:widowControl w:val="0"/>
        <w:ind w:left="-24" w:right="5"/>
        <w:jc w:val="both"/>
        <w:rPr>
          <w:b/>
          <w:color w:val="000000"/>
          <w:sz w:val="24"/>
          <w:szCs w:val="24"/>
        </w:rPr>
      </w:pPr>
      <w:r>
        <w:rPr>
          <w:b/>
          <w:sz w:val="24"/>
          <w:szCs w:val="24"/>
        </w:rPr>
        <w:t xml:space="preserve">2.2. </w:t>
      </w:r>
      <w:r>
        <w:rPr>
          <w:b/>
          <w:color w:val="000000"/>
          <w:sz w:val="24"/>
          <w:szCs w:val="24"/>
        </w:rPr>
        <w:t xml:space="preserve">Context of the discoveries </w:t>
      </w:r>
    </w:p>
    <w:p w14:paraId="578A6502" w14:textId="77777777" w:rsidR="001321DD" w:rsidRDefault="001321DD" w:rsidP="001321DD">
      <w:pPr>
        <w:widowControl w:val="0"/>
        <w:ind w:left="-24" w:right="-28"/>
        <w:jc w:val="both"/>
        <w:rPr>
          <w:sz w:val="24"/>
          <w:szCs w:val="24"/>
        </w:rPr>
      </w:pPr>
    </w:p>
    <w:p w14:paraId="7351E247" w14:textId="77777777" w:rsidR="001321DD" w:rsidRDefault="001321DD" w:rsidP="001321DD">
      <w:pPr>
        <w:widowControl w:val="0"/>
        <w:ind w:left="-24" w:right="-28"/>
        <w:jc w:val="both"/>
        <w:rPr>
          <w:color w:val="000000"/>
          <w:sz w:val="24"/>
          <w:szCs w:val="24"/>
        </w:rPr>
      </w:pPr>
      <w:r>
        <w:rPr>
          <w:color w:val="000000"/>
          <w:sz w:val="24"/>
          <w:szCs w:val="24"/>
        </w:rPr>
        <w:t xml:space="preserve">The Mission </w:t>
      </w:r>
      <w:proofErr w:type="spellStart"/>
      <w:r>
        <w:rPr>
          <w:color w:val="000000"/>
          <w:sz w:val="24"/>
          <w:szCs w:val="24"/>
        </w:rPr>
        <w:t>Paléontologique</w:t>
      </w:r>
      <w:proofErr w:type="spellEnd"/>
      <w:r>
        <w:rPr>
          <w:color w:val="000000"/>
          <w:sz w:val="24"/>
          <w:szCs w:val="24"/>
        </w:rPr>
        <w:t xml:space="preserve"> Franco-</w:t>
      </w:r>
      <w:proofErr w:type="spellStart"/>
      <w:r>
        <w:rPr>
          <w:color w:val="000000"/>
          <w:sz w:val="24"/>
          <w:szCs w:val="24"/>
        </w:rPr>
        <w:t>Tchadienne</w:t>
      </w:r>
      <w:proofErr w:type="spellEnd"/>
      <w:r>
        <w:rPr>
          <w:color w:val="000000"/>
          <w:sz w:val="24"/>
          <w:szCs w:val="24"/>
        </w:rPr>
        <w:t xml:space="preserve"> (</w:t>
      </w:r>
      <w:proofErr w:type="spellStart"/>
      <w:r>
        <w:rPr>
          <w:color w:val="000000"/>
          <w:sz w:val="24"/>
          <w:szCs w:val="24"/>
        </w:rPr>
        <w:t>MPFT</w:t>
      </w:r>
      <w:proofErr w:type="spellEnd"/>
      <w:r>
        <w:rPr>
          <w:color w:val="000000"/>
          <w:sz w:val="24"/>
          <w:szCs w:val="24"/>
        </w:rPr>
        <w:t xml:space="preserve">, directed by Michel Brunet) has conducted field missions in the </w:t>
      </w:r>
      <w:proofErr w:type="spellStart"/>
      <w:r>
        <w:rPr>
          <w:color w:val="000000"/>
          <w:sz w:val="24"/>
          <w:szCs w:val="24"/>
        </w:rPr>
        <w:t>Djurab</w:t>
      </w:r>
      <w:proofErr w:type="spellEnd"/>
      <w:r>
        <w:rPr>
          <w:color w:val="000000"/>
          <w:sz w:val="24"/>
          <w:szCs w:val="24"/>
        </w:rPr>
        <w:t xml:space="preserve"> desert since 1994. Its first major discovery was a partial mandible attributed to a new species, </w:t>
      </w:r>
      <w:r>
        <w:rPr>
          <w:i/>
          <w:color w:val="000000"/>
          <w:sz w:val="24"/>
          <w:szCs w:val="24"/>
        </w:rPr>
        <w:t xml:space="preserve">Australopithecus </w:t>
      </w:r>
      <w:proofErr w:type="spellStart"/>
      <w:r>
        <w:rPr>
          <w:i/>
          <w:color w:val="000000"/>
          <w:sz w:val="24"/>
          <w:szCs w:val="24"/>
        </w:rPr>
        <w:t>bahrelghazali</w:t>
      </w:r>
      <w:r>
        <w:rPr>
          <w:color w:val="000000"/>
          <w:sz w:val="24"/>
          <w:szCs w:val="24"/>
          <w:vertAlign w:val="superscript"/>
        </w:rPr>
        <w:t>1,2</w:t>
      </w:r>
      <w:proofErr w:type="spellEnd"/>
      <w:r>
        <w:rPr>
          <w:color w:val="000000"/>
          <w:sz w:val="24"/>
          <w:szCs w:val="24"/>
        </w:rPr>
        <w:t xml:space="preserve">, found in the fossiliferous sector of Koro Toro (upper Pliocene). In 1997, Brunet led an exploratory team in the western part of the </w:t>
      </w:r>
      <w:proofErr w:type="spellStart"/>
      <w:r>
        <w:rPr>
          <w:color w:val="000000"/>
          <w:sz w:val="24"/>
          <w:szCs w:val="24"/>
        </w:rPr>
        <w:t>Djurab</w:t>
      </w:r>
      <w:proofErr w:type="spellEnd"/>
      <w:r>
        <w:rPr>
          <w:color w:val="000000"/>
          <w:sz w:val="24"/>
          <w:szCs w:val="24"/>
        </w:rPr>
        <w:t xml:space="preserve"> and discovered a new fossiliferous sector dominated by upper Miocene outcrops (Toros-</w:t>
      </w:r>
      <w:proofErr w:type="spellStart"/>
      <w:r>
        <w:rPr>
          <w:color w:val="000000"/>
          <w:sz w:val="24"/>
          <w:szCs w:val="24"/>
        </w:rPr>
        <w:t>Menalla</w:t>
      </w:r>
      <w:proofErr w:type="spellEnd"/>
      <w:r>
        <w:rPr>
          <w:color w:val="000000"/>
          <w:sz w:val="24"/>
          <w:szCs w:val="24"/>
        </w:rPr>
        <w:t xml:space="preserve">, TM). From 1997 to 2001, the </w:t>
      </w:r>
      <w:proofErr w:type="spellStart"/>
      <w:r>
        <w:rPr>
          <w:color w:val="000000"/>
          <w:sz w:val="24"/>
          <w:szCs w:val="24"/>
        </w:rPr>
        <w:t>MPFT</w:t>
      </w:r>
      <w:proofErr w:type="spellEnd"/>
      <w:r>
        <w:rPr>
          <w:color w:val="000000"/>
          <w:sz w:val="24"/>
          <w:szCs w:val="24"/>
        </w:rPr>
        <w:t xml:space="preserve"> documented the full extension of this large area (ca. 100 km along an East-West axis) and initiated its systematic survey. In July 2001, a technical team of four </w:t>
      </w:r>
      <w:proofErr w:type="spellStart"/>
      <w:r>
        <w:rPr>
          <w:color w:val="000000"/>
          <w:sz w:val="24"/>
          <w:szCs w:val="24"/>
        </w:rPr>
        <w:t>MPFT</w:t>
      </w:r>
      <w:proofErr w:type="spellEnd"/>
      <w:r>
        <w:rPr>
          <w:color w:val="000000"/>
          <w:sz w:val="24"/>
          <w:szCs w:val="24"/>
        </w:rPr>
        <w:t xml:space="preserve"> </w:t>
      </w:r>
      <w:proofErr w:type="spellStart"/>
      <w:r>
        <w:rPr>
          <w:color w:val="000000"/>
          <w:sz w:val="24"/>
          <w:szCs w:val="24"/>
        </w:rPr>
        <w:t>members</w:t>
      </w:r>
      <w:r>
        <w:rPr>
          <w:color w:val="000000"/>
          <w:sz w:val="26"/>
          <w:szCs w:val="26"/>
          <w:vertAlign w:val="superscript"/>
        </w:rPr>
        <w:t>1</w:t>
      </w:r>
      <w:proofErr w:type="spellEnd"/>
      <w:r>
        <w:rPr>
          <w:color w:val="000000"/>
          <w:sz w:val="26"/>
          <w:szCs w:val="26"/>
          <w:vertAlign w:val="superscript"/>
        </w:rPr>
        <w:t xml:space="preserve"> </w:t>
      </w:r>
      <w:r>
        <w:rPr>
          <w:color w:val="000000"/>
          <w:sz w:val="24"/>
          <w:szCs w:val="24"/>
        </w:rPr>
        <w:t xml:space="preserve">performed a recognition survey at TM and reached a particularly rich area (locality TM 266), at that time a ca. 1.5 </w:t>
      </w:r>
      <w:proofErr w:type="spellStart"/>
      <w:r>
        <w:rPr>
          <w:color w:val="000000"/>
          <w:sz w:val="24"/>
          <w:szCs w:val="24"/>
        </w:rPr>
        <w:t>km</w:t>
      </w:r>
      <w:r>
        <w:rPr>
          <w:color w:val="000000"/>
          <w:sz w:val="24"/>
          <w:szCs w:val="24"/>
          <w:vertAlign w:val="superscript"/>
        </w:rPr>
        <w:t>2</w:t>
      </w:r>
      <w:proofErr w:type="spellEnd"/>
      <w:r>
        <w:rPr>
          <w:color w:val="000000"/>
          <w:sz w:val="24"/>
          <w:szCs w:val="24"/>
        </w:rPr>
        <w:t xml:space="preserve"> surface </w:t>
      </w:r>
      <w:proofErr w:type="gramStart"/>
      <w:r>
        <w:rPr>
          <w:color w:val="000000"/>
          <w:sz w:val="24"/>
          <w:szCs w:val="24"/>
        </w:rPr>
        <w:t>more or less clear</w:t>
      </w:r>
      <w:proofErr w:type="gramEnd"/>
      <w:r>
        <w:rPr>
          <w:color w:val="000000"/>
          <w:sz w:val="24"/>
          <w:szCs w:val="24"/>
        </w:rPr>
        <w:t xml:space="preserve"> of sand accumulations. The team collected an abundant sample of fossil specimens and documented photographically the </w:t>
      </w:r>
      <w:proofErr w:type="gramStart"/>
      <w:r>
        <w:rPr>
          <w:color w:val="000000"/>
          <w:sz w:val="24"/>
          <w:szCs w:val="24"/>
        </w:rPr>
        <w:t>work, but</w:t>
      </w:r>
      <w:proofErr w:type="gramEnd"/>
      <w:r>
        <w:rPr>
          <w:color w:val="000000"/>
          <w:sz w:val="24"/>
          <w:szCs w:val="24"/>
        </w:rPr>
        <w:t xml:space="preserve"> did not performed precise recording of specimen positions relative to each other within the locality. The partial cranium TM 266-01-060-1 proposed as holotype specimen for </w:t>
      </w:r>
      <w:r>
        <w:rPr>
          <w:i/>
          <w:color w:val="000000"/>
          <w:sz w:val="24"/>
          <w:szCs w:val="24"/>
        </w:rPr>
        <w:t xml:space="preserve">Sahelanthropus </w:t>
      </w:r>
      <w:proofErr w:type="spellStart"/>
      <w:r>
        <w:rPr>
          <w:i/>
          <w:color w:val="000000"/>
          <w:sz w:val="24"/>
          <w:szCs w:val="24"/>
        </w:rPr>
        <w:t>tchadensis</w:t>
      </w:r>
      <w:proofErr w:type="spellEnd"/>
      <w:r>
        <w:rPr>
          <w:i/>
          <w:color w:val="000000"/>
          <w:sz w:val="24"/>
          <w:szCs w:val="24"/>
        </w:rPr>
        <w:t xml:space="preserve"> </w:t>
      </w:r>
      <w:r>
        <w:rPr>
          <w:color w:val="000000"/>
          <w:sz w:val="24"/>
          <w:szCs w:val="24"/>
        </w:rPr>
        <w:t xml:space="preserve">by </w:t>
      </w:r>
      <w:r>
        <w:rPr>
          <w:sz w:val="24"/>
          <w:szCs w:val="24"/>
          <w:vertAlign w:val="superscript"/>
        </w:rPr>
        <w:t>3</w:t>
      </w:r>
      <w:r>
        <w:rPr>
          <w:color w:val="000000"/>
          <w:sz w:val="24"/>
          <w:szCs w:val="24"/>
        </w:rPr>
        <w:t xml:space="preserve">, the femur TM 266-01-063 and one of the ulnae (TM 266-01-050) were among the collected specimens. The participants to this mission reported conflicting information regarding the </w:t>
      </w:r>
      <w:r>
        <w:rPr>
          <w:sz w:val="24"/>
          <w:szCs w:val="24"/>
        </w:rPr>
        <w:t xml:space="preserve">precise </w:t>
      </w:r>
      <w:r>
        <w:rPr>
          <w:color w:val="000000"/>
          <w:sz w:val="24"/>
          <w:szCs w:val="24"/>
        </w:rPr>
        <w:t xml:space="preserve">locations within the locality TM 266 of the various fossil remains collected during this mission. Pictures used to discuss the original position of the femur and </w:t>
      </w:r>
      <w:proofErr w:type="spellStart"/>
      <w:r>
        <w:rPr>
          <w:color w:val="000000"/>
          <w:sz w:val="24"/>
          <w:szCs w:val="24"/>
        </w:rPr>
        <w:t>cranium</w:t>
      </w:r>
      <w:r>
        <w:rPr>
          <w:color w:val="000000"/>
          <w:sz w:val="24"/>
          <w:szCs w:val="24"/>
          <w:vertAlign w:val="superscript"/>
        </w:rPr>
        <w:t>4</w:t>
      </w:r>
      <w:proofErr w:type="spellEnd"/>
      <w:r>
        <w:rPr>
          <w:color w:val="000000"/>
          <w:sz w:val="24"/>
          <w:szCs w:val="24"/>
        </w:rPr>
        <w:t xml:space="preserve"> do not include the ulna TM 266-01-050, and do not present contextual elements allowing identifying the location and timing of their shooting. Most specimens observed on these pictures, also including various craniodental and postcranial remains of other vertebrates, do not display the dust and sand coverage usually observed on surface finds in the </w:t>
      </w:r>
      <w:proofErr w:type="spellStart"/>
      <w:r>
        <w:rPr>
          <w:color w:val="000000"/>
          <w:sz w:val="24"/>
          <w:szCs w:val="24"/>
        </w:rPr>
        <w:t>Djurab</w:t>
      </w:r>
      <w:proofErr w:type="spellEnd"/>
      <w:r>
        <w:rPr>
          <w:color w:val="000000"/>
          <w:sz w:val="24"/>
          <w:szCs w:val="24"/>
        </w:rPr>
        <w:t xml:space="preserve"> desert: they were therefore photographed after handling. This corroborates claims by Chadian team members that these pictures did not record the initial position of the fossils and that they were shot after the fossils were gathered from the surroundings. Given the minimum number of hominin individuals calculated for TM 266 (six, among which three </w:t>
      </w:r>
      <w:proofErr w:type="spellStart"/>
      <w:r>
        <w:rPr>
          <w:color w:val="000000"/>
          <w:sz w:val="24"/>
          <w:szCs w:val="24"/>
        </w:rPr>
        <w:t>adults</w:t>
      </w:r>
      <w:r>
        <w:rPr>
          <w:sz w:val="24"/>
          <w:szCs w:val="24"/>
          <w:vertAlign w:val="superscript"/>
        </w:rPr>
        <w:t>5</w:t>
      </w:r>
      <w:proofErr w:type="spellEnd"/>
      <w:r>
        <w:rPr>
          <w:color w:val="000000"/>
          <w:sz w:val="24"/>
          <w:szCs w:val="24"/>
        </w:rPr>
        <w:t xml:space="preserve">), suggestions that TM 266-01-060-1 and any of the newly described postcranial elements belong to the same individual remain highly hypothetical. </w:t>
      </w:r>
    </w:p>
    <w:p w14:paraId="2762B4DB" w14:textId="77777777" w:rsidR="001321DD" w:rsidRDefault="001321DD" w:rsidP="001321DD">
      <w:pPr>
        <w:widowControl w:val="0"/>
        <w:ind w:left="-24" w:right="-28"/>
        <w:jc w:val="both"/>
        <w:rPr>
          <w:color w:val="000000"/>
          <w:sz w:val="24"/>
          <w:szCs w:val="24"/>
        </w:rPr>
      </w:pPr>
      <w:r>
        <w:rPr>
          <w:color w:val="000000"/>
          <w:sz w:val="24"/>
          <w:szCs w:val="24"/>
        </w:rPr>
        <w:t>In Ndjamena, the team roughly sorted the 561 specimens collected during the mission (141 for TM 266) by high-level taxonomic ranks and eventually stored most of the postcranial specimens as an “</w:t>
      </w:r>
      <w:proofErr w:type="spellStart"/>
      <w:r>
        <w:rPr>
          <w:color w:val="000000"/>
          <w:sz w:val="24"/>
          <w:szCs w:val="24"/>
        </w:rPr>
        <w:t>indet</w:t>
      </w:r>
      <w:proofErr w:type="spellEnd"/>
      <w:r>
        <w:rPr>
          <w:color w:val="000000"/>
          <w:sz w:val="24"/>
          <w:szCs w:val="24"/>
        </w:rPr>
        <w:t xml:space="preserve">.” group. This was the case for the femur TM 266-01-063 and the ulna TM 266-01-050. The material then waited for examination by skilled anatomists, which did not happen during the two following years. At the time, the </w:t>
      </w:r>
      <w:proofErr w:type="spellStart"/>
      <w:r>
        <w:rPr>
          <w:color w:val="000000"/>
          <w:sz w:val="24"/>
          <w:szCs w:val="24"/>
        </w:rPr>
        <w:t>MPFT</w:t>
      </w:r>
      <w:proofErr w:type="spellEnd"/>
      <w:r>
        <w:rPr>
          <w:color w:val="000000"/>
          <w:sz w:val="24"/>
          <w:szCs w:val="24"/>
        </w:rPr>
        <w:t xml:space="preserve"> gave the highest priority to other tasks. First, the study of the craniodental material and the initial characterization of the TM 266 faunal assemblage occupied all the research time and resulted in their first description in Nature a year after TM 266 </w:t>
      </w:r>
      <w:proofErr w:type="spellStart"/>
      <w:r>
        <w:rPr>
          <w:color w:val="000000"/>
          <w:sz w:val="24"/>
          <w:szCs w:val="24"/>
        </w:rPr>
        <w:t>discovery</w:t>
      </w:r>
      <w:r>
        <w:rPr>
          <w:color w:val="000000"/>
          <w:sz w:val="24"/>
          <w:szCs w:val="24"/>
          <w:vertAlign w:val="superscript"/>
        </w:rPr>
        <w:t>6,7</w:t>
      </w:r>
      <w:proofErr w:type="spellEnd"/>
      <w:r>
        <w:rPr>
          <w:color w:val="000000"/>
          <w:sz w:val="24"/>
          <w:szCs w:val="24"/>
        </w:rPr>
        <w:t xml:space="preserve">. Second, several field missions aimed at unearthing further specimens at TM 266 and adjacent areas in the context of quickly increasing cover of the hominin locality by eolian sands and of extreme sand-blast erosion of surface specimens. From 2001 to 2003, despite the low density of fossil remains in </w:t>
      </w:r>
      <w:proofErr w:type="spellStart"/>
      <w:r>
        <w:rPr>
          <w:color w:val="000000"/>
          <w:sz w:val="24"/>
          <w:szCs w:val="24"/>
        </w:rPr>
        <w:t>Djurab</w:t>
      </w:r>
      <w:proofErr w:type="spellEnd"/>
      <w:r>
        <w:rPr>
          <w:color w:val="000000"/>
          <w:sz w:val="24"/>
          <w:szCs w:val="24"/>
        </w:rPr>
        <w:t xml:space="preserve"> fossil-bearing localities, the </w:t>
      </w:r>
      <w:proofErr w:type="spellStart"/>
      <w:r>
        <w:rPr>
          <w:color w:val="000000"/>
          <w:sz w:val="24"/>
          <w:szCs w:val="24"/>
        </w:rPr>
        <w:t>MPFT</w:t>
      </w:r>
      <w:proofErr w:type="spellEnd"/>
      <w:r>
        <w:rPr>
          <w:color w:val="000000"/>
          <w:sz w:val="24"/>
          <w:szCs w:val="24"/>
        </w:rPr>
        <w:t xml:space="preserve"> collected more than 7,000 specimens at TM, including new craniodental specimens attributed to </w:t>
      </w:r>
      <w:r>
        <w:rPr>
          <w:i/>
          <w:color w:val="000000"/>
          <w:sz w:val="24"/>
          <w:szCs w:val="24"/>
        </w:rPr>
        <w:t xml:space="preserve">Sahelanthropus </w:t>
      </w:r>
      <w:r>
        <w:rPr>
          <w:color w:val="000000"/>
          <w:sz w:val="24"/>
          <w:szCs w:val="24"/>
        </w:rPr>
        <w:t xml:space="preserve">and described by </w:t>
      </w:r>
      <w:r>
        <w:rPr>
          <w:sz w:val="24"/>
          <w:szCs w:val="24"/>
          <w:vertAlign w:val="superscript"/>
        </w:rPr>
        <w:t>5</w:t>
      </w:r>
      <w:r>
        <w:rPr>
          <w:color w:val="000000"/>
          <w:sz w:val="24"/>
          <w:szCs w:val="24"/>
        </w:rPr>
        <w:t xml:space="preserve">. </w:t>
      </w:r>
    </w:p>
    <w:p w14:paraId="10C1012A" w14:textId="77777777" w:rsidR="001321DD" w:rsidRDefault="001321DD" w:rsidP="001321DD">
      <w:pPr>
        <w:widowControl w:val="0"/>
        <w:ind w:left="-24" w:right="-28"/>
        <w:jc w:val="both"/>
        <w:rPr>
          <w:color w:val="000000"/>
          <w:sz w:val="24"/>
          <w:szCs w:val="24"/>
        </w:rPr>
      </w:pPr>
      <w:r>
        <w:rPr>
          <w:color w:val="000000"/>
          <w:sz w:val="24"/>
          <w:szCs w:val="24"/>
        </w:rPr>
        <w:t xml:space="preserve">In early 2004, prior to careful examination by skilled paleontologists, various postcranial remains discovered in July 2001 were selected for the training of a master student in taphonomy, including TM 266-01-063. Seeking an identification, the student handed this specimen to Roberto </w:t>
      </w:r>
      <w:proofErr w:type="spellStart"/>
      <w:r>
        <w:rPr>
          <w:color w:val="000000"/>
          <w:sz w:val="24"/>
          <w:szCs w:val="24"/>
        </w:rPr>
        <w:t>Macchiarelli</w:t>
      </w:r>
      <w:r>
        <w:rPr>
          <w:sz w:val="24"/>
          <w:szCs w:val="24"/>
          <w:vertAlign w:val="superscript"/>
        </w:rPr>
        <w:t>8</w:t>
      </w:r>
      <w:proofErr w:type="spellEnd"/>
      <w:r>
        <w:rPr>
          <w:color w:val="000000"/>
          <w:sz w:val="24"/>
          <w:szCs w:val="24"/>
        </w:rPr>
        <w:t xml:space="preserve">, not a member of the </w:t>
      </w:r>
      <w:proofErr w:type="spellStart"/>
      <w:r>
        <w:rPr>
          <w:color w:val="000000"/>
          <w:sz w:val="24"/>
          <w:szCs w:val="24"/>
        </w:rPr>
        <w:t>MPFT</w:t>
      </w:r>
      <w:proofErr w:type="spellEnd"/>
      <w:r>
        <w:rPr>
          <w:color w:val="000000"/>
          <w:sz w:val="24"/>
          <w:szCs w:val="24"/>
        </w:rPr>
        <w:t xml:space="preserve">. </w:t>
      </w:r>
      <w:proofErr w:type="spellStart"/>
      <w:r>
        <w:rPr>
          <w:color w:val="000000"/>
          <w:sz w:val="24"/>
          <w:szCs w:val="24"/>
        </w:rPr>
        <w:t>Macchiarelli</w:t>
      </w:r>
      <w:proofErr w:type="spellEnd"/>
      <w:r>
        <w:rPr>
          <w:color w:val="000000"/>
          <w:sz w:val="24"/>
          <w:szCs w:val="24"/>
        </w:rPr>
        <w:t xml:space="preserve"> correctly identified the femur to be that of a </w:t>
      </w:r>
      <w:proofErr w:type="spellStart"/>
      <w:r>
        <w:rPr>
          <w:color w:val="000000"/>
          <w:sz w:val="24"/>
          <w:szCs w:val="24"/>
        </w:rPr>
        <w:t>hominin</w:t>
      </w:r>
      <w:r>
        <w:rPr>
          <w:color w:val="000000"/>
          <w:sz w:val="24"/>
          <w:szCs w:val="24"/>
          <w:vertAlign w:val="superscript"/>
        </w:rPr>
        <w:t>8</w:t>
      </w:r>
      <w:proofErr w:type="spellEnd"/>
      <w:r>
        <w:rPr>
          <w:color w:val="000000"/>
          <w:sz w:val="24"/>
          <w:szCs w:val="24"/>
        </w:rPr>
        <w:t xml:space="preserve">. In parallel, the </w:t>
      </w:r>
      <w:proofErr w:type="spellStart"/>
      <w:r>
        <w:rPr>
          <w:color w:val="000000"/>
          <w:sz w:val="24"/>
          <w:szCs w:val="24"/>
        </w:rPr>
        <w:t>MPFT</w:t>
      </w:r>
      <w:proofErr w:type="spellEnd"/>
      <w:r>
        <w:rPr>
          <w:color w:val="000000"/>
          <w:sz w:val="24"/>
          <w:szCs w:val="24"/>
        </w:rPr>
        <w:t xml:space="preserve"> identified the ulnar remains. Later, the existence of a hominin femur from TM 266 leaked to the public prior to its formal description, damaging the ability of the </w:t>
      </w:r>
      <w:proofErr w:type="spellStart"/>
      <w:r>
        <w:rPr>
          <w:color w:val="000000"/>
          <w:sz w:val="24"/>
          <w:szCs w:val="24"/>
        </w:rPr>
        <w:t>MPFT</w:t>
      </w:r>
      <w:proofErr w:type="spellEnd"/>
      <w:r>
        <w:rPr>
          <w:color w:val="000000"/>
          <w:sz w:val="24"/>
          <w:szCs w:val="24"/>
        </w:rPr>
        <w:t xml:space="preserve"> to preserve the novelty of its disclosure for a formal scientific publication. Since 2004, the </w:t>
      </w:r>
      <w:proofErr w:type="spellStart"/>
      <w:r>
        <w:rPr>
          <w:color w:val="000000"/>
          <w:sz w:val="24"/>
          <w:szCs w:val="24"/>
        </w:rPr>
        <w:t>MPFT</w:t>
      </w:r>
      <w:proofErr w:type="spellEnd"/>
      <w:r>
        <w:rPr>
          <w:color w:val="000000"/>
          <w:sz w:val="24"/>
          <w:szCs w:val="24"/>
        </w:rPr>
        <w:t xml:space="preserve"> attempted discovering further remains documenting the postcranial anatomy of the TM hominins, to date unsuccessfully. </w:t>
      </w:r>
    </w:p>
    <w:p w14:paraId="5756664C" w14:textId="77777777" w:rsidR="001321DD" w:rsidRDefault="001321DD" w:rsidP="001321DD">
      <w:pPr>
        <w:widowControl w:val="0"/>
        <w:ind w:left="-24" w:right="-28"/>
        <w:jc w:val="both"/>
        <w:rPr>
          <w:color w:val="000000"/>
          <w:sz w:val="24"/>
          <w:szCs w:val="24"/>
        </w:rPr>
      </w:pPr>
    </w:p>
    <w:p w14:paraId="289F5ABC" w14:textId="77777777" w:rsidR="001321DD" w:rsidRDefault="001321DD" w:rsidP="001321DD">
      <w:pPr>
        <w:widowControl w:val="0"/>
        <w:ind w:left="-24" w:right="-23"/>
        <w:jc w:val="both"/>
        <w:rPr>
          <w:color w:val="000000"/>
          <w:sz w:val="24"/>
          <w:szCs w:val="24"/>
        </w:rPr>
      </w:pPr>
      <w:r>
        <w:rPr>
          <w:color w:val="000000"/>
          <w:sz w:val="24"/>
          <w:szCs w:val="24"/>
          <w:vertAlign w:val="superscript"/>
        </w:rPr>
        <w:t>1</w:t>
      </w:r>
      <w:r>
        <w:rPr>
          <w:color w:val="000000"/>
          <w:sz w:val="24"/>
          <w:szCs w:val="24"/>
        </w:rPr>
        <w:t xml:space="preserve"> Including three Chadian technicians of the Centre National </w:t>
      </w:r>
      <w:proofErr w:type="spellStart"/>
      <w:r>
        <w:rPr>
          <w:color w:val="000000"/>
          <w:sz w:val="24"/>
          <w:szCs w:val="24"/>
        </w:rPr>
        <w:t>d'Appui</w:t>
      </w:r>
      <w:proofErr w:type="spellEnd"/>
      <w:r>
        <w:rPr>
          <w:color w:val="000000"/>
          <w:sz w:val="24"/>
          <w:szCs w:val="24"/>
        </w:rPr>
        <w:t xml:space="preserve"> à la Recherche (</w:t>
      </w:r>
      <w:proofErr w:type="spellStart"/>
      <w:r>
        <w:rPr>
          <w:color w:val="000000"/>
          <w:sz w:val="24"/>
          <w:szCs w:val="24"/>
        </w:rPr>
        <w:t>CNAR</w:t>
      </w:r>
      <w:proofErr w:type="spellEnd"/>
      <w:r>
        <w:rPr>
          <w:color w:val="000000"/>
          <w:sz w:val="24"/>
          <w:szCs w:val="24"/>
        </w:rPr>
        <w:t xml:space="preserve">, now </w:t>
      </w:r>
      <w:proofErr w:type="spellStart"/>
      <w:r>
        <w:rPr>
          <w:color w:val="000000"/>
          <w:sz w:val="24"/>
          <w:szCs w:val="24"/>
        </w:rPr>
        <w:t>CNRD</w:t>
      </w:r>
      <w:proofErr w:type="spellEnd"/>
      <w:r>
        <w:rPr>
          <w:color w:val="000000"/>
          <w:sz w:val="24"/>
          <w:szCs w:val="24"/>
        </w:rPr>
        <w:t xml:space="preserve">) led by one “cooperation assistant” from the Embassy of France to Chad. </w:t>
      </w:r>
    </w:p>
    <w:p w14:paraId="0468B212" w14:textId="77777777" w:rsidR="001321DD" w:rsidRDefault="001321DD" w:rsidP="001321DD">
      <w:pPr>
        <w:widowControl w:val="0"/>
        <w:ind w:left="-24" w:right="-23"/>
        <w:jc w:val="both"/>
        <w:rPr>
          <w:sz w:val="24"/>
          <w:szCs w:val="24"/>
        </w:rPr>
      </w:pPr>
    </w:p>
    <w:p w14:paraId="3F8412DD" w14:textId="77777777" w:rsidR="001321DD" w:rsidRDefault="001321DD" w:rsidP="001321DD">
      <w:pPr>
        <w:widowControl w:val="0"/>
        <w:ind w:left="-24" w:right="-23"/>
        <w:jc w:val="both"/>
        <w:rPr>
          <w:sz w:val="24"/>
          <w:szCs w:val="24"/>
        </w:rPr>
      </w:pPr>
    </w:p>
    <w:p w14:paraId="48D47636" w14:textId="77777777" w:rsidR="001321DD" w:rsidRDefault="001321DD" w:rsidP="001321DD">
      <w:pPr>
        <w:widowControl w:val="0"/>
        <w:ind w:left="-24" w:right="-23"/>
        <w:jc w:val="both"/>
        <w:rPr>
          <w:b/>
          <w:sz w:val="24"/>
          <w:szCs w:val="24"/>
          <w:lang w:val="fr-FR"/>
        </w:rPr>
      </w:pPr>
      <w:proofErr w:type="spellStart"/>
      <w:r>
        <w:rPr>
          <w:b/>
          <w:sz w:val="24"/>
          <w:szCs w:val="24"/>
          <w:lang w:val="fr-FR"/>
        </w:rPr>
        <w:t>References</w:t>
      </w:r>
      <w:proofErr w:type="spellEnd"/>
    </w:p>
    <w:p w14:paraId="19C7CBDD" w14:textId="77777777" w:rsidR="001321DD" w:rsidRDefault="001321DD" w:rsidP="001321DD">
      <w:pPr>
        <w:widowControl w:val="0"/>
        <w:ind w:right="-23" w:hanging="1"/>
        <w:jc w:val="both"/>
        <w:rPr>
          <w:sz w:val="24"/>
          <w:szCs w:val="24"/>
          <w:highlight w:val="green"/>
          <w:lang w:val="fr-FR"/>
        </w:rPr>
      </w:pPr>
    </w:p>
    <w:p w14:paraId="20E49363" w14:textId="77777777" w:rsidR="001321DD" w:rsidRDefault="001321DD" w:rsidP="001321DD">
      <w:pPr>
        <w:widowControl w:val="0"/>
        <w:ind w:left="566" w:right="-23" w:hanging="566"/>
        <w:jc w:val="both"/>
        <w:rPr>
          <w:sz w:val="24"/>
          <w:szCs w:val="24"/>
          <w:lang w:val="fr-FR"/>
        </w:rPr>
      </w:pPr>
      <w:r>
        <w:rPr>
          <w:sz w:val="24"/>
          <w:szCs w:val="24"/>
          <w:lang w:val="fr-FR"/>
        </w:rPr>
        <w:t xml:space="preserve">1. Brunet, M. et al. </w:t>
      </w:r>
      <w:r>
        <w:rPr>
          <w:sz w:val="24"/>
          <w:szCs w:val="24"/>
        </w:rPr>
        <w:t xml:space="preserve">The first australopithecine 2,500 </w:t>
      </w:r>
      <w:proofErr w:type="spellStart"/>
      <w:r>
        <w:rPr>
          <w:sz w:val="24"/>
          <w:szCs w:val="24"/>
        </w:rPr>
        <w:t>kilometres</w:t>
      </w:r>
      <w:proofErr w:type="spellEnd"/>
      <w:r>
        <w:rPr>
          <w:sz w:val="24"/>
          <w:szCs w:val="24"/>
        </w:rPr>
        <w:t xml:space="preserve"> west of the Rift Valley (Chad). </w:t>
      </w:r>
      <w:r>
        <w:rPr>
          <w:i/>
          <w:sz w:val="24"/>
          <w:szCs w:val="24"/>
          <w:lang w:val="fr-FR"/>
        </w:rPr>
        <w:t>Nature</w:t>
      </w:r>
      <w:r>
        <w:rPr>
          <w:sz w:val="24"/>
          <w:szCs w:val="24"/>
          <w:lang w:val="fr-FR"/>
        </w:rPr>
        <w:t xml:space="preserve"> </w:t>
      </w:r>
      <w:r>
        <w:rPr>
          <w:b/>
          <w:sz w:val="24"/>
          <w:szCs w:val="24"/>
          <w:lang w:val="fr-FR"/>
        </w:rPr>
        <w:t>378</w:t>
      </w:r>
      <w:r>
        <w:rPr>
          <w:sz w:val="24"/>
          <w:szCs w:val="24"/>
          <w:lang w:val="fr-FR"/>
        </w:rPr>
        <w:t>, 273-275 (1995).</w:t>
      </w:r>
    </w:p>
    <w:p w14:paraId="7BF6F5FB" w14:textId="77777777" w:rsidR="001321DD" w:rsidRDefault="001321DD" w:rsidP="001321DD">
      <w:pPr>
        <w:widowControl w:val="0"/>
        <w:ind w:left="566" w:right="-23" w:hanging="566"/>
        <w:jc w:val="both"/>
        <w:rPr>
          <w:sz w:val="24"/>
          <w:szCs w:val="24"/>
        </w:rPr>
      </w:pPr>
      <w:r>
        <w:rPr>
          <w:sz w:val="24"/>
          <w:szCs w:val="24"/>
          <w:lang w:val="fr-FR"/>
        </w:rPr>
        <w:t xml:space="preserve">2. Brunet et al. </w:t>
      </w:r>
      <w:proofErr w:type="spellStart"/>
      <w:r>
        <w:rPr>
          <w:sz w:val="24"/>
          <w:szCs w:val="24"/>
          <w:lang w:val="fr-FR"/>
        </w:rPr>
        <w:t>Beauvilain</w:t>
      </w:r>
      <w:proofErr w:type="spellEnd"/>
      <w:r>
        <w:rPr>
          <w:sz w:val="24"/>
          <w:szCs w:val="24"/>
          <w:lang w:val="fr-FR"/>
        </w:rPr>
        <w:t xml:space="preserve">, A., Coppens, Y., </w:t>
      </w:r>
      <w:proofErr w:type="spellStart"/>
      <w:r>
        <w:rPr>
          <w:sz w:val="24"/>
          <w:szCs w:val="24"/>
          <w:lang w:val="fr-FR"/>
        </w:rPr>
        <w:t>Heintz</w:t>
      </w:r>
      <w:proofErr w:type="spellEnd"/>
      <w:r>
        <w:rPr>
          <w:sz w:val="24"/>
          <w:szCs w:val="24"/>
          <w:lang w:val="fr-FR"/>
        </w:rPr>
        <w:t xml:space="preserve">, E., &amp; </w:t>
      </w:r>
      <w:proofErr w:type="spellStart"/>
      <w:r>
        <w:rPr>
          <w:sz w:val="24"/>
          <w:szCs w:val="24"/>
          <w:lang w:val="fr-FR"/>
        </w:rPr>
        <w:t>Moutaye</w:t>
      </w:r>
      <w:proofErr w:type="spellEnd"/>
      <w:r>
        <w:rPr>
          <w:sz w:val="24"/>
          <w:szCs w:val="24"/>
          <w:lang w:val="fr-FR"/>
        </w:rPr>
        <w:t xml:space="preserve">, A. E. (1996). </w:t>
      </w:r>
      <w:proofErr w:type="spellStart"/>
      <w:r>
        <w:rPr>
          <w:i/>
          <w:sz w:val="24"/>
          <w:szCs w:val="24"/>
          <w:lang w:val="fr-FR"/>
        </w:rPr>
        <w:t>Australopithecus</w:t>
      </w:r>
      <w:proofErr w:type="spellEnd"/>
      <w:r>
        <w:rPr>
          <w:i/>
          <w:sz w:val="24"/>
          <w:szCs w:val="24"/>
          <w:lang w:val="fr-FR"/>
        </w:rPr>
        <w:t xml:space="preserve"> </w:t>
      </w:r>
      <w:proofErr w:type="spellStart"/>
      <w:r>
        <w:rPr>
          <w:i/>
          <w:sz w:val="24"/>
          <w:szCs w:val="24"/>
          <w:lang w:val="fr-FR"/>
        </w:rPr>
        <w:t>bahrelghazali</w:t>
      </w:r>
      <w:proofErr w:type="spellEnd"/>
      <w:r>
        <w:rPr>
          <w:sz w:val="24"/>
          <w:szCs w:val="24"/>
          <w:lang w:val="fr-FR"/>
        </w:rPr>
        <w:t xml:space="preserve">, une nouvelle espèce d'Hominidé ancien de la région de Koro Toro (Tchad). </w:t>
      </w:r>
      <w:r>
        <w:rPr>
          <w:i/>
          <w:sz w:val="24"/>
          <w:szCs w:val="24"/>
        </w:rPr>
        <w:t xml:space="preserve">C. R. Acad. Sci. </w:t>
      </w:r>
      <w:r>
        <w:rPr>
          <w:sz w:val="24"/>
          <w:szCs w:val="24"/>
        </w:rPr>
        <w:t xml:space="preserve">Paris </w:t>
      </w:r>
      <w:r>
        <w:rPr>
          <w:b/>
          <w:sz w:val="24"/>
          <w:szCs w:val="24"/>
        </w:rPr>
        <w:t>322</w:t>
      </w:r>
      <w:r>
        <w:rPr>
          <w:sz w:val="24"/>
          <w:szCs w:val="24"/>
        </w:rPr>
        <w:t>, 907-913 (1996).</w:t>
      </w:r>
    </w:p>
    <w:p w14:paraId="4C47A727" w14:textId="77777777" w:rsidR="001321DD" w:rsidRDefault="001321DD" w:rsidP="001321DD">
      <w:pPr>
        <w:widowControl w:val="0"/>
        <w:ind w:left="566" w:right="-23" w:hanging="566"/>
        <w:jc w:val="both"/>
        <w:rPr>
          <w:sz w:val="24"/>
          <w:szCs w:val="24"/>
          <w:lang w:val="fr-FR"/>
        </w:rPr>
      </w:pPr>
      <w:r>
        <w:rPr>
          <w:sz w:val="24"/>
          <w:szCs w:val="24"/>
        </w:rPr>
        <w:t xml:space="preserve">3. Brunet, M. </w:t>
      </w:r>
      <w:r>
        <w:rPr>
          <w:i/>
          <w:sz w:val="24"/>
          <w:szCs w:val="24"/>
        </w:rPr>
        <w:t xml:space="preserve">et al. </w:t>
      </w:r>
      <w:r>
        <w:rPr>
          <w:sz w:val="24"/>
          <w:szCs w:val="24"/>
        </w:rPr>
        <w:t xml:space="preserve">A new hominid from the Upper Miocene of Chad, Central Africa. </w:t>
      </w:r>
      <w:r>
        <w:rPr>
          <w:i/>
          <w:sz w:val="24"/>
          <w:szCs w:val="24"/>
          <w:lang w:val="fr-FR"/>
        </w:rPr>
        <w:t xml:space="preserve">Nature </w:t>
      </w:r>
      <w:r>
        <w:rPr>
          <w:b/>
          <w:sz w:val="24"/>
          <w:szCs w:val="24"/>
          <w:lang w:val="fr-FR"/>
        </w:rPr>
        <w:t>418</w:t>
      </w:r>
      <w:r>
        <w:rPr>
          <w:sz w:val="24"/>
          <w:szCs w:val="24"/>
          <w:lang w:val="fr-FR"/>
        </w:rPr>
        <w:t>, 145-151 (2002).</w:t>
      </w:r>
    </w:p>
    <w:p w14:paraId="73E45E81" w14:textId="77777777" w:rsidR="001321DD" w:rsidRDefault="001321DD" w:rsidP="001321DD">
      <w:pPr>
        <w:widowControl w:val="0"/>
        <w:ind w:left="566" w:right="-28" w:hanging="566"/>
        <w:jc w:val="both"/>
        <w:rPr>
          <w:sz w:val="24"/>
          <w:szCs w:val="24"/>
        </w:rPr>
      </w:pPr>
      <w:r>
        <w:rPr>
          <w:sz w:val="24"/>
          <w:szCs w:val="24"/>
          <w:lang w:val="fr-FR"/>
        </w:rPr>
        <w:t xml:space="preserve">4. </w:t>
      </w:r>
      <w:proofErr w:type="spellStart"/>
      <w:r>
        <w:rPr>
          <w:sz w:val="24"/>
          <w:szCs w:val="24"/>
          <w:lang w:val="fr-FR"/>
        </w:rPr>
        <w:t>Beauvilain</w:t>
      </w:r>
      <w:proofErr w:type="spellEnd"/>
      <w:r>
        <w:rPr>
          <w:sz w:val="24"/>
          <w:szCs w:val="24"/>
          <w:lang w:val="fr-FR"/>
        </w:rPr>
        <w:t>, A., Watté, J. P. Toumaï (</w:t>
      </w:r>
      <w:proofErr w:type="spellStart"/>
      <w:r>
        <w:rPr>
          <w:i/>
          <w:sz w:val="24"/>
          <w:szCs w:val="24"/>
          <w:lang w:val="fr-FR"/>
        </w:rPr>
        <w:t>Sahelanthropus</w:t>
      </w:r>
      <w:proofErr w:type="spellEnd"/>
      <w:r>
        <w:rPr>
          <w:i/>
          <w:sz w:val="24"/>
          <w:szCs w:val="24"/>
          <w:lang w:val="fr-FR"/>
        </w:rPr>
        <w:t xml:space="preserve"> </w:t>
      </w:r>
      <w:proofErr w:type="spellStart"/>
      <w:r>
        <w:rPr>
          <w:i/>
          <w:sz w:val="24"/>
          <w:szCs w:val="24"/>
          <w:lang w:val="fr-FR"/>
        </w:rPr>
        <w:t>tchadensis</w:t>
      </w:r>
      <w:proofErr w:type="spellEnd"/>
      <w:r>
        <w:rPr>
          <w:sz w:val="24"/>
          <w:szCs w:val="24"/>
          <w:lang w:val="fr-FR"/>
        </w:rPr>
        <w:t xml:space="preserve">) </w:t>
      </w:r>
      <w:proofErr w:type="spellStart"/>
      <w:r>
        <w:rPr>
          <w:sz w:val="24"/>
          <w:szCs w:val="24"/>
          <w:lang w:val="fr-FR"/>
        </w:rPr>
        <w:t>a t</w:t>
      </w:r>
      <w:proofErr w:type="spellEnd"/>
      <w:r>
        <w:rPr>
          <w:sz w:val="24"/>
          <w:szCs w:val="24"/>
          <w:lang w:val="fr-FR"/>
        </w:rPr>
        <w:t xml:space="preserve">-il été inhumé ? </w:t>
      </w:r>
      <w:r>
        <w:rPr>
          <w:i/>
          <w:sz w:val="24"/>
          <w:szCs w:val="24"/>
        </w:rPr>
        <w:t xml:space="preserve">Bull. Soc. </w:t>
      </w:r>
      <w:proofErr w:type="spellStart"/>
      <w:r>
        <w:rPr>
          <w:i/>
          <w:sz w:val="24"/>
          <w:szCs w:val="24"/>
        </w:rPr>
        <w:t>Géol</w:t>
      </w:r>
      <w:proofErr w:type="spellEnd"/>
      <w:r>
        <w:rPr>
          <w:i/>
          <w:sz w:val="24"/>
          <w:szCs w:val="24"/>
        </w:rPr>
        <w:t>. Normandie</w:t>
      </w:r>
      <w:r>
        <w:rPr>
          <w:sz w:val="24"/>
          <w:szCs w:val="24"/>
        </w:rPr>
        <w:t xml:space="preserve"> </w:t>
      </w:r>
      <w:r>
        <w:rPr>
          <w:b/>
          <w:sz w:val="24"/>
          <w:szCs w:val="24"/>
        </w:rPr>
        <w:t>96</w:t>
      </w:r>
      <w:r>
        <w:rPr>
          <w:sz w:val="24"/>
          <w:szCs w:val="24"/>
        </w:rPr>
        <w:t>, 19-26 (2009).</w:t>
      </w:r>
    </w:p>
    <w:p w14:paraId="1B0A64D1" w14:textId="77777777" w:rsidR="001321DD" w:rsidRDefault="001321DD" w:rsidP="001321DD">
      <w:pPr>
        <w:widowControl w:val="0"/>
        <w:ind w:left="566" w:right="-28" w:hanging="566"/>
        <w:jc w:val="both"/>
        <w:rPr>
          <w:sz w:val="24"/>
          <w:szCs w:val="24"/>
        </w:rPr>
      </w:pPr>
      <w:r>
        <w:rPr>
          <w:sz w:val="24"/>
          <w:szCs w:val="24"/>
        </w:rPr>
        <w:t xml:space="preserve">5. Brunet, M. </w:t>
      </w:r>
      <w:r>
        <w:rPr>
          <w:i/>
          <w:sz w:val="24"/>
          <w:szCs w:val="24"/>
        </w:rPr>
        <w:t xml:space="preserve">et al. </w:t>
      </w:r>
      <w:r>
        <w:rPr>
          <w:sz w:val="24"/>
          <w:szCs w:val="24"/>
        </w:rPr>
        <w:t xml:space="preserve">New material of the earliest hominid from the Upper Miocene of Chad. </w:t>
      </w:r>
      <w:r>
        <w:rPr>
          <w:i/>
          <w:sz w:val="24"/>
          <w:szCs w:val="24"/>
        </w:rPr>
        <w:t xml:space="preserve">Nature </w:t>
      </w:r>
      <w:r>
        <w:rPr>
          <w:b/>
          <w:sz w:val="24"/>
          <w:szCs w:val="24"/>
        </w:rPr>
        <w:t>434</w:t>
      </w:r>
      <w:r>
        <w:rPr>
          <w:sz w:val="24"/>
          <w:szCs w:val="24"/>
        </w:rPr>
        <w:t>, 752-755 (2005).</w:t>
      </w:r>
    </w:p>
    <w:p w14:paraId="78CA5367" w14:textId="77777777" w:rsidR="001321DD" w:rsidRDefault="001321DD" w:rsidP="001321DD">
      <w:pPr>
        <w:widowControl w:val="0"/>
        <w:ind w:left="566" w:right="-23" w:hanging="566"/>
        <w:jc w:val="both"/>
        <w:rPr>
          <w:sz w:val="24"/>
          <w:szCs w:val="24"/>
        </w:rPr>
      </w:pPr>
      <w:r>
        <w:rPr>
          <w:sz w:val="24"/>
          <w:szCs w:val="24"/>
        </w:rPr>
        <w:t xml:space="preserve">6. Brunet, M. </w:t>
      </w:r>
      <w:r>
        <w:rPr>
          <w:i/>
          <w:sz w:val="24"/>
          <w:szCs w:val="24"/>
        </w:rPr>
        <w:t xml:space="preserve">et al. </w:t>
      </w:r>
      <w:r>
        <w:rPr>
          <w:sz w:val="24"/>
          <w:szCs w:val="24"/>
        </w:rPr>
        <w:t xml:space="preserve">A new hominid from the Upper Miocene of Chad, Central Africa. </w:t>
      </w:r>
      <w:r>
        <w:rPr>
          <w:i/>
          <w:sz w:val="24"/>
          <w:szCs w:val="24"/>
        </w:rPr>
        <w:t xml:space="preserve">Nature </w:t>
      </w:r>
      <w:r>
        <w:rPr>
          <w:b/>
          <w:sz w:val="24"/>
          <w:szCs w:val="24"/>
        </w:rPr>
        <w:t>418</w:t>
      </w:r>
      <w:r>
        <w:rPr>
          <w:sz w:val="24"/>
          <w:szCs w:val="24"/>
        </w:rPr>
        <w:t>, 145-151 (2002).</w:t>
      </w:r>
    </w:p>
    <w:p w14:paraId="04EEA071" w14:textId="77777777" w:rsidR="001321DD" w:rsidRDefault="001321DD" w:rsidP="001321DD">
      <w:pPr>
        <w:widowControl w:val="0"/>
        <w:ind w:left="566" w:right="-23" w:hanging="566"/>
        <w:jc w:val="both"/>
        <w:rPr>
          <w:sz w:val="24"/>
          <w:szCs w:val="24"/>
        </w:rPr>
      </w:pPr>
      <w:r>
        <w:rPr>
          <w:sz w:val="24"/>
          <w:szCs w:val="24"/>
        </w:rPr>
        <w:t xml:space="preserve">7. </w:t>
      </w:r>
      <w:proofErr w:type="spellStart"/>
      <w:r>
        <w:rPr>
          <w:sz w:val="24"/>
          <w:szCs w:val="24"/>
        </w:rPr>
        <w:t>Vignaud</w:t>
      </w:r>
      <w:proofErr w:type="spellEnd"/>
      <w:r>
        <w:rPr>
          <w:sz w:val="24"/>
          <w:szCs w:val="24"/>
        </w:rPr>
        <w:t xml:space="preserve">, P. </w:t>
      </w:r>
      <w:r>
        <w:rPr>
          <w:i/>
          <w:sz w:val="24"/>
          <w:szCs w:val="24"/>
        </w:rPr>
        <w:t xml:space="preserve">et al. </w:t>
      </w:r>
      <w:r>
        <w:rPr>
          <w:sz w:val="24"/>
          <w:szCs w:val="24"/>
        </w:rPr>
        <w:t xml:space="preserve">Geology and </w:t>
      </w:r>
      <w:proofErr w:type="spellStart"/>
      <w:r>
        <w:rPr>
          <w:sz w:val="24"/>
          <w:szCs w:val="24"/>
        </w:rPr>
        <w:t>palaeontology</w:t>
      </w:r>
      <w:proofErr w:type="spellEnd"/>
      <w:r>
        <w:rPr>
          <w:sz w:val="24"/>
          <w:szCs w:val="24"/>
        </w:rPr>
        <w:t xml:space="preserve"> of the Upper Miocene Toros-</w:t>
      </w:r>
      <w:proofErr w:type="spellStart"/>
      <w:r>
        <w:rPr>
          <w:sz w:val="24"/>
          <w:szCs w:val="24"/>
        </w:rPr>
        <w:t>Menalla</w:t>
      </w:r>
      <w:proofErr w:type="spellEnd"/>
      <w:r>
        <w:rPr>
          <w:sz w:val="24"/>
          <w:szCs w:val="24"/>
        </w:rPr>
        <w:t xml:space="preserve"> hominid locality, Chad. </w:t>
      </w:r>
      <w:r>
        <w:rPr>
          <w:i/>
          <w:sz w:val="24"/>
          <w:szCs w:val="24"/>
        </w:rPr>
        <w:t xml:space="preserve">Nature </w:t>
      </w:r>
      <w:r>
        <w:rPr>
          <w:b/>
          <w:sz w:val="24"/>
          <w:szCs w:val="24"/>
        </w:rPr>
        <w:t>418</w:t>
      </w:r>
      <w:r>
        <w:rPr>
          <w:sz w:val="24"/>
          <w:szCs w:val="24"/>
        </w:rPr>
        <w:t>, 152-155 (2002).</w:t>
      </w:r>
    </w:p>
    <w:p w14:paraId="518DB2A4" w14:textId="77777777" w:rsidR="001321DD" w:rsidRDefault="001321DD" w:rsidP="001321DD">
      <w:pPr>
        <w:widowControl w:val="0"/>
        <w:ind w:left="566" w:right="-28" w:hanging="566"/>
        <w:jc w:val="both"/>
        <w:rPr>
          <w:sz w:val="24"/>
          <w:szCs w:val="24"/>
        </w:rPr>
      </w:pPr>
      <w:r>
        <w:rPr>
          <w:sz w:val="24"/>
          <w:szCs w:val="24"/>
        </w:rPr>
        <w:t xml:space="preserve">8. Callaway, E. Femur findings remain a secret. </w:t>
      </w:r>
      <w:r>
        <w:rPr>
          <w:i/>
          <w:sz w:val="24"/>
          <w:szCs w:val="24"/>
        </w:rPr>
        <w:t>Nature</w:t>
      </w:r>
      <w:r>
        <w:rPr>
          <w:sz w:val="24"/>
          <w:szCs w:val="24"/>
        </w:rPr>
        <w:t xml:space="preserve"> </w:t>
      </w:r>
      <w:r>
        <w:rPr>
          <w:b/>
          <w:sz w:val="24"/>
          <w:szCs w:val="24"/>
        </w:rPr>
        <w:t>553</w:t>
      </w:r>
      <w:r>
        <w:rPr>
          <w:sz w:val="24"/>
          <w:szCs w:val="24"/>
        </w:rPr>
        <w:t xml:space="preserve">, 391-392 (2018). </w:t>
      </w:r>
    </w:p>
    <w:p w14:paraId="440B2222" w14:textId="77777777" w:rsidR="001321DD" w:rsidRDefault="001321DD" w:rsidP="001321DD">
      <w:pPr>
        <w:widowControl w:val="0"/>
        <w:ind w:left="-24" w:right="-28"/>
        <w:jc w:val="both"/>
        <w:rPr>
          <w:sz w:val="24"/>
          <w:szCs w:val="24"/>
          <w:highlight w:val="yellow"/>
        </w:rPr>
      </w:pPr>
    </w:p>
    <w:p w14:paraId="7A29430C" w14:textId="77777777" w:rsidR="001321DD" w:rsidRDefault="001321DD" w:rsidP="001321DD">
      <w:pPr>
        <w:rPr>
          <w:sz w:val="24"/>
          <w:szCs w:val="24"/>
          <w:highlight w:val="yellow"/>
        </w:rPr>
      </w:pPr>
    </w:p>
    <w:p w14:paraId="5F67D63D" w14:textId="77777777" w:rsidR="00EF2725" w:rsidRDefault="00EF2725"/>
    <w:sectPr w:rsidR="00EF27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1DD"/>
    <w:rsid w:val="001321DD"/>
    <w:rsid w:val="00EF27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0A9A0"/>
  <w15:chartTrackingRefBased/>
  <w15:docId w15:val="{13B26F82-9CFF-44E3-9473-9DC59B774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1DD"/>
    <w:pPr>
      <w:spacing w:after="0" w:line="276" w:lineRule="auto"/>
    </w:pPr>
    <w:rPr>
      <w:rFonts w:ascii="Arial" w:eastAsia="Arial" w:hAnsi="Arial" w:cs="Arial"/>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46620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2228</Words>
  <Characters>12703</Characters>
  <Application>Microsoft Office Word</Application>
  <DocSecurity>0</DocSecurity>
  <Lines>105</Lines>
  <Paragraphs>29</Paragraphs>
  <ScaleCrop>false</ScaleCrop>
  <Company/>
  <LinksUpToDate>false</LinksUpToDate>
  <CharactersWithSpaces>14902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2020-09-09T12:57:00Z</dcterms:created>
  <dcterms:modified xsi:type="dcterms:W3CDTF">2020-09-09T12:57:00Z</dcterms:modified>
</cp:coreProperties>
</file>