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1329B" w14:textId="77777777" w:rsidR="00AD274F" w:rsidRPr="00C36C8A" w:rsidRDefault="00AD274F" w:rsidP="00AD274F">
      <w:pPr>
        <w:spacing w:after="0" w:line="240" w:lineRule="auto"/>
        <w:textAlignment w:val="baseline"/>
        <w:rPr>
          <w:rFonts w:asciiTheme="minorBidi" w:eastAsia="Times New Roman" w:hAnsiTheme="minorBidi"/>
          <w:lang w:val="en-US" w:eastAsia="es-CO"/>
        </w:rPr>
      </w:pPr>
      <w:r w:rsidRPr="00C36C8A">
        <w:rPr>
          <w:rFonts w:asciiTheme="minorBidi" w:eastAsia="Times New Roman" w:hAnsiTheme="minorBidi"/>
          <w:b/>
          <w:bCs/>
          <w:lang w:val="en-US" w:eastAsia="es-CO"/>
        </w:rPr>
        <w:t xml:space="preserve">Additional file </w:t>
      </w:r>
      <w:r>
        <w:rPr>
          <w:rFonts w:asciiTheme="minorBidi" w:eastAsia="Times New Roman" w:hAnsiTheme="minorBidi"/>
          <w:b/>
          <w:bCs/>
          <w:lang w:val="en-US" w:eastAsia="es-CO"/>
        </w:rPr>
        <w:t>2</w:t>
      </w:r>
      <w:r w:rsidRPr="00C36C8A">
        <w:rPr>
          <w:rFonts w:asciiTheme="minorBidi" w:eastAsia="Times New Roman" w:hAnsiTheme="minorBidi"/>
          <w:lang w:val="en-US" w:eastAsia="es-CO"/>
        </w:rPr>
        <w:t>. Characteristics of the prehabilitation programs in the included studies</w:t>
      </w:r>
      <w:r>
        <w:rPr>
          <w:rFonts w:asciiTheme="minorBidi" w:eastAsia="Times New Roman" w:hAnsiTheme="minorBidi"/>
          <w:lang w:val="en-US" w:eastAsia="es-CO"/>
        </w:rPr>
        <w:t xml:space="preserve"> (n=14)</w:t>
      </w:r>
    </w:p>
    <w:p w14:paraId="3A3F214D" w14:textId="77777777" w:rsidR="00AD274F" w:rsidRPr="00C36C8A" w:rsidRDefault="00AD274F" w:rsidP="00AD274F">
      <w:pPr>
        <w:spacing w:after="0" w:line="240" w:lineRule="auto"/>
        <w:textAlignment w:val="baseline"/>
        <w:rPr>
          <w:rFonts w:asciiTheme="minorBidi" w:eastAsia="Times New Roman" w:hAnsiTheme="minorBidi"/>
          <w:lang w:val="en-US" w:eastAsia="es-CO"/>
        </w:rPr>
      </w:pPr>
    </w:p>
    <w:tbl>
      <w:tblPr>
        <w:tblW w:w="139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3"/>
        <w:gridCol w:w="1138"/>
        <w:gridCol w:w="1423"/>
        <w:gridCol w:w="1849"/>
        <w:gridCol w:w="1138"/>
        <w:gridCol w:w="996"/>
        <w:gridCol w:w="2134"/>
        <w:gridCol w:w="1138"/>
        <w:gridCol w:w="1138"/>
        <w:gridCol w:w="1707"/>
      </w:tblGrid>
      <w:tr w:rsidR="00AD274F" w:rsidRPr="00C36C8A" w14:paraId="0DCC2A0C" w14:textId="77777777" w:rsidTr="0064757F">
        <w:trPr>
          <w:trHeight w:val="956"/>
        </w:trPr>
        <w:tc>
          <w:tcPr>
            <w:tcW w:w="127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ED5B45"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Study ID</w:t>
            </w:r>
            <w:r w:rsidRPr="00C36C8A">
              <w:rPr>
                <w:rFonts w:asciiTheme="minorBidi" w:eastAsia="Times New Roman" w:hAnsiTheme="minorBidi"/>
                <w:sz w:val="16"/>
                <w:szCs w:val="16"/>
                <w:lang w:val="en-US" w:eastAsia="es-CO"/>
              </w:rPr>
              <w:t> </w:t>
            </w:r>
          </w:p>
        </w:tc>
        <w:tc>
          <w:tcPr>
            <w:tcW w:w="1138" w:type="dxa"/>
            <w:tcBorders>
              <w:top w:val="single" w:sz="6" w:space="0" w:color="auto"/>
              <w:left w:val="nil"/>
              <w:bottom w:val="single" w:sz="6" w:space="0" w:color="auto"/>
              <w:right w:val="single" w:sz="6" w:space="0" w:color="auto"/>
            </w:tcBorders>
            <w:shd w:val="clear" w:color="auto" w:fill="D9E2F3" w:themeFill="accent1" w:themeFillTint="33"/>
            <w:hideMark/>
          </w:tcPr>
          <w:p w14:paraId="06D326C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Type of training</w:t>
            </w:r>
            <w:r w:rsidRPr="00C36C8A">
              <w:rPr>
                <w:rFonts w:asciiTheme="minorBidi" w:eastAsia="Times New Roman" w:hAnsiTheme="minorBidi"/>
                <w:sz w:val="16"/>
                <w:szCs w:val="16"/>
                <w:lang w:val="en-US" w:eastAsia="es-CO"/>
              </w:rPr>
              <w:t> </w:t>
            </w:r>
          </w:p>
        </w:tc>
        <w:tc>
          <w:tcPr>
            <w:tcW w:w="1423" w:type="dxa"/>
            <w:tcBorders>
              <w:top w:val="single" w:sz="6" w:space="0" w:color="auto"/>
              <w:left w:val="nil"/>
              <w:bottom w:val="single" w:sz="6" w:space="0" w:color="auto"/>
              <w:right w:val="single" w:sz="6" w:space="0" w:color="auto"/>
            </w:tcBorders>
            <w:shd w:val="clear" w:color="auto" w:fill="D9E2F3" w:themeFill="accent1" w:themeFillTint="33"/>
            <w:hideMark/>
          </w:tcPr>
          <w:p w14:paraId="6D84844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Duration (minutes)</w:t>
            </w:r>
            <w:r w:rsidRPr="00C36C8A">
              <w:rPr>
                <w:rFonts w:asciiTheme="minorBidi" w:eastAsia="Times New Roman" w:hAnsiTheme="minorBidi"/>
                <w:sz w:val="16"/>
                <w:szCs w:val="16"/>
                <w:lang w:val="en-US" w:eastAsia="es-CO"/>
              </w:rPr>
              <w:t> </w:t>
            </w:r>
          </w:p>
          <w:p w14:paraId="0FD370A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Length (weeks)</w:t>
            </w:r>
            <w:r w:rsidRPr="00C36C8A">
              <w:rPr>
                <w:rFonts w:asciiTheme="minorBidi" w:eastAsia="Times New Roman" w:hAnsiTheme="minorBidi"/>
                <w:sz w:val="16"/>
                <w:szCs w:val="16"/>
                <w:lang w:val="en-US" w:eastAsia="es-CO"/>
              </w:rPr>
              <w:t> </w:t>
            </w:r>
          </w:p>
          <w:p w14:paraId="3D95C75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Frequency (sessions/week)</w:t>
            </w:r>
            <w:r w:rsidRPr="00C36C8A">
              <w:rPr>
                <w:rFonts w:asciiTheme="minorBidi" w:eastAsia="Times New Roman" w:hAnsiTheme="minorBidi"/>
                <w:sz w:val="16"/>
                <w:szCs w:val="16"/>
                <w:lang w:val="en-US" w:eastAsia="es-CO"/>
              </w:rPr>
              <w:t> </w:t>
            </w:r>
          </w:p>
        </w:tc>
        <w:tc>
          <w:tcPr>
            <w:tcW w:w="1849" w:type="dxa"/>
            <w:tcBorders>
              <w:top w:val="single" w:sz="6" w:space="0" w:color="auto"/>
              <w:left w:val="nil"/>
              <w:bottom w:val="single" w:sz="6" w:space="0" w:color="auto"/>
              <w:right w:val="single" w:sz="6" w:space="0" w:color="auto"/>
            </w:tcBorders>
            <w:shd w:val="clear" w:color="auto" w:fill="D9E2F3" w:themeFill="accent1" w:themeFillTint="33"/>
            <w:hideMark/>
          </w:tcPr>
          <w:p w14:paraId="360DBE3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Components</w:t>
            </w:r>
            <w:r w:rsidRPr="00C36C8A">
              <w:rPr>
                <w:rFonts w:asciiTheme="minorBidi" w:eastAsia="Times New Roman" w:hAnsiTheme="minorBidi"/>
                <w:sz w:val="16"/>
                <w:szCs w:val="16"/>
                <w:lang w:val="en-US" w:eastAsia="es-CO"/>
              </w:rPr>
              <w:t> </w:t>
            </w:r>
          </w:p>
        </w:tc>
        <w:tc>
          <w:tcPr>
            <w:tcW w:w="1138" w:type="dxa"/>
            <w:tcBorders>
              <w:top w:val="single" w:sz="6" w:space="0" w:color="auto"/>
              <w:left w:val="nil"/>
              <w:bottom w:val="single" w:sz="6" w:space="0" w:color="auto"/>
              <w:right w:val="single" w:sz="6" w:space="0" w:color="auto"/>
            </w:tcBorders>
            <w:shd w:val="clear" w:color="auto" w:fill="D9E2F3" w:themeFill="accent1" w:themeFillTint="33"/>
            <w:hideMark/>
          </w:tcPr>
          <w:p w14:paraId="4847C4E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Sessions before surgery/after surgery</w:t>
            </w:r>
            <w:r w:rsidRPr="00C36C8A">
              <w:rPr>
                <w:rFonts w:asciiTheme="minorBidi" w:eastAsia="Times New Roman" w:hAnsiTheme="minorBidi"/>
                <w:sz w:val="16"/>
                <w:szCs w:val="16"/>
                <w:lang w:val="en-US" w:eastAsia="es-CO"/>
              </w:rPr>
              <w:t> </w:t>
            </w:r>
          </w:p>
        </w:tc>
        <w:tc>
          <w:tcPr>
            <w:tcW w:w="996" w:type="dxa"/>
            <w:tcBorders>
              <w:top w:val="single" w:sz="6" w:space="0" w:color="auto"/>
              <w:left w:val="nil"/>
              <w:bottom w:val="single" w:sz="6" w:space="0" w:color="auto"/>
              <w:right w:val="single" w:sz="6" w:space="0" w:color="auto"/>
            </w:tcBorders>
            <w:shd w:val="clear" w:color="auto" w:fill="D9E2F3" w:themeFill="accent1" w:themeFillTint="33"/>
            <w:hideMark/>
          </w:tcPr>
          <w:p w14:paraId="0459F29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Adherence</w:t>
            </w:r>
            <w:r w:rsidRPr="00C36C8A">
              <w:rPr>
                <w:rFonts w:asciiTheme="minorBidi" w:eastAsia="Times New Roman" w:hAnsiTheme="minorBidi"/>
                <w:sz w:val="16"/>
                <w:szCs w:val="16"/>
                <w:lang w:val="en-US" w:eastAsia="es-CO"/>
              </w:rPr>
              <w:t> </w:t>
            </w:r>
          </w:p>
          <w:p w14:paraId="09BB68F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w:t>
            </w:r>
            <w:r w:rsidRPr="00C36C8A">
              <w:rPr>
                <w:rFonts w:asciiTheme="minorBidi" w:eastAsia="Times New Roman" w:hAnsiTheme="minorBidi"/>
                <w:sz w:val="16"/>
                <w:szCs w:val="16"/>
                <w:lang w:val="en-US" w:eastAsia="es-CO"/>
              </w:rPr>
              <w:t> </w:t>
            </w:r>
          </w:p>
        </w:tc>
        <w:tc>
          <w:tcPr>
            <w:tcW w:w="2134" w:type="dxa"/>
            <w:tcBorders>
              <w:top w:val="single" w:sz="6" w:space="0" w:color="auto"/>
              <w:left w:val="nil"/>
              <w:bottom w:val="single" w:sz="6" w:space="0" w:color="auto"/>
              <w:right w:val="single" w:sz="6" w:space="0" w:color="auto"/>
            </w:tcBorders>
            <w:shd w:val="clear" w:color="auto" w:fill="D9E2F3" w:themeFill="accent1" w:themeFillTint="33"/>
            <w:hideMark/>
          </w:tcPr>
          <w:p w14:paraId="75B584D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Intensity</w:t>
            </w:r>
            <w:r w:rsidRPr="00C36C8A">
              <w:rPr>
                <w:rFonts w:asciiTheme="minorBidi" w:eastAsia="Times New Roman" w:hAnsiTheme="minorBidi"/>
                <w:sz w:val="16"/>
                <w:szCs w:val="16"/>
                <w:lang w:val="en-US" w:eastAsia="es-CO"/>
              </w:rPr>
              <w:t> </w:t>
            </w:r>
          </w:p>
        </w:tc>
        <w:tc>
          <w:tcPr>
            <w:tcW w:w="1138" w:type="dxa"/>
            <w:tcBorders>
              <w:top w:val="single" w:sz="6" w:space="0" w:color="auto"/>
              <w:left w:val="nil"/>
              <w:bottom w:val="single" w:sz="6" w:space="0" w:color="auto"/>
              <w:right w:val="single" w:sz="6" w:space="0" w:color="auto"/>
            </w:tcBorders>
            <w:shd w:val="clear" w:color="auto" w:fill="D9E2F3" w:themeFill="accent1" w:themeFillTint="33"/>
            <w:hideMark/>
          </w:tcPr>
          <w:p w14:paraId="4FB7360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Setting</w:t>
            </w:r>
            <w:r w:rsidRPr="00C36C8A">
              <w:rPr>
                <w:rFonts w:asciiTheme="minorBidi" w:eastAsia="Times New Roman" w:hAnsiTheme="minorBidi"/>
                <w:sz w:val="16"/>
                <w:szCs w:val="16"/>
                <w:lang w:val="en-US" w:eastAsia="es-CO"/>
              </w:rPr>
              <w:t> </w:t>
            </w:r>
          </w:p>
        </w:tc>
        <w:tc>
          <w:tcPr>
            <w:tcW w:w="1138" w:type="dxa"/>
            <w:tcBorders>
              <w:top w:val="single" w:sz="6" w:space="0" w:color="auto"/>
              <w:left w:val="nil"/>
              <w:bottom w:val="single" w:sz="6" w:space="0" w:color="auto"/>
              <w:right w:val="single" w:sz="6" w:space="0" w:color="auto"/>
            </w:tcBorders>
            <w:shd w:val="clear" w:color="auto" w:fill="D9E2F3" w:themeFill="accent1" w:themeFillTint="33"/>
            <w:hideMark/>
          </w:tcPr>
          <w:p w14:paraId="429F99D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Supervised</w:t>
            </w:r>
            <w:r w:rsidRPr="00C36C8A">
              <w:rPr>
                <w:rFonts w:asciiTheme="minorBidi" w:eastAsia="Times New Roman" w:hAnsiTheme="minorBidi"/>
                <w:sz w:val="16"/>
                <w:szCs w:val="16"/>
                <w:lang w:val="en-US" w:eastAsia="es-CO"/>
              </w:rPr>
              <w:t> </w:t>
            </w:r>
          </w:p>
        </w:tc>
        <w:tc>
          <w:tcPr>
            <w:tcW w:w="1707" w:type="dxa"/>
            <w:tcBorders>
              <w:top w:val="single" w:sz="6" w:space="0" w:color="auto"/>
              <w:left w:val="nil"/>
              <w:bottom w:val="single" w:sz="6" w:space="0" w:color="auto"/>
              <w:right w:val="single" w:sz="6" w:space="0" w:color="auto"/>
            </w:tcBorders>
            <w:shd w:val="clear" w:color="auto" w:fill="D9E2F3" w:themeFill="accent1" w:themeFillTint="33"/>
            <w:hideMark/>
          </w:tcPr>
          <w:p w14:paraId="7FDE4A0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b/>
                <w:bCs/>
                <w:sz w:val="16"/>
                <w:szCs w:val="16"/>
                <w:lang w:val="en-US" w:eastAsia="es-CO"/>
              </w:rPr>
              <w:t>Multidisciplinary team</w:t>
            </w:r>
            <w:r w:rsidRPr="00C36C8A">
              <w:rPr>
                <w:rFonts w:asciiTheme="minorBidi" w:eastAsia="Times New Roman" w:hAnsiTheme="minorBidi"/>
                <w:sz w:val="16"/>
                <w:szCs w:val="16"/>
                <w:lang w:val="en-US" w:eastAsia="es-CO"/>
              </w:rPr>
              <w:t> </w:t>
            </w:r>
          </w:p>
        </w:tc>
      </w:tr>
      <w:tr w:rsidR="00AD274F" w:rsidRPr="002069C2" w14:paraId="1833EE5D" w14:textId="77777777" w:rsidTr="0064757F">
        <w:trPr>
          <w:trHeight w:val="1229"/>
        </w:trPr>
        <w:tc>
          <w:tcPr>
            <w:tcW w:w="1273" w:type="dxa"/>
            <w:tcBorders>
              <w:top w:val="nil"/>
              <w:left w:val="single" w:sz="6" w:space="0" w:color="auto"/>
              <w:bottom w:val="single" w:sz="6" w:space="0" w:color="auto"/>
              <w:right w:val="single" w:sz="6" w:space="0" w:color="auto"/>
            </w:tcBorders>
            <w:shd w:val="clear" w:color="auto" w:fill="auto"/>
            <w:hideMark/>
          </w:tcPr>
          <w:p w14:paraId="6C75C6EE"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Bousquet-Dion 2018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{"citationItems":[{"id":"ITEM-1","itemData":{"DOI":"10.1080/0284186X.2017.1423180","abstract":"Background: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 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determined by the 6-minute walk test distance (6MWD), was the primary outcome. Exercise quantity, intensity and energy expenditure was determined by the CHAMPS questionnaire. Results: Both groups were comparable for baseline walking capacity (PREHAB+: 448 m [IQR 375–525] vs. REHAB: 461 m [419–556], p=.775) and included a similar proportion of patients who improved walking capacity (&gt;20 m) during the preoperative period (PREHAB+: 54% vs. REHAB: 38%, p =.222). After surgery, changes in 6MWD were also similar in both groups. In PREHAB+, however, there was a significant association between physical activity energy expenditure and 6MWD (p &lt;.01). Previously inactive patients were more likely to improve functional capacity due to PREHAB+ (OR 7.07 [95% CI 1.10–45.51]). Conclusions: The addition of a weekly supervised exercise session to our current prehabilitation program did not further enhance postoperative walking capacity when compared to standard REHAB care. Sedentary patients, however, seemed more likely to benefit from PREHAB+. An association was found between energy spent in physical activity and 6MWD. This information is important to consider when designing cost-effective prehabilitation programs.","author":[{"dropping-particle":"","family":"Bousquet-Dion","given":"Guillaume","non-dropping-particle":"","parse-names":false,"suffix":""},{"dropping-particle":"","family":"Awasthi","given":"Rashami","non-dropping-particle":"","parse-names":false,"suffix":""},{"dropping-particle":"","family":"Loiselle","given":"Sarah 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Oncologica","id":"ITEM-1","issue":"6","issued":{"date-parts":[["2018"]]},"page":"849-859","publisher":"Informa UK Limited, trading as Taylor &amp; Francis Group","title":"Evaluation of supervised multimodal prehabilitation programme in cancer patients undergoing colorectal resection: a randomized control trial","type":"article-journal","volume":"57"},"uris":["http://www.mendeley.com/documents/?uuid=f64e0602-227f-45c0-b678-5c95fe3ef245"]}],"mendeley":{"formattedCitation":"(36)","plainTextFormattedCitation":"(36)","previouslyFormattedCitation":"(36)"},"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(36)</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auto"/>
            <w:vAlign w:val="center"/>
            <w:hideMark/>
          </w:tcPr>
          <w:p w14:paraId="7D5D779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tc>
        <w:tc>
          <w:tcPr>
            <w:tcW w:w="14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C2DC9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65 min</w:t>
            </w:r>
          </w:p>
          <w:p w14:paraId="1F96426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4 </w:t>
            </w:r>
            <w:proofErr w:type="spellStart"/>
            <w:r w:rsidRPr="00C36C8A">
              <w:rPr>
                <w:rFonts w:asciiTheme="minorBidi" w:eastAsia="Times New Roman" w:hAnsiTheme="minorBidi"/>
                <w:color w:val="000000"/>
                <w:sz w:val="16"/>
                <w:szCs w:val="16"/>
                <w:lang w:val="en-US" w:eastAsia="es-CO"/>
              </w:rPr>
              <w:t>wks</w:t>
            </w:r>
            <w:proofErr w:type="spellEnd"/>
          </w:p>
          <w:p w14:paraId="627D912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3-4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tc>
        <w:tc>
          <w:tcPr>
            <w:tcW w:w="18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36600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warm-up  </w:t>
            </w:r>
            <w:r w:rsidRPr="00C36C8A">
              <w:rPr>
                <w:rFonts w:asciiTheme="minorBidi" w:eastAsia="Times New Roman" w:hAnsiTheme="minorBidi"/>
                <w:color w:val="000000"/>
                <w:sz w:val="16"/>
                <w:szCs w:val="16"/>
                <w:lang w:val="en-US" w:eastAsia="es-CO"/>
              </w:rPr>
              <w:br/>
              <w:t>30 min aerobic training </w:t>
            </w:r>
            <w:r w:rsidRPr="00C36C8A">
              <w:rPr>
                <w:rFonts w:asciiTheme="minorBidi" w:eastAsia="Times New Roman" w:hAnsiTheme="minorBidi"/>
                <w:color w:val="000000"/>
                <w:sz w:val="16"/>
                <w:szCs w:val="16"/>
                <w:lang w:val="en-US" w:eastAsia="es-CO"/>
              </w:rPr>
              <w:br/>
              <w:t>25 min resistance training </w:t>
            </w:r>
            <w:r w:rsidRPr="00C36C8A">
              <w:rPr>
                <w:rFonts w:asciiTheme="minorBidi" w:eastAsia="Times New Roman" w:hAnsiTheme="minorBidi"/>
                <w:color w:val="000000"/>
                <w:sz w:val="16"/>
                <w:szCs w:val="16"/>
                <w:lang w:val="en-US" w:eastAsia="es-CO"/>
              </w:rPr>
              <w:br/>
              <w:t>5 min stretching</w:t>
            </w:r>
          </w:p>
        </w:tc>
        <w:tc>
          <w:tcPr>
            <w:tcW w:w="1138" w:type="dxa"/>
            <w:tcBorders>
              <w:top w:val="single" w:sz="6" w:space="0" w:color="auto"/>
              <w:left w:val="nil"/>
              <w:bottom w:val="single" w:sz="6" w:space="0" w:color="auto"/>
              <w:right w:val="single" w:sz="6" w:space="0" w:color="auto"/>
            </w:tcBorders>
            <w:shd w:val="clear" w:color="auto" w:fill="auto"/>
            <w:vAlign w:val="center"/>
            <w:hideMark/>
          </w:tcPr>
          <w:p w14:paraId="6F0FDF9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12-16 / 8</w:t>
            </w:r>
          </w:p>
        </w:tc>
        <w:tc>
          <w:tcPr>
            <w:tcW w:w="996" w:type="dxa"/>
            <w:tcBorders>
              <w:top w:val="single" w:sz="6" w:space="0" w:color="auto"/>
              <w:left w:val="nil"/>
              <w:bottom w:val="single" w:sz="6" w:space="0" w:color="auto"/>
              <w:right w:val="single" w:sz="6" w:space="0" w:color="auto"/>
            </w:tcBorders>
            <w:shd w:val="clear" w:color="auto" w:fill="auto"/>
            <w:vAlign w:val="center"/>
            <w:hideMark/>
          </w:tcPr>
          <w:p w14:paraId="4F0169E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98%</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49098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Aerobic training: 60 - 70% MHR </w:t>
            </w:r>
            <w:r w:rsidRPr="00C36C8A">
              <w:rPr>
                <w:rFonts w:asciiTheme="minorBidi" w:eastAsia="Times New Roman" w:hAnsiTheme="minorBidi"/>
                <w:color w:val="000000"/>
                <w:sz w:val="16"/>
                <w:szCs w:val="16"/>
                <w:lang w:val="en-US" w:eastAsia="es-CO"/>
              </w:rPr>
              <w:br/>
              <w:t>Resistance training was progressed </w:t>
            </w:r>
            <w:r w:rsidRPr="00C36C8A">
              <w:rPr>
                <w:rFonts w:asciiTheme="minorBidi" w:eastAsia="Times New Roman" w:hAnsiTheme="minorBidi"/>
                <w:color w:val="000000"/>
                <w:sz w:val="16"/>
                <w:szCs w:val="16"/>
                <w:lang w:val="en-US" w:eastAsia="es-CO"/>
              </w:rPr>
              <w:br/>
              <w:t>to mild exertion (defined as 12 or less on the 20-point Borg scale)</w:t>
            </w:r>
          </w:p>
        </w:tc>
        <w:tc>
          <w:tcPr>
            <w:tcW w:w="11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00545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Mixed (home/clin)</w:t>
            </w:r>
          </w:p>
        </w:tc>
        <w:tc>
          <w:tcPr>
            <w:tcW w:w="11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B1747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Partially</w:t>
            </w:r>
          </w:p>
        </w:tc>
        <w:tc>
          <w:tcPr>
            <w:tcW w:w="17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CCC1C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Kinesiologist, </w:t>
            </w:r>
            <w:r w:rsidRPr="00C36C8A">
              <w:rPr>
                <w:rFonts w:asciiTheme="minorBidi" w:eastAsia="Times New Roman" w:hAnsiTheme="minorBidi"/>
                <w:color w:val="000000"/>
                <w:sz w:val="16"/>
                <w:szCs w:val="16"/>
                <w:lang w:val="en-US" w:eastAsia="es-CO"/>
              </w:rPr>
              <w:br/>
              <w:t>nutritionist and a psychology-trained research team member</w:t>
            </w:r>
          </w:p>
        </w:tc>
      </w:tr>
      <w:tr w:rsidR="00AD274F" w:rsidRPr="00BD5595" w14:paraId="055ED9FD" w14:textId="77777777" w:rsidTr="0064757F">
        <w:trPr>
          <w:trHeight w:val="879"/>
        </w:trPr>
        <w:tc>
          <w:tcPr>
            <w:tcW w:w="1273" w:type="dxa"/>
            <w:tcBorders>
              <w:top w:val="nil"/>
              <w:left w:val="single" w:sz="6" w:space="0" w:color="auto"/>
              <w:bottom w:val="single" w:sz="6" w:space="0" w:color="auto"/>
              <w:right w:val="single" w:sz="6" w:space="0" w:color="auto"/>
            </w:tcBorders>
            <w:shd w:val="clear" w:color="auto" w:fill="auto"/>
            <w:hideMark/>
          </w:tcPr>
          <w:p w14:paraId="1B4C16E7"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Carli 2010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{"citationItems":[{"id":"ITEM-1","itemData":{"DOI":"10.1002/bjs.7102","abstract":"Background: 'Prehabilitation' is an intervention to enhance functional capacity in anticipation of a forthcoming physiological stressor. In patients scheduled for colorectal surgery, the extent to which a structured prehabilitation regimen of stationary cycling and strengthening optimized recovery of functional walking capacity after surgery was compared with a simpler regimen of walking and breathing exercises. Methods: Some 112 patients (mean(s.d.) age 60(16) years) were randomized to either the structured bike and strengthening regimen (bike/strengthening group, 58 patients) or the simpler walking and breathing regimen (walk/breathing group, 54 patients). Randomization was done at the surgical planning visit; the mean time to surgery available for prehabilitation was 52 days; follow-up was for approximately 10 weeks after surgery. Results: There were no differences between the groups in mean functional walking capacity over the prehabilitation period or at postoperative follow-up. The proportion showing an improvement in walking capacity was greater in the walk/breathing group than in the bike/strengthening group at the end of the prehabilitation period (47 versus 22 per cent respectively; P = 0.051) and after surgery (41 versus 11 per cent; P = 0.019). Conclusion: There was an unexpected benefit from the recommendation to increase walking and breathing, as designed for the control group. Adherence to recommendations was low. An examination of prehabilitation 'responders' would add valuable information. Registration number: NCT00227526 (http://www.clinicaltrials.gov). Copyright © 2010 British Journal of Surgery Society Ltd Published by John Wiley &amp; Sons Ltd.","author":[{"dropping-particle":"","family":"Carli","given":"F","non-dropping-particle":"","parse-names":false,"suffix":""},{"dropping-particle":"","family":"Charlebois","given":"P","non-dropping-particle":"","parse-names":false,"suffix":""},{"dropping-particle":"","family":"Stein","given":"B","non-dropping-particle":"","parse-names":false,"suffix":""},{"dropping-particle":"","family":"Feldman","given":"L","non-dropping-particle":"","parse-names":false,"suffix":""},{"dropping-particle":"","family":"Zavorsky","given":"G","non-dropping-particle":"","parse-names":false,"suffix":""},{"dropping-particle":"","family":"Kim","given":"D J","non-dropping-particle":"","parse-names":false,"suffix":""},{"dropping-particle":"","family":"Scott","given":"S","non-dropping-particle":"","parse-names":false,"suffix":""},{"dropping-particle":"","family":"Mayo","given":"N E","non-dropping-particle":"","parse-names":false,"suffix":""}],"container-title":"British Journal of Surgery","id":"ITEM-1","issue":"8","issued":{"date-parts":[["2010"]]},"page":"1187-1197","title":"Randomized clinical trial of prehabilitation in colorectal surgery","type":"article-journal","volume":"97"},"uris":["http://www.mendeley.com/documents/?uuid=c0fd3e15-dfc3-4ddf-b2c4-5bc8f2f9a44d"]}],"mendeley":{"formattedCitation":"(39)","plainTextFormattedCitation":"(39)","previouslyFormattedCitation":"(39)"},"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(39)</w:t>
            </w:r>
            <w:r>
              <w:rPr>
                <w:rFonts w:asciiTheme="minorBidi" w:eastAsia="Times New Roman" w:hAnsiTheme="minorBidi"/>
                <w:sz w:val="16"/>
                <w:szCs w:val="16"/>
                <w:lang w:val="en-US" w:eastAsia="es-CO"/>
              </w:rPr>
              <w:fldChar w:fldCharType="end"/>
            </w:r>
          </w:p>
          <w:p w14:paraId="51176516"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 </w:t>
            </w: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098DD1E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tc>
        <w:tc>
          <w:tcPr>
            <w:tcW w:w="1423" w:type="dxa"/>
            <w:tcBorders>
              <w:top w:val="nil"/>
              <w:left w:val="single" w:sz="6" w:space="0" w:color="auto"/>
              <w:bottom w:val="single" w:sz="6" w:space="0" w:color="auto"/>
              <w:right w:val="single" w:sz="6" w:space="0" w:color="auto"/>
            </w:tcBorders>
            <w:shd w:val="clear" w:color="auto" w:fill="FFFFFF" w:themeFill="background1"/>
            <w:vAlign w:val="center"/>
            <w:hideMark/>
          </w:tcPr>
          <w:p w14:paraId="20BB337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45 min</w:t>
            </w:r>
          </w:p>
          <w:p w14:paraId="48B2F35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4 </w:t>
            </w:r>
            <w:proofErr w:type="spellStart"/>
            <w:r w:rsidRPr="00C36C8A">
              <w:rPr>
                <w:rFonts w:asciiTheme="minorBidi" w:eastAsia="Times New Roman" w:hAnsiTheme="minorBidi"/>
                <w:color w:val="000000"/>
                <w:sz w:val="16"/>
                <w:szCs w:val="16"/>
                <w:lang w:val="en-US" w:eastAsia="es-CO"/>
              </w:rPr>
              <w:t>wks</w:t>
            </w:r>
            <w:proofErr w:type="spellEnd"/>
          </w:p>
          <w:p w14:paraId="142E1B8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47E322D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6FBBBA2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20-30 min aerobic training</w:t>
            </w:r>
          </w:p>
          <w:p w14:paraId="0FE0C77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10-15 min resistance training</w:t>
            </w: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3D51696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12 / NR</w:t>
            </w:r>
          </w:p>
        </w:tc>
        <w:tc>
          <w:tcPr>
            <w:tcW w:w="996" w:type="dxa"/>
            <w:tcBorders>
              <w:top w:val="nil"/>
              <w:left w:val="nil"/>
              <w:bottom w:val="single" w:sz="6" w:space="0" w:color="auto"/>
              <w:right w:val="single" w:sz="6" w:space="0" w:color="auto"/>
            </w:tcBorders>
            <w:shd w:val="clear" w:color="auto" w:fill="FFFFFF" w:themeFill="background1"/>
            <w:vAlign w:val="center"/>
            <w:hideMark/>
          </w:tcPr>
          <w:p w14:paraId="7745D60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16%</w:t>
            </w:r>
          </w:p>
        </w:tc>
        <w:tc>
          <w:tcPr>
            <w:tcW w:w="2134" w:type="dxa"/>
            <w:tcBorders>
              <w:top w:val="nil"/>
              <w:left w:val="single" w:sz="6" w:space="0" w:color="auto"/>
              <w:bottom w:val="single" w:sz="6" w:space="0" w:color="auto"/>
              <w:right w:val="single" w:sz="6" w:space="0" w:color="auto"/>
            </w:tcBorders>
            <w:shd w:val="clear" w:color="auto" w:fill="FFFFFF" w:themeFill="background1"/>
            <w:vAlign w:val="center"/>
            <w:hideMark/>
          </w:tcPr>
          <w:p w14:paraId="4D30D88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Aerobic training: 50% MHR</w:t>
            </w:r>
          </w:p>
          <w:p w14:paraId="65EFBB5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Resistance training: 8 -12 RM</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38F2BB9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Home-based</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5313788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Partially</w:t>
            </w:r>
          </w:p>
        </w:tc>
        <w:tc>
          <w:tcPr>
            <w:tcW w:w="1707" w:type="dxa"/>
            <w:tcBorders>
              <w:top w:val="nil"/>
              <w:left w:val="single" w:sz="6" w:space="0" w:color="auto"/>
              <w:bottom w:val="single" w:sz="6" w:space="0" w:color="auto"/>
              <w:right w:val="single" w:sz="6" w:space="0" w:color="auto"/>
            </w:tcBorders>
            <w:shd w:val="clear" w:color="auto" w:fill="FFFFFF" w:themeFill="background1"/>
            <w:vAlign w:val="center"/>
            <w:hideMark/>
          </w:tcPr>
          <w:p w14:paraId="2D03C9B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Medical research team</w:t>
            </w:r>
          </w:p>
        </w:tc>
      </w:tr>
      <w:tr w:rsidR="00AD274F" w:rsidRPr="00BD5595" w14:paraId="50D5727E" w14:textId="77777777" w:rsidTr="0064757F">
        <w:trPr>
          <w:trHeight w:val="951"/>
        </w:trPr>
        <w:tc>
          <w:tcPr>
            <w:tcW w:w="1273" w:type="dxa"/>
            <w:tcBorders>
              <w:top w:val="nil"/>
              <w:left w:val="single" w:sz="6" w:space="0" w:color="auto"/>
              <w:bottom w:val="single" w:sz="6" w:space="0" w:color="auto"/>
              <w:right w:val="single" w:sz="6" w:space="0" w:color="auto"/>
            </w:tcBorders>
            <w:shd w:val="clear" w:color="auto" w:fill="auto"/>
            <w:hideMark/>
          </w:tcPr>
          <w:p w14:paraId="22DD643A"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Carli 2020</w:t>
            </w:r>
            <w:r>
              <w:rPr>
                <w:rFonts w:asciiTheme="minorBidi" w:eastAsia="Times New Roman" w:hAnsiTheme="minorBidi"/>
                <w:sz w:val="16"/>
                <w:szCs w:val="16"/>
                <w:lang w:val="en-US" w:eastAsia="es-CO"/>
              </w:rPr>
              <w:t xml:space="preserve">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{"citationItems":[{"id":"ITEM-1","itemData":{"DOI":"10.1001/jamasurg.2019.5474","ISSN":"21686262","PMID":"31968063","abstract":"Importance: Research supports use of prehabilitation to optimize physical status before and after colorectal cancer resection, but its effect on postoperative complications remains unclear. Frail patients are a target for prehabilitation interventions owing to increased risk for poor postoperative outcomes. Objective: To assess the extent to which a prehabilitation program affects 30-day postoperative complications in frail patients undergoing colorectal cancer resection compared with postoperative rehabilitation. Design, Setting, and Participants: This single-blind, parallel-arm, superiority randomized clinical trial recruited patients undergoing colorectal cancer resection from September 7, 2015, through June 19, 2019. Patients were followed up for 4 weeks before surgery and 4 weeks after surgery at 2 university-affiliated tertiary hospitals. A total of 418 patients 65 years or older were assessed for eligibility. Of these, 298 patients were excluded (not frail [n = 290], unable to exercise [n = 3], and planned neoadjuvant treatment [n = 5]), and 120 frail patients (Fried Frailty Index,≥2) were randomized. Ten patients were excluded after randomization because they refused surgery (n = 3), died before surgery (n = 3), had no cancer (n = 1), had surgery without bowel resection (n = 1), or were switched to palliative care (n = 2). Hence, 110 patients were included in the intention-to-treat analysis (55 in the prehabilitation [Prehab] and 55 in the rehabilitation [Rehab] groups). Data were analyzed from July 25 through August 21, 2019. Interventions: Multimodal program involving exercise, nutritional, and psychological interventions initiated before (Prehab group) or after (Rehab group) surgery. All patients were treated within a standardized enhanced recovery pathway. Main Outcomes and Measures: The primary outcome included the Comprehensive Complications Index measured at 30 days after surgery. Secondary outcomes were 30-day overall and severe complications, primary and total length of hospital stay, 30-day emergency department visits and hospital readmissions, recovery of walking capacity, and patient-reported outcome measures. Results: Of 110 patients randomized, mean (SD) age was 78 (7) years; 52 (47.3%) were men and 58 (52.7%) were women; 31 (28.2%) had rectal cancer; and 87 (79.1%) underwent minimally invasive surgery. There was no between-group difference in the primary outcome measure, 30-day Comprehensive Complications Index (adjusted mean diff…","author":[{"dropping-particle":"","family":"Carli","given":"Francesco","non-dropping-particle":"","parse-names":false,"suffix":""},{"dropping-particle":"","family":"Bousquet-Dion","given":"Guillaume","non-dropping-particle":"","parse-names":false,"suffix":""},{"dropping-particle":"","family":"Awasthi","given":"Rashami","non-dropping-particle":"","parse-names":false,"suffix":""},{"dropping-particle":"","family":"Elsherbini","given":"Noha","non-dropping-particle":"","parse-names":false,"suffix":""},{"dropping-particle":"","family":"Liberman","given":"Sender","non-dropping-particle":"","parse-names":false,"suffix":""},{"dropping-particle":"","family":"Boutros","given":"Marylise","non-dropping-particle":"","parse-names":false,"suffix":""},{"dropping-particle":"","family":"Stein","given":"Barry","non-dropping-particle":"","parse-names":false,"suffix":""},{"dropping-particle":"","family":"Charlebois","given":"Patrick","non-dropping-particle":"","parse-names":false,"suffix":""},{"dropping-particle":"","family":"Ghitulescu","given":"Gabriela","non-dropping-particle":"","parse-names":false,"suffix":""},{"dropping-particle":"","family":"Morin","given":"Nancy","non-dropping-particle":"","parse-names":false,"suffix":""},{"dropping-particle":"","family":"Jagoe","given":"Thomas","non-dropping-particle":"","parse-names":false,"suffix":""},{"dropping-particle":"","family":"Scheede-Bergdahl","given":"Celena","non-dropping-particle":"","parse-names":false,"suffix":""},{"dropping-particle":"","family":"Minnella","given":"Enrico Maria","non-dropping-particle":"","parse-names":false,"suffix":""},{"dropping-particle":"","family":"Fiore","given":"Julio F.","non-dropping-particle":"","parse-names":false,"suffix":""}],"container-title":"JAMA Surgery","id":"ITEM-1","issue":"3","issued":{"date-parts":[["2020"]]},"page":"233-242","title":"Effect of Multimodal Prehabilitation vs Postoperative Rehabilitation on 30-Day Postoperative Complications for Frail Patients Undergoing Resection of Colorectal Cancer: A Randomized Clinical Trial","type":"article-journal","volume":"155"},"uris":["http://www.mendeley.com/documents/?uuid=67c1fa1f-c9bb-41ec-bee2-2757a240fe58"]}],"mendeley":{"formattedCitation":"(37)","plainTextFormattedCitation":"(37)","previouslyFormattedCitation":"(37)"},"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(37)</w:t>
            </w:r>
            <w:r>
              <w:rPr>
                <w:rFonts w:asciiTheme="minorBidi" w:eastAsia="Times New Roman" w:hAnsiTheme="minorBidi"/>
                <w:sz w:val="16"/>
                <w:szCs w:val="16"/>
                <w:lang w:val="en-US" w:eastAsia="es-CO"/>
              </w:rPr>
              <w:fldChar w:fldCharType="end"/>
            </w:r>
            <w:r w:rsidRPr="00C36C8A">
              <w:rPr>
                <w:rFonts w:asciiTheme="minorBidi" w:eastAsia="Times New Roman" w:hAnsiTheme="minorBidi"/>
                <w:sz w:val="16"/>
                <w:szCs w:val="16"/>
                <w:lang w:val="en-US" w:eastAsia="es-CO"/>
              </w:rPr>
              <w:t> </w:t>
            </w:r>
          </w:p>
        </w:tc>
        <w:tc>
          <w:tcPr>
            <w:tcW w:w="1138" w:type="dxa"/>
            <w:tcBorders>
              <w:top w:val="nil"/>
              <w:left w:val="nil"/>
              <w:bottom w:val="single" w:sz="6" w:space="0" w:color="auto"/>
              <w:right w:val="single" w:sz="6" w:space="0" w:color="auto"/>
            </w:tcBorders>
            <w:shd w:val="clear" w:color="auto" w:fill="auto"/>
            <w:vAlign w:val="center"/>
            <w:hideMark/>
          </w:tcPr>
          <w:p w14:paraId="225ACA15" w14:textId="77777777" w:rsidR="00AD274F" w:rsidRPr="00C36C8A" w:rsidRDefault="00AD274F" w:rsidP="0064757F">
            <w:pPr>
              <w:spacing w:after="0" w:line="240" w:lineRule="auto"/>
              <w:jc w:val="center"/>
              <w:textAlignment w:val="baseline"/>
              <w:rPr>
                <w:rFonts w:asciiTheme="minorBidi" w:eastAsia="Times New Roman" w:hAnsiTheme="minorBidi"/>
                <w:color w:val="000000" w:themeColor="text1"/>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tc>
        <w:tc>
          <w:tcPr>
            <w:tcW w:w="1423" w:type="dxa"/>
            <w:tcBorders>
              <w:top w:val="nil"/>
              <w:left w:val="single" w:sz="6" w:space="0" w:color="auto"/>
              <w:bottom w:val="single" w:sz="6" w:space="0" w:color="auto"/>
              <w:right w:val="single" w:sz="6" w:space="0" w:color="auto"/>
            </w:tcBorders>
            <w:shd w:val="clear" w:color="auto" w:fill="auto"/>
            <w:vAlign w:val="center"/>
            <w:hideMark/>
          </w:tcPr>
          <w:p w14:paraId="1007464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65 min</w:t>
            </w:r>
          </w:p>
          <w:p w14:paraId="021F993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4 </w:t>
            </w:r>
            <w:proofErr w:type="spellStart"/>
            <w:r w:rsidRPr="00C36C8A">
              <w:rPr>
                <w:rFonts w:asciiTheme="minorBidi" w:eastAsia="Times New Roman" w:hAnsiTheme="minorBidi"/>
                <w:color w:val="000000"/>
                <w:sz w:val="16"/>
                <w:szCs w:val="16"/>
                <w:lang w:val="en-US" w:eastAsia="es-CO"/>
              </w:rPr>
              <w:t>wks</w:t>
            </w:r>
            <w:proofErr w:type="spellEnd"/>
          </w:p>
          <w:p w14:paraId="114585C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332A295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auto"/>
            <w:vAlign w:val="center"/>
            <w:hideMark/>
          </w:tcPr>
          <w:p w14:paraId="7380DDB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warm-up  </w:t>
            </w:r>
            <w:r w:rsidRPr="00C36C8A">
              <w:rPr>
                <w:rFonts w:asciiTheme="minorBidi" w:eastAsia="Times New Roman" w:hAnsiTheme="minorBidi"/>
                <w:color w:val="000000"/>
                <w:sz w:val="16"/>
                <w:szCs w:val="16"/>
                <w:lang w:val="en-US" w:eastAsia="es-CO"/>
              </w:rPr>
              <w:br/>
              <w:t>30 min aerobic training </w:t>
            </w:r>
            <w:r w:rsidRPr="00C36C8A">
              <w:rPr>
                <w:rFonts w:asciiTheme="minorBidi" w:eastAsia="Times New Roman" w:hAnsiTheme="minorBidi"/>
                <w:color w:val="000000"/>
                <w:sz w:val="16"/>
                <w:szCs w:val="16"/>
                <w:lang w:val="en-US" w:eastAsia="es-CO"/>
              </w:rPr>
              <w:br/>
              <w:t>25 min resistance training </w:t>
            </w:r>
            <w:r w:rsidRPr="00C36C8A">
              <w:rPr>
                <w:rFonts w:asciiTheme="minorBidi" w:eastAsia="Times New Roman" w:hAnsiTheme="minorBidi"/>
                <w:color w:val="000000"/>
                <w:sz w:val="16"/>
                <w:szCs w:val="16"/>
                <w:lang w:val="en-US" w:eastAsia="es-CO"/>
              </w:rPr>
              <w:br/>
              <w:t>5 min stretching</w:t>
            </w:r>
          </w:p>
        </w:tc>
        <w:tc>
          <w:tcPr>
            <w:tcW w:w="1138" w:type="dxa"/>
            <w:tcBorders>
              <w:top w:val="nil"/>
              <w:left w:val="nil"/>
              <w:bottom w:val="single" w:sz="6" w:space="0" w:color="auto"/>
              <w:right w:val="single" w:sz="6" w:space="0" w:color="auto"/>
            </w:tcBorders>
            <w:shd w:val="clear" w:color="auto" w:fill="auto"/>
            <w:vAlign w:val="center"/>
            <w:hideMark/>
          </w:tcPr>
          <w:p w14:paraId="31C6EA5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16 / 16</w:t>
            </w:r>
          </w:p>
        </w:tc>
        <w:tc>
          <w:tcPr>
            <w:tcW w:w="996" w:type="dxa"/>
            <w:tcBorders>
              <w:top w:val="nil"/>
              <w:left w:val="nil"/>
              <w:bottom w:val="single" w:sz="6" w:space="0" w:color="auto"/>
              <w:right w:val="single" w:sz="6" w:space="0" w:color="auto"/>
            </w:tcBorders>
            <w:shd w:val="clear" w:color="auto" w:fill="auto"/>
            <w:vAlign w:val="center"/>
            <w:hideMark/>
          </w:tcPr>
          <w:p w14:paraId="3719917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68%</w:t>
            </w:r>
          </w:p>
        </w:tc>
        <w:tc>
          <w:tcPr>
            <w:tcW w:w="2134" w:type="dxa"/>
            <w:tcBorders>
              <w:top w:val="nil"/>
              <w:left w:val="single" w:sz="6" w:space="0" w:color="auto"/>
              <w:bottom w:val="single" w:sz="6" w:space="0" w:color="auto"/>
              <w:right w:val="single" w:sz="6" w:space="0" w:color="auto"/>
            </w:tcBorders>
            <w:shd w:val="clear" w:color="auto" w:fill="auto"/>
            <w:vAlign w:val="center"/>
            <w:hideMark/>
          </w:tcPr>
          <w:p w14:paraId="6AEEEF2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60%-70% MHR</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6B59925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Mixed (home/clin)</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6650187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Partially</w:t>
            </w:r>
          </w:p>
        </w:tc>
        <w:tc>
          <w:tcPr>
            <w:tcW w:w="1707" w:type="dxa"/>
            <w:tcBorders>
              <w:top w:val="nil"/>
              <w:left w:val="single" w:sz="6" w:space="0" w:color="auto"/>
              <w:bottom w:val="single" w:sz="6" w:space="0" w:color="auto"/>
              <w:right w:val="single" w:sz="6" w:space="0" w:color="auto"/>
            </w:tcBorders>
            <w:shd w:val="clear" w:color="auto" w:fill="auto"/>
            <w:vAlign w:val="center"/>
            <w:hideMark/>
          </w:tcPr>
          <w:p w14:paraId="29C6F5E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Kinesiologist, </w:t>
            </w:r>
            <w:r w:rsidRPr="00C36C8A">
              <w:rPr>
                <w:rFonts w:asciiTheme="minorBidi" w:eastAsia="Times New Roman" w:hAnsiTheme="minorBidi"/>
                <w:color w:val="000000"/>
                <w:sz w:val="16"/>
                <w:szCs w:val="16"/>
                <w:lang w:val="en-US" w:eastAsia="es-CO"/>
              </w:rPr>
              <w:br/>
              <w:t>nutritionist and a psychology-trained research team member</w:t>
            </w:r>
          </w:p>
        </w:tc>
      </w:tr>
      <w:tr w:rsidR="00AD274F" w:rsidRPr="00BD5595" w14:paraId="6E5D5107" w14:textId="77777777" w:rsidTr="0064757F">
        <w:trPr>
          <w:trHeight w:val="594"/>
        </w:trPr>
        <w:tc>
          <w:tcPr>
            <w:tcW w:w="1273" w:type="dxa"/>
            <w:tcBorders>
              <w:top w:val="nil"/>
              <w:left w:val="single" w:sz="6" w:space="0" w:color="auto"/>
              <w:bottom w:val="single" w:sz="6" w:space="0" w:color="auto"/>
              <w:right w:val="single" w:sz="6" w:space="0" w:color="auto"/>
            </w:tcBorders>
            <w:shd w:val="clear" w:color="auto" w:fill="auto"/>
            <w:hideMark/>
          </w:tcPr>
          <w:p w14:paraId="27962D1B"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Centemero 2010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{"citationItems":[{"id":"ITEM-1","itemData":{"DOI":"10.1016/j.eururo.2010.02.028","ISSN":"03022838","PMID":"20227168","abstract":"Background: Despite improvements in surgical techniques, urinary incontinence (UI) is not uncommon after radical prostatectomy (RP), and it may dramatically worsen quality of life (QoL). Objective: To determine the benefit of starting pelvic floor muscle exercise (PFME) 30 d before RP and of continuing PFME postoperatively for early recovery of continence. Design, setting, and participants: A randomised, prospective study was designed. Men with localised prostate cancer (PCa) who underwent an open radical retropubic prostatectomy (RRP) at our department of urology were included. Intervention: Patients were randomised to start PFME preoperatively and continue postoperatively (active group: A) or to start PFME postoperatively alone (control group: B). Measurements: The primary outcome measure was self-reported continence after surgery. Secondary outcome measures were assessed by degree of UI based on a 24-h pad test and QoL instruments (International Continence Society [ICS] male short form [SF]). Results and limitations: Of 143 men evaluated for the study, 118 were randomised either to start PFME preoperatively and continue postoperatively (group A; n = 59) or to start postoperative PFME (group B; n = 59). After 1 mo, 44.1% (26 of 59) of patients were continent in group A, while 20.3% (12 of 59) were continent in group B (p = 0.018). At 3 mo, 59.3% (35 of 59) and 37.3% (22 of 59) patients were continent in group A and group B, respectively (p = 0.028). The ICS male SF mean score showed better results in group A than in group B patients at both 1 mo (14.6 vs 18.3) and 3 mo (8.1 vs 12.2) after RP (p = 0.002). In age-adjusted logistic regression analyses, patients who performed preoperative PFME had a 0.41-fold lower risk of being incontinent 1 mo after RP and a 0.38-fold lower risk of being incontinent 3 mo after RP (p ≤ 0.001). Conclusions: Preoperative PFME may improve early continence and QoL outcomes after RP. Further studies are needed to corroborate our results. © 2010.","author":[{"dropping-particle":"","family":"Centemero","given":"Antonia","non-dropping-particle":"","parse-names":false,"suffix":""},{"dropping-particle":"","family":"Rigatti","given":"Lorenzo","non-dropping-particle":"","parse-names":false,"suffix":""},{"dropping-particle":"","family":"Giraudo","given":"Donatella","non-dropping-particle":"","parse-names":false,"suffix":""},{"dropping-particle":"","family":"Lazzeri","given":"Massimo","non-dropping-particle":"","parse-names":false,"suffix":""},{"dropping-particle":"","family":"Lughezzani","given":"Giovanni","non-dropping-particle":"","parse-names":false,"suffix":""},{"dropping-particle":"","family":"Zugna","given":"Daniela","non-dropping-particle":"","parse-names":false,"suffix":""},{"dropping-particle":"","family":"Montorsi","given":"Francesco","non-dropping-particle":"","parse-names":false,"suffix":""},{"dropping-particle":"","family":"Rigatti","given":"Patrizio","non-dropping-particle":"","parse-names":false,"suffix":""},{"dropping-particle":"","family":"Guazzoni","given":"Giorgio","non-dropping-particle":"","parse-names":false,"suffix":""}],"container-title":"European Urology","id":"ITEM-1","issue":"6","issued":{"date-parts":[["2010"]]},"page":"1039-1044","title":"Preoperative Pelvic Floor Muscle Exercise for Early Continence After Radical Prostatectomy: A Randomised Controlled Study","type":"article-journal","volume":"57"},"uris":["http://www.mendeley.com/documents/?uuid=11967415-7cb0-45fa-88e1-ead4cb532a54"]}],"mendeley":{"formattedCitation":"(40)","plainTextFormattedCitation":"(40)","previouslyFormattedCitation":"(40)"},"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(40)</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auto"/>
            <w:vAlign w:val="center"/>
            <w:hideMark/>
          </w:tcPr>
          <w:p w14:paraId="474D3CC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Pelvic floor training</w:t>
            </w:r>
          </w:p>
        </w:tc>
        <w:tc>
          <w:tcPr>
            <w:tcW w:w="1423" w:type="dxa"/>
            <w:tcBorders>
              <w:top w:val="nil"/>
              <w:left w:val="single" w:sz="6" w:space="0" w:color="auto"/>
              <w:bottom w:val="single" w:sz="6" w:space="0" w:color="auto"/>
              <w:right w:val="single" w:sz="6" w:space="0" w:color="auto"/>
            </w:tcBorders>
            <w:shd w:val="clear" w:color="auto" w:fill="auto"/>
            <w:vAlign w:val="center"/>
            <w:hideMark/>
          </w:tcPr>
          <w:p w14:paraId="79215B3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60 min</w:t>
            </w:r>
          </w:p>
          <w:p w14:paraId="0FB4F3F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8 </w:t>
            </w:r>
            <w:proofErr w:type="spellStart"/>
            <w:r w:rsidRPr="00C36C8A">
              <w:rPr>
                <w:rFonts w:asciiTheme="minorBidi" w:eastAsia="Times New Roman" w:hAnsiTheme="minorBidi"/>
                <w:color w:val="000000"/>
                <w:sz w:val="16"/>
                <w:szCs w:val="16"/>
                <w:lang w:val="en-US" w:eastAsia="es-CO"/>
              </w:rPr>
              <w:t>wks</w:t>
            </w:r>
            <w:proofErr w:type="spellEnd"/>
          </w:p>
          <w:p w14:paraId="2BFF4FC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7CA435F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auto"/>
            <w:vAlign w:val="center"/>
            <w:hideMark/>
          </w:tcPr>
          <w:p w14:paraId="42B8540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w:t>
            </w:r>
          </w:p>
        </w:tc>
        <w:tc>
          <w:tcPr>
            <w:tcW w:w="1138" w:type="dxa"/>
            <w:tcBorders>
              <w:top w:val="nil"/>
              <w:left w:val="nil"/>
              <w:bottom w:val="single" w:sz="6" w:space="0" w:color="auto"/>
              <w:right w:val="single" w:sz="6" w:space="0" w:color="auto"/>
            </w:tcBorders>
            <w:shd w:val="clear" w:color="auto" w:fill="auto"/>
            <w:vAlign w:val="center"/>
            <w:hideMark/>
          </w:tcPr>
          <w:p w14:paraId="347C42A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8 / 8</w:t>
            </w:r>
          </w:p>
        </w:tc>
        <w:tc>
          <w:tcPr>
            <w:tcW w:w="996" w:type="dxa"/>
            <w:tcBorders>
              <w:top w:val="nil"/>
              <w:left w:val="nil"/>
              <w:bottom w:val="single" w:sz="6" w:space="0" w:color="auto"/>
              <w:right w:val="single" w:sz="6" w:space="0" w:color="auto"/>
            </w:tcBorders>
            <w:shd w:val="clear" w:color="auto" w:fill="auto"/>
            <w:vAlign w:val="center"/>
            <w:hideMark/>
          </w:tcPr>
          <w:p w14:paraId="1E1687D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w:t>
            </w:r>
          </w:p>
        </w:tc>
        <w:tc>
          <w:tcPr>
            <w:tcW w:w="2134" w:type="dxa"/>
            <w:tcBorders>
              <w:top w:val="nil"/>
              <w:left w:val="single" w:sz="6" w:space="0" w:color="auto"/>
              <w:bottom w:val="single" w:sz="6" w:space="0" w:color="auto"/>
              <w:right w:val="single" w:sz="6" w:space="0" w:color="auto"/>
            </w:tcBorders>
            <w:shd w:val="clear" w:color="auto" w:fill="auto"/>
            <w:vAlign w:val="center"/>
            <w:hideMark/>
          </w:tcPr>
          <w:p w14:paraId="616533C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027FD40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Clinic/Hospital</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7CF6B52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Partially</w:t>
            </w:r>
          </w:p>
        </w:tc>
        <w:tc>
          <w:tcPr>
            <w:tcW w:w="1707" w:type="dxa"/>
            <w:tcBorders>
              <w:top w:val="nil"/>
              <w:left w:val="single" w:sz="6" w:space="0" w:color="auto"/>
              <w:bottom w:val="single" w:sz="6" w:space="0" w:color="auto"/>
              <w:right w:val="single" w:sz="6" w:space="0" w:color="auto"/>
            </w:tcBorders>
            <w:shd w:val="clear" w:color="auto" w:fill="auto"/>
            <w:vAlign w:val="center"/>
            <w:hideMark/>
          </w:tcPr>
          <w:p w14:paraId="1F8FE55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Physiotherapist and surgeon</w:t>
            </w:r>
          </w:p>
        </w:tc>
      </w:tr>
      <w:tr w:rsidR="00AD274F" w:rsidRPr="00BD5595" w14:paraId="47383519" w14:textId="77777777" w:rsidTr="0064757F">
        <w:trPr>
          <w:trHeight w:val="973"/>
        </w:trPr>
        <w:tc>
          <w:tcPr>
            <w:tcW w:w="1273" w:type="dxa"/>
            <w:tcBorders>
              <w:top w:val="nil"/>
              <w:left w:val="single" w:sz="6" w:space="0" w:color="auto"/>
              <w:bottom w:val="single" w:sz="6" w:space="0" w:color="auto"/>
              <w:right w:val="single" w:sz="6" w:space="0" w:color="auto"/>
            </w:tcBorders>
            <w:shd w:val="clear" w:color="auto" w:fill="auto"/>
            <w:hideMark/>
          </w:tcPr>
          <w:p w14:paraId="0CFA7C5F"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Dunne 2016</w:t>
            </w:r>
            <w:r>
              <w:rPr>
                <w:rFonts w:asciiTheme="minorBidi" w:eastAsia="Times New Roman" w:hAnsiTheme="minorBidi"/>
                <w:sz w:val="16"/>
                <w:szCs w:val="16"/>
                <w:lang w:val="en-US" w:eastAsia="es-CO"/>
              </w:rPr>
              <w:t xml:space="preserve">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{"citationItems":[{"id":"ITEM-1","itemData":{"DOI":"10.1002/bjs.10096","abstract":"Background Patients with low fitness as assessed by cardiopulmonary exercise testing (CPET) have higher mortality and morbidity after surgery. Preoperative exercise intervention, or prehabilitation, has been suggested as a method to improve CPET values and outcomes. This trial sought to assess the capacity of a 4-week supervised exercise programme to improve fitness before liver resection for colorectal liver metastasis. Methods This was a randomized clinical trial assessing the effect of a 4-week (12 sessions) high-intensity cycle, interval training programme in patients undergoing elective liver resection for colorectal liver metastases. The primary endpoint was oxygen uptake at the anaerobic threshold. Secondary endpoints included other CPET values and preoperative quality of life (QoL) assessed using the SF-36®. Results Thirty-eight patients were randomized (20 to prehabilitation, 18 to standard care), and 35 (25 men and 10 women) completed both preoperative assessments and were analysed. The median age was 62 (i.q.r. 54-69) years, and there were no differences in baseline characteristics between the two groups. Prehabilitation led to improvements in preoperative oxygen uptake at anaerobic threshold (+1·5 (95 per cent c.i. 0·2 to 2·9) ml per kg per min) and peak exercise (+2·0 (0·0 to 4·0) ml per kg per min). The oxygen pulse (oxygen uptake per heart beat) at the anaerobic threshold improved (+0·9 (0·0 to 1·8) ml/beat), and a higher peak work rate (+13 (4 to 22) W) was achieved. This was associated with improved preoperative QoL, with the overall SF-36® score increasing by 11 (95 per cent c.i. 1 to 21) (P = 0·028) and the overall SF-36® mental health score by 11 (1 to 22) (P = 0·037). Conclusion A 4-week prehabilitation programme can deliver improvements in CPET scores and QoL before liver resection. This may impact on perioperative outcome. Registration number: NCT01523353 (https://clinicaltrials.gov).","author":[{"dropping-particle":"","family":"Dunne","given":"D F J","non-dropping-particle":"","parse-names":false,"suffix":""},{"dropping-particle":"","family":"Jack","given":"S","non-dropping-particle":"","parse-names":false,"suffix":""},{"dropping-particle":"","family":"Jones","given":"R P","non-dropping-particle":"","parse-names":false,"suffix":""},{"dropping-particle":"","family":"Jones","given":"L","non-dropping-particle":"","parse-names":false,"suffix":""},{"dropping-particle":"","family":"Lythgoe","given":"D T","non-dropping-particle":"","parse-names":false,"suffix":""},{"dropping-particle":"","family":"Malik","given":"H Z","non-dropping-particle":"","parse-names":false,"suffix":""},{"dropping-particle":"","family":"Poston","given":"G J","non-dropping-particle":"","parse-names":false,"suffix":""},{"dropping-particle":"","family":"Palmer","given":"D H","non-dropping-particle":"","parse-names":false,"suffix":""},{"dropping-particle":"","family":"Fenwick","given":"S W","non-dropping-particle":"","parse-names":false,"suffix":""}],"container-title":"British Journal of Surgery","id":"ITEM-1","issue":"5","issued":{"date-parts":[["2016"]]},"page":"504-512","title":"Randomized clinical trial of prehabilitation before planned liver resection","type":"article-journal","volume":"103"},"uris":["http://www.mendeley.com/documents/?uuid=30718597-4c72-4440-9be1-77f41f2507f3"]}],"mendeley":{"formattedCitation":"(29)","plainTextFormattedCitation":"(29)","previouslyFormattedCitation":"(29)"},"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(29)</w:t>
            </w:r>
            <w:r>
              <w:rPr>
                <w:rFonts w:asciiTheme="minorBidi" w:eastAsia="Times New Roman" w:hAnsiTheme="minorBidi"/>
                <w:sz w:val="16"/>
                <w:szCs w:val="16"/>
                <w:lang w:val="en-US" w:eastAsia="es-CO"/>
              </w:rPr>
              <w:fldChar w:fldCharType="end"/>
            </w:r>
            <w:r w:rsidRPr="00C36C8A">
              <w:rPr>
                <w:rFonts w:asciiTheme="minorBidi" w:eastAsia="Times New Roman" w:hAnsiTheme="minorBidi"/>
                <w:sz w:val="16"/>
                <w:szCs w:val="16"/>
                <w:lang w:val="en-US" w:eastAsia="es-CO"/>
              </w:rPr>
              <w:t> </w:t>
            </w:r>
          </w:p>
        </w:tc>
        <w:tc>
          <w:tcPr>
            <w:tcW w:w="1138" w:type="dxa"/>
            <w:tcBorders>
              <w:top w:val="nil"/>
              <w:left w:val="nil"/>
              <w:bottom w:val="single" w:sz="6" w:space="0" w:color="auto"/>
              <w:right w:val="single" w:sz="6" w:space="0" w:color="auto"/>
            </w:tcBorders>
            <w:shd w:val="clear" w:color="auto" w:fill="auto"/>
            <w:vAlign w:val="center"/>
            <w:hideMark/>
          </w:tcPr>
          <w:p w14:paraId="008201B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HIIT</w:t>
            </w:r>
          </w:p>
        </w:tc>
        <w:tc>
          <w:tcPr>
            <w:tcW w:w="1423" w:type="dxa"/>
            <w:tcBorders>
              <w:top w:val="nil"/>
              <w:left w:val="single" w:sz="6" w:space="0" w:color="auto"/>
              <w:bottom w:val="single" w:sz="6" w:space="0" w:color="auto"/>
              <w:right w:val="single" w:sz="6" w:space="0" w:color="auto"/>
            </w:tcBorders>
            <w:shd w:val="clear" w:color="auto" w:fill="auto"/>
            <w:vAlign w:val="center"/>
            <w:hideMark/>
          </w:tcPr>
          <w:p w14:paraId="168760C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30 min</w:t>
            </w:r>
          </w:p>
          <w:p w14:paraId="62979F3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4 </w:t>
            </w:r>
            <w:proofErr w:type="spellStart"/>
            <w:r w:rsidRPr="00C36C8A">
              <w:rPr>
                <w:rFonts w:asciiTheme="minorBidi" w:eastAsia="Times New Roman" w:hAnsiTheme="minorBidi"/>
                <w:color w:val="000000"/>
                <w:sz w:val="16"/>
                <w:szCs w:val="16"/>
                <w:lang w:val="en-US" w:eastAsia="es-CO"/>
              </w:rPr>
              <w:t>wks</w:t>
            </w:r>
            <w:proofErr w:type="spellEnd"/>
          </w:p>
          <w:p w14:paraId="6DC3AA7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066EFF6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auto"/>
            <w:vAlign w:val="center"/>
            <w:hideMark/>
          </w:tcPr>
          <w:p w14:paraId="6B48F58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30 min interval training alternating between moderate and vigorous intensity</w:t>
            </w:r>
          </w:p>
        </w:tc>
        <w:tc>
          <w:tcPr>
            <w:tcW w:w="1138" w:type="dxa"/>
            <w:tcBorders>
              <w:top w:val="nil"/>
              <w:left w:val="nil"/>
              <w:bottom w:val="single" w:sz="6" w:space="0" w:color="auto"/>
              <w:right w:val="single" w:sz="6" w:space="0" w:color="auto"/>
            </w:tcBorders>
            <w:shd w:val="clear" w:color="auto" w:fill="auto"/>
            <w:vAlign w:val="center"/>
            <w:hideMark/>
          </w:tcPr>
          <w:p w14:paraId="6900E19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12 / NR</w:t>
            </w:r>
          </w:p>
        </w:tc>
        <w:tc>
          <w:tcPr>
            <w:tcW w:w="996" w:type="dxa"/>
            <w:tcBorders>
              <w:top w:val="nil"/>
              <w:left w:val="nil"/>
              <w:bottom w:val="single" w:sz="6" w:space="0" w:color="auto"/>
              <w:right w:val="single" w:sz="6" w:space="0" w:color="auto"/>
            </w:tcBorders>
            <w:shd w:val="clear" w:color="auto" w:fill="auto"/>
            <w:vAlign w:val="center"/>
            <w:hideMark/>
          </w:tcPr>
          <w:p w14:paraId="61DC114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90%</w:t>
            </w:r>
          </w:p>
        </w:tc>
        <w:tc>
          <w:tcPr>
            <w:tcW w:w="2134" w:type="dxa"/>
            <w:tcBorders>
              <w:top w:val="nil"/>
              <w:left w:val="single" w:sz="6" w:space="0" w:color="auto"/>
              <w:bottom w:val="single" w:sz="6" w:space="0" w:color="auto"/>
              <w:right w:val="single" w:sz="6" w:space="0" w:color="auto"/>
            </w:tcBorders>
            <w:shd w:val="clear" w:color="auto" w:fill="auto"/>
            <w:vAlign w:val="center"/>
            <w:hideMark/>
          </w:tcPr>
          <w:p w14:paraId="529001C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60%-70% MHR</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79A0E41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Clinic/Hospital</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2C5C2EE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Yes</w:t>
            </w:r>
          </w:p>
        </w:tc>
        <w:tc>
          <w:tcPr>
            <w:tcW w:w="1707" w:type="dxa"/>
            <w:tcBorders>
              <w:top w:val="nil"/>
              <w:left w:val="single" w:sz="6" w:space="0" w:color="auto"/>
              <w:bottom w:val="single" w:sz="6" w:space="0" w:color="auto"/>
              <w:right w:val="single" w:sz="6" w:space="0" w:color="auto"/>
            </w:tcBorders>
            <w:shd w:val="clear" w:color="auto" w:fill="auto"/>
            <w:vAlign w:val="center"/>
            <w:hideMark/>
          </w:tcPr>
          <w:p w14:paraId="67807C9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Medical research team</w:t>
            </w:r>
          </w:p>
        </w:tc>
      </w:tr>
      <w:tr w:rsidR="00AD274F" w:rsidRPr="00BD5595" w14:paraId="638A0E43" w14:textId="77777777" w:rsidTr="0064757F">
        <w:trPr>
          <w:trHeight w:val="1640"/>
        </w:trPr>
        <w:tc>
          <w:tcPr>
            <w:tcW w:w="1273" w:type="dxa"/>
            <w:tcBorders>
              <w:top w:val="nil"/>
              <w:left w:val="single" w:sz="6" w:space="0" w:color="auto"/>
              <w:bottom w:val="single" w:sz="6" w:space="0" w:color="auto"/>
              <w:right w:val="single" w:sz="6" w:space="0" w:color="auto"/>
            </w:tcBorders>
            <w:shd w:val="clear" w:color="auto" w:fill="auto"/>
            <w:hideMark/>
          </w:tcPr>
          <w:p w14:paraId="5259D92C"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Gillis 2014</w:t>
            </w:r>
            <w:r>
              <w:rPr>
                <w:rFonts w:asciiTheme="minorBidi" w:eastAsia="Times New Roman" w:hAnsiTheme="minorBidi"/>
                <w:sz w:val="16"/>
                <w:szCs w:val="16"/>
                <w:lang w:val="en-US" w:eastAsia="es-CO"/>
              </w:rPr>
              <w:t xml:space="preserve">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10.1097/ALN.0000000000000393","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-947","title":"Prehabilitation versus Rehabilitation","type":"article-journal","volume":"121"},"uris":["http://www.mendeley.com/documents/?uuid=ea92dd29-182b-4f85-a295-9d8c6d0360cd"]}],"mendeley":{"formattedCitation":"(38)","plainTextFormattedCitation":"(38)","previouslyFormattedCitation":"(38)"},"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(38)</w:t>
            </w:r>
            <w:r>
              <w:rPr>
                <w:rFonts w:asciiTheme="minorBidi" w:eastAsia="Times New Roman" w:hAnsiTheme="minorBidi"/>
                <w:sz w:val="16"/>
                <w:szCs w:val="16"/>
                <w:lang w:val="en-US" w:eastAsia="es-CO"/>
              </w:rPr>
              <w:fldChar w:fldCharType="end"/>
            </w:r>
            <w:r w:rsidRPr="00C36C8A">
              <w:rPr>
                <w:rFonts w:asciiTheme="minorBidi" w:eastAsia="Times New Roman" w:hAnsiTheme="minorBidi"/>
                <w:sz w:val="16"/>
                <w:szCs w:val="16"/>
                <w:lang w:val="en-US" w:eastAsia="es-CO"/>
              </w:rPr>
              <w:t> </w:t>
            </w: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5BED45B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tc>
        <w:tc>
          <w:tcPr>
            <w:tcW w:w="1423" w:type="dxa"/>
            <w:tcBorders>
              <w:top w:val="nil"/>
              <w:left w:val="single" w:sz="6" w:space="0" w:color="auto"/>
              <w:bottom w:val="single" w:sz="6" w:space="0" w:color="auto"/>
              <w:right w:val="single" w:sz="6" w:space="0" w:color="auto"/>
            </w:tcBorders>
            <w:shd w:val="clear" w:color="auto" w:fill="FFFFFF" w:themeFill="background1"/>
            <w:vAlign w:val="center"/>
            <w:hideMark/>
          </w:tcPr>
          <w:p w14:paraId="3897C04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50 min</w:t>
            </w:r>
          </w:p>
          <w:p w14:paraId="30B7BB2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4 </w:t>
            </w:r>
            <w:proofErr w:type="spellStart"/>
            <w:r w:rsidRPr="00C36C8A">
              <w:rPr>
                <w:rFonts w:asciiTheme="minorBidi" w:eastAsia="Times New Roman" w:hAnsiTheme="minorBidi"/>
                <w:color w:val="000000"/>
                <w:sz w:val="16"/>
                <w:szCs w:val="16"/>
                <w:lang w:val="en-US" w:eastAsia="es-CO"/>
              </w:rPr>
              <w:t>wks</w:t>
            </w:r>
            <w:proofErr w:type="spellEnd"/>
          </w:p>
          <w:p w14:paraId="1394C2A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4CFD676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30758EC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warm-up</w:t>
            </w:r>
          </w:p>
          <w:p w14:paraId="28F2208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20 min aerobic training</w:t>
            </w:r>
          </w:p>
          <w:p w14:paraId="6BD6F7D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20 min resistance training</w:t>
            </w:r>
          </w:p>
          <w:p w14:paraId="30EFE02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cool-down</w:t>
            </w: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7D77369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12 / 24</w:t>
            </w:r>
          </w:p>
        </w:tc>
        <w:tc>
          <w:tcPr>
            <w:tcW w:w="996" w:type="dxa"/>
            <w:tcBorders>
              <w:top w:val="nil"/>
              <w:left w:val="nil"/>
              <w:bottom w:val="single" w:sz="6" w:space="0" w:color="auto"/>
              <w:right w:val="single" w:sz="6" w:space="0" w:color="auto"/>
            </w:tcBorders>
            <w:shd w:val="clear" w:color="auto" w:fill="FFFFFF" w:themeFill="background1"/>
            <w:vAlign w:val="center"/>
            <w:hideMark/>
          </w:tcPr>
          <w:p w14:paraId="6175694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78%</w:t>
            </w:r>
          </w:p>
        </w:tc>
        <w:tc>
          <w:tcPr>
            <w:tcW w:w="2134" w:type="dxa"/>
            <w:tcBorders>
              <w:top w:val="nil"/>
              <w:left w:val="single" w:sz="6" w:space="0" w:color="auto"/>
              <w:bottom w:val="single" w:sz="6" w:space="0" w:color="auto"/>
              <w:right w:val="single" w:sz="6" w:space="0" w:color="auto"/>
            </w:tcBorders>
            <w:shd w:val="clear" w:color="auto" w:fill="FFFFFF" w:themeFill="background1"/>
            <w:vAlign w:val="center"/>
            <w:hideMark/>
          </w:tcPr>
          <w:p w14:paraId="7055053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Aerobic training: 40% HRR</w:t>
            </w:r>
          </w:p>
          <w:p w14:paraId="08B6C85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Resistance training: 8-12 RM</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6730305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Home-based</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3EBB035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No</w:t>
            </w:r>
          </w:p>
        </w:tc>
        <w:tc>
          <w:tcPr>
            <w:tcW w:w="1707" w:type="dxa"/>
            <w:tcBorders>
              <w:top w:val="nil"/>
              <w:left w:val="single" w:sz="6" w:space="0" w:color="auto"/>
              <w:bottom w:val="single" w:sz="6" w:space="0" w:color="auto"/>
              <w:right w:val="single" w:sz="6" w:space="0" w:color="auto"/>
            </w:tcBorders>
            <w:shd w:val="clear" w:color="auto" w:fill="FFFFFF" w:themeFill="background1"/>
            <w:vAlign w:val="center"/>
            <w:hideMark/>
          </w:tcPr>
          <w:p w14:paraId="277C385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Kinesiologist, </w:t>
            </w:r>
            <w:r w:rsidRPr="00C36C8A">
              <w:rPr>
                <w:rFonts w:asciiTheme="minorBidi" w:eastAsia="Times New Roman" w:hAnsiTheme="minorBidi"/>
                <w:color w:val="000000"/>
                <w:sz w:val="16"/>
                <w:szCs w:val="16"/>
                <w:lang w:val="en-US" w:eastAsia="es-CO"/>
              </w:rPr>
              <w:br/>
              <w:t>nutritionist and a psychology-trained research team member</w:t>
            </w:r>
          </w:p>
        </w:tc>
      </w:tr>
      <w:tr w:rsidR="00AD274F" w:rsidRPr="00417A10" w14:paraId="39628253" w14:textId="77777777" w:rsidTr="0064757F">
        <w:trPr>
          <w:trHeight w:val="819"/>
        </w:trPr>
        <w:tc>
          <w:tcPr>
            <w:tcW w:w="1273" w:type="dxa"/>
            <w:tcBorders>
              <w:top w:val="nil"/>
              <w:left w:val="single" w:sz="6" w:space="0" w:color="auto"/>
              <w:bottom w:val="single" w:sz="6" w:space="0" w:color="auto"/>
              <w:right w:val="single" w:sz="6" w:space="0" w:color="auto"/>
            </w:tcBorders>
            <w:shd w:val="clear" w:color="auto" w:fill="auto"/>
            <w:hideMark/>
          </w:tcPr>
          <w:p w14:paraId="42520412"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Lai 2017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{"citationItems":[{"id":"ITEM-1","itemData":{"DOI":"10.1093/icvts/ivx141","abstract":"OBJECTIVES: The goal of this study was to assess the impact of a preoperative 1-week, systematic, high-intensity inpatient exercise regimen on patients with lung cancer who had risk factors for postoperative pulmonary complications (PPCs). METHODS: We conducted a randomized controlled trial with 101 subjects of a preoperative, 7-day systematic, integrated, high-intensity pulmonary exercise regimen. The control group received standard preoperative care. We analysed the occurrence of PPCs in both groups as the primary outcome; other outcomes included changes in blood gas, quality of life, peak expiratory flow rate, the 6-min walk distance and others. RESULTS: The 6-min walk distance showed an increase of 22.9 ± 25.9 m in the intervention group compared with 4.2 ± 9.2 m in the control group, giving a between-group difference of 18.7 m (95% confidence interval: 8.8-28.6; P &lt; 0.001); the peak expiratory flow increased by 25.2 ± 24.6 l/min, compared with 4.2 ± 7.7 l/min (between-group difference: 21.0 m, 95% confidence interval: 7.2-34.8; P = 0.003). The intervention group had a shorter average total (15.6 ± 3.6 vs 17.7 ± 5.3 days, P = 0.023) and postoperative length of stay (6.1 ± 3.0 vs 8.7 ± 4.6 days, P = 0.001) than the control group; the incidence of PPCs (9.8%, 5/51 vs 28.0%, 14/50, P = 0.019) was significantly lower. A multivariable analysis of the risk of PPCs identified short-term rehabilitation intervention to be an independent risk factor (odds ratio = 0.156, 95% confidence interval: 0.037-0.649, P = 0.011). CONCLUSIONS: The study results suggested that a systematic, high-intensity pulmonary exercise programme was a practical strategy when performed preoperatively in patients with lung cancer with risk factors for PPCs.","author":[{"dropping-particle":"","family":"Lai","given":"Yutian","non-dropping-particle":"","parse-names":false,"suffix":""},{"dropping-particle":"","family":"Su","given":"Jianhua","non-dropping-particle":"","parse-names":false,"suffix":""},{"dropping-particle":"","family":"Qiu","given":"Peiyuan","non-dropping-particle":"","parse-names":false,"suffix":""},{"dropping-particle":"","family":"Wang","given":"Mingming","non-dropping-particle":"","parse-names":false,"suffix":""},{"dropping-particle":"","family":"Zhou","given":"Kun","non-dropping-particle":"","parse-names":false,"suffix":""},{"dropping-particle":"","family":"Tang","given":"Yuxin","non-dropping-particle":"","parse-names":false,"suffix":""},{"dropping-particle":"","family":"Che","given":"Guowei","non-dropping-particle":"","parse-names":false,"suffix":""}],"container-title":"Interactive Cardiovascular and Thoracic Surgery","id":"ITEM-1","issue":"3","issued":{"date-parts":[["2017"]]},"page":"476-483","title":"Systematic short-term pulmonary rehabilitation before lung cancer lobectomy: A randomized trial","type":"article-journal","volume":"25"},"uris":["http://www.mendeley.com/documents/?uuid=79800050-72b7-4be9-888b-936db457371a"]}],"mendeley":{"formattedCitation":"(30)","plainTextFormattedCitation":"(30)","previouslyFormattedCitation":"(30)"},"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(30)</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auto"/>
            <w:vAlign w:val="bottom"/>
            <w:hideMark/>
          </w:tcPr>
          <w:p w14:paraId="5F72F74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Respiratory muscles training and aerobic training</w:t>
            </w:r>
          </w:p>
        </w:tc>
        <w:tc>
          <w:tcPr>
            <w:tcW w:w="1423" w:type="dxa"/>
            <w:tcBorders>
              <w:top w:val="nil"/>
              <w:left w:val="single" w:sz="6" w:space="0" w:color="auto"/>
              <w:bottom w:val="single" w:sz="6" w:space="0" w:color="auto"/>
              <w:right w:val="single" w:sz="6" w:space="0" w:color="auto"/>
            </w:tcBorders>
            <w:shd w:val="clear" w:color="auto" w:fill="auto"/>
            <w:vAlign w:val="bottom"/>
            <w:hideMark/>
          </w:tcPr>
          <w:p w14:paraId="58868A8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60 min</w:t>
            </w:r>
          </w:p>
          <w:p w14:paraId="3C7E694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1 </w:t>
            </w:r>
            <w:proofErr w:type="spellStart"/>
            <w:r w:rsidRPr="00C36C8A">
              <w:rPr>
                <w:rFonts w:asciiTheme="minorBidi" w:eastAsia="Times New Roman" w:hAnsiTheme="minorBidi"/>
                <w:color w:val="000000"/>
                <w:sz w:val="16"/>
                <w:szCs w:val="16"/>
                <w:lang w:val="en-US" w:eastAsia="es-CO"/>
              </w:rPr>
              <w:t>wk</w:t>
            </w:r>
            <w:proofErr w:type="spellEnd"/>
          </w:p>
          <w:p w14:paraId="58991CF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04F8D93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auto"/>
            <w:vAlign w:val="center"/>
            <w:hideMark/>
          </w:tcPr>
          <w:p w14:paraId="59B2EB2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30 min respiratory exercises</w:t>
            </w:r>
          </w:p>
          <w:p w14:paraId="3FF30F0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30 min aerobic training</w:t>
            </w:r>
          </w:p>
        </w:tc>
        <w:tc>
          <w:tcPr>
            <w:tcW w:w="1138" w:type="dxa"/>
            <w:tcBorders>
              <w:top w:val="nil"/>
              <w:left w:val="nil"/>
              <w:bottom w:val="single" w:sz="6" w:space="0" w:color="auto"/>
              <w:right w:val="single" w:sz="6" w:space="0" w:color="auto"/>
            </w:tcBorders>
            <w:shd w:val="clear" w:color="auto" w:fill="auto"/>
            <w:vAlign w:val="bottom"/>
            <w:hideMark/>
          </w:tcPr>
          <w:p w14:paraId="6A9468A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7 / 0</w:t>
            </w:r>
          </w:p>
        </w:tc>
        <w:tc>
          <w:tcPr>
            <w:tcW w:w="996" w:type="dxa"/>
            <w:tcBorders>
              <w:top w:val="nil"/>
              <w:left w:val="nil"/>
              <w:bottom w:val="single" w:sz="6" w:space="0" w:color="auto"/>
              <w:right w:val="single" w:sz="6" w:space="0" w:color="auto"/>
            </w:tcBorders>
            <w:shd w:val="clear" w:color="auto" w:fill="auto"/>
            <w:vAlign w:val="bottom"/>
            <w:hideMark/>
          </w:tcPr>
          <w:p w14:paraId="5A803BE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53%</w:t>
            </w:r>
          </w:p>
        </w:tc>
        <w:tc>
          <w:tcPr>
            <w:tcW w:w="2134" w:type="dxa"/>
            <w:tcBorders>
              <w:top w:val="nil"/>
              <w:left w:val="single" w:sz="6" w:space="0" w:color="auto"/>
              <w:bottom w:val="single" w:sz="6" w:space="0" w:color="auto"/>
              <w:right w:val="single" w:sz="6" w:space="0" w:color="auto"/>
            </w:tcBorders>
            <w:shd w:val="clear" w:color="auto" w:fill="auto"/>
            <w:vAlign w:val="bottom"/>
            <w:hideMark/>
          </w:tcPr>
          <w:p w14:paraId="0486768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single" w:sz="6" w:space="0" w:color="auto"/>
              <w:bottom w:val="single" w:sz="6" w:space="0" w:color="auto"/>
              <w:right w:val="single" w:sz="6" w:space="0" w:color="auto"/>
            </w:tcBorders>
            <w:shd w:val="clear" w:color="auto" w:fill="auto"/>
            <w:vAlign w:val="bottom"/>
            <w:hideMark/>
          </w:tcPr>
          <w:p w14:paraId="357D73E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Clinic/Hospital</w:t>
            </w:r>
          </w:p>
        </w:tc>
        <w:tc>
          <w:tcPr>
            <w:tcW w:w="1138" w:type="dxa"/>
            <w:tcBorders>
              <w:top w:val="nil"/>
              <w:left w:val="single" w:sz="6" w:space="0" w:color="auto"/>
              <w:bottom w:val="single" w:sz="6" w:space="0" w:color="auto"/>
              <w:right w:val="single" w:sz="6" w:space="0" w:color="auto"/>
            </w:tcBorders>
            <w:shd w:val="clear" w:color="auto" w:fill="auto"/>
            <w:vAlign w:val="bottom"/>
            <w:hideMark/>
          </w:tcPr>
          <w:p w14:paraId="28D354F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Yes</w:t>
            </w:r>
          </w:p>
        </w:tc>
        <w:tc>
          <w:tcPr>
            <w:tcW w:w="1707" w:type="dxa"/>
            <w:tcBorders>
              <w:top w:val="nil"/>
              <w:left w:val="single" w:sz="6" w:space="0" w:color="auto"/>
              <w:bottom w:val="single" w:sz="6" w:space="0" w:color="auto"/>
              <w:right w:val="single" w:sz="6" w:space="0" w:color="auto"/>
            </w:tcBorders>
            <w:shd w:val="clear" w:color="auto" w:fill="auto"/>
            <w:vAlign w:val="bottom"/>
            <w:hideMark/>
          </w:tcPr>
          <w:p w14:paraId="4E6FFDA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Physiotherapists</w:t>
            </w:r>
          </w:p>
        </w:tc>
      </w:tr>
      <w:tr w:rsidR="00AD274F" w:rsidRPr="00417A10" w14:paraId="53688F95" w14:textId="77777777" w:rsidTr="0064757F">
        <w:trPr>
          <w:trHeight w:val="492"/>
        </w:trPr>
        <w:tc>
          <w:tcPr>
            <w:tcW w:w="1273" w:type="dxa"/>
            <w:tcBorders>
              <w:top w:val="nil"/>
              <w:left w:val="single" w:sz="6" w:space="0" w:color="auto"/>
              <w:bottom w:val="single" w:sz="6" w:space="0" w:color="auto"/>
              <w:right w:val="single" w:sz="6" w:space="0" w:color="auto"/>
            </w:tcBorders>
            <w:shd w:val="clear" w:color="auto" w:fill="auto"/>
            <w:hideMark/>
          </w:tcPr>
          <w:p w14:paraId="132E8CC3"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lastRenderedPageBreak/>
              <w:t>Laurienzo 2013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{"citationItems":[{"id":"ITEM-1","itemData":{"DOI":"10.1590/s1677-5538.ibju.2013.02.05","ISSN":"16776119","PMID":"23683683","abstract":"To evaluate preoperative rectal electrical stimulation in the recovery of urinary continence in patients who undergo radical retropubic prostatectomy. Patients were divided into 3 randomized groups: control, pelvic exercises, and electrical stimulation. A 1 hour pad-test, the ICIQ-SF, and the SF-36 were performed 1, 3, and 6 months after the surgical procedure. Of the 58 patients who were initially included in the study, 9 were excluded due to radiotherapy after surgical intervention, an indwelling urethral catheter for more than 30 days, high surgical risk, loss of follow-up, or incomplete participation in the study routines and spontaneous interruption. Forty-nine patients concluded the study (15 in the control group, 17 in the exercise group, and 17 in the electrical stimulation group). We did not observe any significant difference in the pad test (p &gt; 0.05), the 8 domains of the SF-36, or ICIQ-SF score compared with control groups (control, exercise, and electrical stimulation). Preoperative rectal electrical stimulation has no impact on continence status in patients who undergo radical retropubic prostatectomy. There is no difference in the three above mentioned groups with regard to urinary leakage and quality of life.","author":[{"dropping-particle":"","family":"Laurienzo","given":"Carla Elaine","non-dropping-particle":"","parse-names":false,"suffix":""},{"dropping-particle":"","family":"Sacomani","given":"Carlos Alberto Ricetto","non-dropping-particle":"","parse-names":false,"suffix":""},{"dropping-particle":"","family":"Rodrigues","given":"Telma Ribeiro","non-dropping-particle":"","parse-names":false,"suffix":""},{"dropping-particle":"","family":"Zequi","given":"Stênio de Cássio","non-dropping-particle":"","parse-names":false,"suffix":""},{"dropping-particle":"","family":"Guimarães","given":"Gustavo Cardoso","non-dropping-particle":"","parse-names":false,"suffix":""},{"dropping-particle":"","family":"Lopes","given":"Ademar","non-dropping-particle":"","parse-names":false,"suffix":""}],"container-title":"International braz j urol : official journal of the Brazilian Society of Urology","id":"ITEM-1","issue":"2","issued":{"date-parts":[["2013"]]},"page":"182-188","title":"Results of preoperative electrical stimulation of pelvic floor muscles in the continence status following radical retropubic prostatectomy.","type":"article-journal","volume":"39"},"uris":["http://www.mendeley.com/documents/?uuid=a44a0b89-5ed6-423b-a78e-3dd8e4579ffd"]}],"mendeley":{"formattedCitation":"(28)","plainTextFormattedCitation":"(28)","previouslyFormattedCitation":"(28)"},"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(28)</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auto"/>
            <w:vAlign w:val="center"/>
            <w:hideMark/>
          </w:tcPr>
          <w:p w14:paraId="7BDAC9D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Pelvic floor training</w:t>
            </w:r>
          </w:p>
        </w:tc>
        <w:tc>
          <w:tcPr>
            <w:tcW w:w="1423" w:type="dxa"/>
            <w:tcBorders>
              <w:top w:val="nil"/>
              <w:left w:val="single" w:sz="6" w:space="0" w:color="auto"/>
              <w:bottom w:val="single" w:sz="6" w:space="0" w:color="auto"/>
              <w:right w:val="single" w:sz="6" w:space="0" w:color="auto"/>
            </w:tcBorders>
            <w:shd w:val="clear" w:color="auto" w:fill="auto"/>
            <w:vAlign w:val="center"/>
            <w:hideMark/>
          </w:tcPr>
          <w:p w14:paraId="137D1A8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849" w:type="dxa"/>
            <w:tcBorders>
              <w:top w:val="nil"/>
              <w:left w:val="single" w:sz="6" w:space="0" w:color="auto"/>
              <w:bottom w:val="single" w:sz="6" w:space="0" w:color="auto"/>
              <w:right w:val="single" w:sz="6" w:space="0" w:color="auto"/>
            </w:tcBorders>
            <w:shd w:val="clear" w:color="auto" w:fill="auto"/>
            <w:vAlign w:val="center"/>
            <w:hideMark/>
          </w:tcPr>
          <w:p w14:paraId="416EE76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nil"/>
              <w:bottom w:val="single" w:sz="6" w:space="0" w:color="auto"/>
              <w:right w:val="single" w:sz="6" w:space="0" w:color="auto"/>
            </w:tcBorders>
            <w:shd w:val="clear" w:color="auto" w:fill="auto"/>
            <w:vAlign w:val="center"/>
            <w:hideMark/>
          </w:tcPr>
          <w:p w14:paraId="56B170F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10 / NR</w:t>
            </w:r>
          </w:p>
        </w:tc>
        <w:tc>
          <w:tcPr>
            <w:tcW w:w="996" w:type="dxa"/>
            <w:tcBorders>
              <w:top w:val="nil"/>
              <w:left w:val="nil"/>
              <w:bottom w:val="single" w:sz="6" w:space="0" w:color="auto"/>
              <w:right w:val="single" w:sz="6" w:space="0" w:color="auto"/>
            </w:tcBorders>
            <w:shd w:val="clear" w:color="auto" w:fill="auto"/>
            <w:vAlign w:val="center"/>
            <w:hideMark/>
          </w:tcPr>
          <w:p w14:paraId="704816F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2134" w:type="dxa"/>
            <w:tcBorders>
              <w:top w:val="nil"/>
              <w:left w:val="single" w:sz="6" w:space="0" w:color="auto"/>
              <w:bottom w:val="single" w:sz="6" w:space="0" w:color="auto"/>
              <w:right w:val="single" w:sz="6" w:space="0" w:color="auto"/>
            </w:tcBorders>
            <w:shd w:val="clear" w:color="auto" w:fill="auto"/>
            <w:vAlign w:val="center"/>
            <w:hideMark/>
          </w:tcPr>
          <w:p w14:paraId="18A6BE8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4FE819F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1639A35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707" w:type="dxa"/>
            <w:tcBorders>
              <w:top w:val="nil"/>
              <w:left w:val="single" w:sz="6" w:space="0" w:color="auto"/>
              <w:bottom w:val="single" w:sz="6" w:space="0" w:color="auto"/>
              <w:right w:val="single" w:sz="6" w:space="0" w:color="auto"/>
            </w:tcBorders>
            <w:shd w:val="clear" w:color="auto" w:fill="auto"/>
            <w:vAlign w:val="center"/>
            <w:hideMark/>
          </w:tcPr>
          <w:p w14:paraId="3C3B8BA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Physiotherapist and surgeon</w:t>
            </w:r>
          </w:p>
        </w:tc>
      </w:tr>
      <w:tr w:rsidR="00AD274F" w:rsidRPr="00417A10" w14:paraId="525AC683" w14:textId="77777777" w:rsidTr="0064757F">
        <w:trPr>
          <w:trHeight w:val="1497"/>
        </w:trPr>
        <w:tc>
          <w:tcPr>
            <w:tcW w:w="1273" w:type="dxa"/>
            <w:tcBorders>
              <w:top w:val="nil"/>
              <w:left w:val="single" w:sz="6" w:space="0" w:color="auto"/>
              <w:bottom w:val="single" w:sz="6" w:space="0" w:color="auto"/>
              <w:right w:val="single" w:sz="6" w:space="0" w:color="auto"/>
            </w:tcBorders>
            <w:shd w:val="clear" w:color="auto" w:fill="auto"/>
            <w:hideMark/>
          </w:tcPr>
          <w:p w14:paraId="6D5916C6"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Licker 2016</w:t>
            </w:r>
            <w:r>
              <w:rPr>
                <w:rFonts w:asciiTheme="minorBidi" w:eastAsia="Times New Roman" w:hAnsiTheme="minorBidi"/>
                <w:sz w:val="16"/>
                <w:szCs w:val="16"/>
                <w:lang w:val="en-US" w:eastAsia="es-CO"/>
              </w:rPr>
              <w:t xml:space="preserve">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{"citationItems":[{"id":"ITEM-1","itemData":{"DOI":"10.1016/j.jtho.2016.09.125","abstract":"Introduction Impairment in aerobic fitness is a potential modifiable risk factor for postoperative complications. In this randomized controlled trial, we hypothesized that a high-intensity interval training (HIIT) program enhances cardiorespiratory fitness before lung cancer surgery and therefore reduces the risk of postoperative complications. Methods Patients with operable lung cancer were randomly assigned to usual care (UC) (n = 77) or preoperative rehabilitation based on HIIT (Rehab) (n = 74). Maximal cardiopulmonary exercise testing and the 6-minute walk test were performed twice before surgery. The primary outcome measure was a composite of death and in-hospital postoperative complications. Results The groups were well balanced in terms of patient characteristics. During the preoperative waiting period (median 25 days), the peak oxygen consumption and the 6-minute walking distance increased (median +15%, interquartile range, 25th to 75 percentile [IQR25%–75%, %] = +9% to +22%, p = 0.003 and +15%, IQR25%–75% = +8% to +28%, p &lt; 0.001, respectively) in the Rehab group, whereas peak oxygen consumption declined in the UC group (median –8%, IQR25%–75% = –16% to 0%], p = 0.005). The primary end point did not differ significantly between the two groups: at least one postoperative complication developed in 27 of the 74 patients (35.5%) in the Rehab group and 39 of 77 patients (50.6%) in the UC group (p = 0.080). Notably, the incidence of pulmonary complications was lower in the Rehab compared with in the UC group (23% versus 44%, p = 0.018), owing to a significant reduction in atelectasis (12.2% versus 36.4%, p &lt; 0.001), and this decrease was accompanied by a shorter length of stay in the postanesthesia care unit (median –7 hours, IQR25%–75% = –4 to –10). Conclusions In this randomized controlled trial, preoperative HIIT resulted in significant improvement in aerobic performances but failed to reduce early complications after lung cancer resection.","author":[{"dropping-particle":"","family":"Licker","given":"Marc","non-dropping-particle":"","parse-names":false,"suffix":""},{"dropping-particle":"","family":"Karenovics","given":"Wolfram","non-dropping-particle":"","parse-names":false,"suffix":""},{"dropping-particle":"","family":"Diaper","given":"John","non-dropping-particle":"","parse-names":false,"suffix":""},{"dropping-particle":"","family":"Frésard","given":"Isabelle","non-dropping-particle":"","parse-names":false,"suffix":""},{"dropping-particle":"","family":"Triponez","given":"Frédéric","non-dropping-particle":"","parse-names":false,"suffix":""},{"dropping-particle":"","family":"Ellenberger","given":"Christoph","non-dropping-particle":"","parse-names":false,"suffix":""},{"dropping-particle":"","family":"Schorer","given":"Raoul","non-dropping-particle":"","parse-names":false,"suffix":""},{"dropping-particle":"","family":"Kayser","given":"Bengt","non-dropping-particle":"","parse-names":false,"suffix":""},{"dropping-particle":"","family":"Bridevaux","given":"Pierre Olivier","non-dropping-particle":"","parse-names":false,"suffix":""}],"container-title":"Journal of Thoracic Oncology","id":"ITEM-1","issue":"2","issued":{"date-parts":[["2017"]]},"page":"323-333","publisher":"Elsevier Inc","title":"Short-Term Preoperative High-Intensity Interval Training in Patients Awaiting Lung Cancer Surgery: A Randomized Controlled Trial","type":"article-journal","volume":"12"},"uris":["http://www.mendeley.com/documents/?uuid=22f91df0-49d3-469a-8627-0e1b53d63726"]}],"mendeley":{"formattedCitation":"(31)","plainTextFormattedCitation":"(31)","previouslyFormattedCitation":"(31)"},"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(31)</w:t>
            </w:r>
            <w:r>
              <w:rPr>
                <w:rFonts w:asciiTheme="minorBidi" w:eastAsia="Times New Roman" w:hAnsiTheme="minorBidi"/>
                <w:sz w:val="16"/>
                <w:szCs w:val="16"/>
                <w:lang w:val="en-US" w:eastAsia="es-CO"/>
              </w:rPr>
              <w:fldChar w:fldCharType="end"/>
            </w:r>
            <w:r w:rsidRPr="00C36C8A">
              <w:rPr>
                <w:rFonts w:asciiTheme="minorBidi" w:eastAsia="Times New Roman" w:hAnsiTheme="minorBidi"/>
                <w:sz w:val="16"/>
                <w:szCs w:val="16"/>
                <w:lang w:val="en-US" w:eastAsia="es-CO"/>
              </w:rPr>
              <w:t> </w:t>
            </w:r>
          </w:p>
        </w:tc>
        <w:tc>
          <w:tcPr>
            <w:tcW w:w="1138" w:type="dxa"/>
            <w:tcBorders>
              <w:top w:val="nil"/>
              <w:left w:val="nil"/>
              <w:bottom w:val="single" w:sz="6" w:space="0" w:color="auto"/>
              <w:right w:val="single" w:sz="6" w:space="0" w:color="auto"/>
            </w:tcBorders>
            <w:shd w:val="clear" w:color="auto" w:fill="auto"/>
            <w:vAlign w:val="bottom"/>
            <w:hideMark/>
          </w:tcPr>
          <w:p w14:paraId="0DCBAD5B" w14:textId="77777777" w:rsidR="00AD274F" w:rsidRPr="00C36C8A" w:rsidRDefault="00AD274F" w:rsidP="0064757F">
            <w:pPr>
              <w:spacing w:after="0" w:line="240" w:lineRule="auto"/>
              <w:jc w:val="center"/>
              <w:textAlignment w:val="baseline"/>
              <w:rPr>
                <w:rFonts w:asciiTheme="minorBidi" w:eastAsia="Times New Roman" w:hAnsiTheme="minorBidi"/>
                <w:color w:val="000000" w:themeColor="text1"/>
                <w:sz w:val="16"/>
                <w:szCs w:val="16"/>
                <w:lang w:val="en-US" w:eastAsia="es-CO"/>
              </w:rPr>
            </w:pPr>
          </w:p>
          <w:p w14:paraId="59C6469C" w14:textId="77777777" w:rsidR="00AD274F" w:rsidRPr="00C36C8A" w:rsidRDefault="00AD274F" w:rsidP="0064757F">
            <w:pPr>
              <w:spacing w:after="0" w:line="240" w:lineRule="auto"/>
              <w:jc w:val="center"/>
              <w:textAlignment w:val="baseline"/>
              <w:rPr>
                <w:rFonts w:asciiTheme="minorBidi" w:eastAsia="Times New Roman" w:hAnsiTheme="minorBidi"/>
                <w:color w:val="000000" w:themeColor="text1"/>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p w14:paraId="268FC49C" w14:textId="77777777" w:rsidR="00AD274F" w:rsidRPr="00C36C8A" w:rsidRDefault="00AD274F" w:rsidP="0064757F">
            <w:pPr>
              <w:spacing w:after="0" w:line="240" w:lineRule="auto"/>
              <w:jc w:val="center"/>
              <w:textAlignment w:val="baseline"/>
              <w:rPr>
                <w:rFonts w:asciiTheme="minorBidi" w:eastAsia="Times New Roman" w:hAnsiTheme="minorBidi"/>
                <w:color w:val="000000" w:themeColor="text1"/>
                <w:sz w:val="16"/>
                <w:szCs w:val="16"/>
                <w:lang w:val="en-US" w:eastAsia="es-CO"/>
              </w:rPr>
            </w:pPr>
          </w:p>
        </w:tc>
        <w:tc>
          <w:tcPr>
            <w:tcW w:w="1423" w:type="dxa"/>
            <w:tcBorders>
              <w:top w:val="nil"/>
              <w:left w:val="single" w:sz="6" w:space="0" w:color="auto"/>
              <w:bottom w:val="single" w:sz="6" w:space="0" w:color="auto"/>
              <w:right w:val="single" w:sz="6" w:space="0" w:color="auto"/>
            </w:tcBorders>
            <w:shd w:val="clear" w:color="auto" w:fill="auto"/>
            <w:vAlign w:val="bottom"/>
            <w:hideMark/>
          </w:tcPr>
          <w:p w14:paraId="74766AC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30 min</w:t>
            </w:r>
          </w:p>
          <w:p w14:paraId="7DEAAFB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w:t>
            </w:r>
          </w:p>
          <w:p w14:paraId="2F645A3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2-3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37E5121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auto"/>
            <w:vAlign w:val="bottom"/>
            <w:hideMark/>
          </w:tcPr>
          <w:p w14:paraId="69F40C1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5 min warm-up</w:t>
            </w:r>
          </w:p>
          <w:p w14:paraId="527FD0D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two 10 min series of 15 sec sprint intervals interspersed by 15 sec pauses and a 4 min rest between the two series</w:t>
            </w:r>
          </w:p>
          <w:p w14:paraId="0C7C0B8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5 min active recovery period</w:t>
            </w:r>
          </w:p>
          <w:p w14:paraId="0DD2BC5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138" w:type="dxa"/>
            <w:tcBorders>
              <w:top w:val="nil"/>
              <w:left w:val="nil"/>
              <w:bottom w:val="single" w:sz="6" w:space="0" w:color="auto"/>
              <w:right w:val="single" w:sz="6" w:space="0" w:color="auto"/>
            </w:tcBorders>
            <w:shd w:val="clear" w:color="auto" w:fill="auto"/>
            <w:vAlign w:val="bottom"/>
            <w:hideMark/>
          </w:tcPr>
          <w:p w14:paraId="68912DD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 / NR</w:t>
            </w:r>
          </w:p>
          <w:p w14:paraId="2497E30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71ED422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3610D93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3F6A129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6357C4C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392500A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996" w:type="dxa"/>
            <w:tcBorders>
              <w:top w:val="nil"/>
              <w:left w:val="nil"/>
              <w:bottom w:val="single" w:sz="6" w:space="0" w:color="auto"/>
              <w:right w:val="single" w:sz="6" w:space="0" w:color="auto"/>
            </w:tcBorders>
            <w:shd w:val="clear" w:color="auto" w:fill="auto"/>
            <w:vAlign w:val="bottom"/>
            <w:hideMark/>
          </w:tcPr>
          <w:p w14:paraId="5B96D1E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87%</w:t>
            </w:r>
          </w:p>
          <w:p w14:paraId="43FF261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2E66244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1F8A169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0F91D9E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69604E9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2EB436D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2134" w:type="dxa"/>
            <w:tcBorders>
              <w:top w:val="nil"/>
              <w:left w:val="single" w:sz="6" w:space="0" w:color="auto"/>
              <w:bottom w:val="single" w:sz="6" w:space="0" w:color="auto"/>
              <w:right w:val="single" w:sz="6" w:space="0" w:color="auto"/>
            </w:tcBorders>
            <w:shd w:val="clear" w:color="auto" w:fill="auto"/>
            <w:vAlign w:val="bottom"/>
            <w:hideMark/>
          </w:tcPr>
          <w:p w14:paraId="52A7FE1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80%–100% peak WR</w:t>
            </w:r>
          </w:p>
          <w:p w14:paraId="11CA9B9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24C0637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03B3F9F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2A891B4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68E81C2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2B8CE83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138" w:type="dxa"/>
            <w:tcBorders>
              <w:top w:val="nil"/>
              <w:left w:val="single" w:sz="6" w:space="0" w:color="auto"/>
              <w:bottom w:val="single" w:sz="6" w:space="0" w:color="auto"/>
              <w:right w:val="single" w:sz="6" w:space="0" w:color="auto"/>
            </w:tcBorders>
            <w:shd w:val="clear" w:color="auto" w:fill="auto"/>
            <w:vAlign w:val="bottom"/>
            <w:hideMark/>
          </w:tcPr>
          <w:p w14:paraId="57B4B2C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Clinic/Hospital</w:t>
            </w:r>
          </w:p>
        </w:tc>
        <w:tc>
          <w:tcPr>
            <w:tcW w:w="1138" w:type="dxa"/>
            <w:tcBorders>
              <w:top w:val="nil"/>
              <w:left w:val="single" w:sz="6" w:space="0" w:color="auto"/>
              <w:bottom w:val="single" w:sz="6" w:space="0" w:color="auto"/>
              <w:right w:val="single" w:sz="6" w:space="0" w:color="auto"/>
            </w:tcBorders>
            <w:shd w:val="clear" w:color="auto" w:fill="auto"/>
            <w:vAlign w:val="bottom"/>
            <w:hideMark/>
          </w:tcPr>
          <w:p w14:paraId="4A3C979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Yes</w:t>
            </w:r>
          </w:p>
        </w:tc>
        <w:tc>
          <w:tcPr>
            <w:tcW w:w="1707" w:type="dxa"/>
            <w:tcBorders>
              <w:top w:val="nil"/>
              <w:left w:val="single" w:sz="6" w:space="0" w:color="auto"/>
              <w:bottom w:val="single" w:sz="6" w:space="0" w:color="auto"/>
              <w:right w:val="single" w:sz="6" w:space="0" w:color="auto"/>
            </w:tcBorders>
            <w:shd w:val="clear" w:color="auto" w:fill="auto"/>
            <w:vAlign w:val="bottom"/>
            <w:hideMark/>
          </w:tcPr>
          <w:p w14:paraId="118FBD3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Physiotherapists</w:t>
            </w:r>
          </w:p>
        </w:tc>
      </w:tr>
      <w:tr w:rsidR="00AD274F" w:rsidRPr="00BD5595" w14:paraId="318717F7" w14:textId="77777777" w:rsidTr="0064757F">
        <w:trPr>
          <w:trHeight w:val="272"/>
        </w:trPr>
        <w:tc>
          <w:tcPr>
            <w:tcW w:w="1273" w:type="dxa"/>
            <w:tcBorders>
              <w:top w:val="nil"/>
              <w:left w:val="single" w:sz="6" w:space="0" w:color="auto"/>
              <w:bottom w:val="single" w:sz="6" w:space="0" w:color="auto"/>
              <w:right w:val="single" w:sz="6" w:space="0" w:color="auto"/>
            </w:tcBorders>
            <w:shd w:val="clear" w:color="auto" w:fill="auto"/>
            <w:hideMark/>
          </w:tcPr>
          <w:p w14:paraId="7F7E8021"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Liu 2019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{"citationItems":[{"id":"ITEM-1","itemData":{"DOI":"10.1213/ANE.0000000000004342","ISSN":"0000000000","abstract":"BACKGROUND: Patients with lung cancer often experience reduced functional capacity and quality of life after surgery. The current study investigated the impact of a short-term, home-based, multimodal prehabilitation program on perioperative functional capacity in patients undergoing video-assisted thoracoscopic surgery (VATS) lobectomy for nonsmall cell lung cancer (NSCLC). METHODS: A randomized controlled trial was conducted with 73 patients. Patients in the prehabilitation group (n = 37) received a 2-week multimodal intervention program before surgery, including aerobic and resistance exercises, respiratory training, nutrition counseling with whey protein supplementation, and psychological guidance. Patients in the control group (n = 36) received the usual clinical care. The assessors were blinded to the patient allocation. The primary outcome was perioperative functional capacity measured as the 6-minute walk distance (6MWD), which was assessed at 1 day before and 30 days after surgery. A linear mixed-effects model was built to analyze the perioperative 6MWD. Other outcomes included lung function, disability and psychometric evaluations, length of stay (LOS), short-term recovery quality, postoperative complications, and mortality. RESULTS: The median duration of prehabilitation was 15 days. The average 6MWD was 60.9 m higher perioperatively in the prehabilitation group compared to the control group (95% confidence interval [CI], 32.4-89.5; P &lt;.001). There were no differences in lung function, disability and psychological assessment, LOS, short-term recovery quality, postoperative complications, and mortality, except for forced vital capacity (FVC; 0.35 L higher in the prehabilitation group, 95% CI, 0.05-0.66; P =.021). CONCLUSIONS: A 2-week, home-based, multimodal prehabilitation program could produce clinically relevant improvements in perioperative functional capacity in patients undergoing VATS lobectomy for lung cancer.","author":[{"dropping-particle":"","family":"Liu","given":"Zijia","non-dropping-particle":"","parse-names":false,"suffix":""},{"dropping-particle":"","family":"Qiu","given":"Tian","non-dropping-particle":"","parse-names":false,"suffix":""},{"dropping-particle":"","family":"Pei","given":"Lijian","non-dropping-particle":"","parse-names":false,"suffix":""},{"dropping-particle":"","family":"Zhang","given":"Yuelun","non-dropping-particle":"","parse-names":false,"suffix":""},{"dropping-particle":"","family":"Xu","given":"Li","non-dropping-particle":"","parse-names":false,"suffix":""},{"dropping-particle":"","family":"Cui","given":"Yushang","non-dropping-particle":"","parse-names":false,"suffix":""},{"dropping-particle":"","family":"Liang","given":"Naixin","non-dropping-particle":"","parse-names":false,"suffix":""},{"dropping-particle":"","family":"Li","given":"Shanqing","non-dropping-particle":"","parse-names":false,"suffix":""},{"dropping-particle":"","family":"Chen","given":"Wei","non-dropping-particle":"","parse-names":false,"suffix":""},{"dropping-particle":"","family":"Huang","given":"Yuguang","non-dropping-particle":"","parse-names":false,"suffix":""}],"container-title":"Anesthesia and Analgesia","id":"ITEM-1","issue":"3","issued":{"date-parts":[["2020"]]},"page":"840-849","title":"Two-week multimodal prehabilitation program improves perioperative functional capability in patients undergoing thoracoscopic lobectomy for lung cancer: A randomized controlled trial","type":"article-journal","volume":"131"},"uris":["http://www.mendeley.com/documents/?uuid=b182dc43-efc2-46cb-acd9-e7c99bfd9a6c"]}],"mendeley":{"formattedCitation":"(35)","plainTextFormattedCitation":"(35)","previouslyFormattedCitation":"(35)"},"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(35)</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auto"/>
            <w:vAlign w:val="center"/>
            <w:hideMark/>
          </w:tcPr>
          <w:p w14:paraId="33066B73" w14:textId="77777777" w:rsidR="00AD274F" w:rsidRPr="00C36C8A" w:rsidRDefault="00AD274F" w:rsidP="0064757F">
            <w:pPr>
              <w:spacing w:after="0" w:line="240" w:lineRule="auto"/>
              <w:jc w:val="center"/>
              <w:textAlignment w:val="baseline"/>
              <w:rPr>
                <w:rFonts w:asciiTheme="minorBidi" w:eastAsia="Times New Roman" w:hAnsiTheme="minorBidi"/>
                <w:color w:val="000000" w:themeColor="text1"/>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tc>
        <w:tc>
          <w:tcPr>
            <w:tcW w:w="1423" w:type="dxa"/>
            <w:tcBorders>
              <w:top w:val="nil"/>
              <w:left w:val="single" w:sz="6" w:space="0" w:color="auto"/>
              <w:bottom w:val="single" w:sz="6" w:space="0" w:color="auto"/>
              <w:right w:val="single" w:sz="6" w:space="0" w:color="auto"/>
            </w:tcBorders>
            <w:shd w:val="clear" w:color="auto" w:fill="auto"/>
            <w:vAlign w:val="center"/>
            <w:hideMark/>
          </w:tcPr>
          <w:p w14:paraId="1854DF3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40 min </w:t>
            </w:r>
            <w:r w:rsidRPr="00C36C8A">
              <w:rPr>
                <w:rFonts w:asciiTheme="minorBidi" w:eastAsia="Times New Roman" w:hAnsiTheme="minorBidi"/>
                <w:color w:val="000000"/>
                <w:sz w:val="16"/>
                <w:szCs w:val="16"/>
                <w:lang w:val="en-US" w:eastAsia="es-CO"/>
              </w:rPr>
              <w:br/>
              <w:t>(30 mins 3 times/week and 45 min 2 times/week)</w:t>
            </w:r>
          </w:p>
          <w:p w14:paraId="0B03081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2 </w:t>
            </w:r>
            <w:proofErr w:type="spellStart"/>
            <w:r w:rsidRPr="00C36C8A">
              <w:rPr>
                <w:rFonts w:asciiTheme="minorBidi" w:eastAsia="Times New Roman" w:hAnsiTheme="minorBidi"/>
                <w:color w:val="000000"/>
                <w:sz w:val="16"/>
                <w:szCs w:val="16"/>
                <w:lang w:val="en-US" w:eastAsia="es-CO"/>
              </w:rPr>
              <w:t>wks</w:t>
            </w:r>
            <w:proofErr w:type="spellEnd"/>
          </w:p>
          <w:p w14:paraId="0E58F63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05E9D8B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auto"/>
            <w:vAlign w:val="center"/>
            <w:hideMark/>
          </w:tcPr>
          <w:p w14:paraId="772AFA2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46CBB40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warm-up</w:t>
            </w:r>
          </w:p>
          <w:p w14:paraId="0FC69F8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25 min aerobic training</w:t>
            </w:r>
          </w:p>
          <w:p w14:paraId="51E1D05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10 min resistance training</w:t>
            </w:r>
          </w:p>
          <w:p w14:paraId="5F03319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with an interval of 2 min between</w:t>
            </w:r>
          </w:p>
          <w:p w14:paraId="189325D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each set</w:t>
            </w:r>
          </w:p>
          <w:p w14:paraId="602029E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138" w:type="dxa"/>
            <w:tcBorders>
              <w:top w:val="nil"/>
              <w:left w:val="nil"/>
              <w:bottom w:val="single" w:sz="6" w:space="0" w:color="auto"/>
              <w:right w:val="single" w:sz="6" w:space="0" w:color="auto"/>
            </w:tcBorders>
            <w:shd w:val="clear" w:color="auto" w:fill="auto"/>
            <w:vAlign w:val="center"/>
            <w:hideMark/>
          </w:tcPr>
          <w:p w14:paraId="4CF3AF7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 / NR</w:t>
            </w:r>
          </w:p>
        </w:tc>
        <w:tc>
          <w:tcPr>
            <w:tcW w:w="996" w:type="dxa"/>
            <w:tcBorders>
              <w:top w:val="nil"/>
              <w:left w:val="nil"/>
              <w:bottom w:val="single" w:sz="6" w:space="0" w:color="auto"/>
              <w:right w:val="single" w:sz="6" w:space="0" w:color="auto"/>
            </w:tcBorders>
            <w:shd w:val="clear" w:color="auto" w:fill="auto"/>
            <w:vAlign w:val="center"/>
            <w:hideMark/>
          </w:tcPr>
          <w:p w14:paraId="3B9E9B4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w:t>
            </w:r>
          </w:p>
        </w:tc>
        <w:tc>
          <w:tcPr>
            <w:tcW w:w="2134" w:type="dxa"/>
            <w:tcBorders>
              <w:top w:val="nil"/>
              <w:left w:val="single" w:sz="6" w:space="0" w:color="auto"/>
              <w:bottom w:val="single" w:sz="6" w:space="0" w:color="auto"/>
              <w:right w:val="single" w:sz="6" w:space="0" w:color="auto"/>
            </w:tcBorders>
            <w:shd w:val="clear" w:color="auto" w:fill="auto"/>
            <w:vAlign w:val="center"/>
            <w:hideMark/>
          </w:tcPr>
          <w:p w14:paraId="4EB7DE1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60%-70% MHR</w:t>
            </w:r>
          </w:p>
          <w:p w14:paraId="7ECFF66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Borg scale score of 13-16</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0B2C329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Home-based</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399DCA2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No</w:t>
            </w:r>
          </w:p>
        </w:tc>
        <w:tc>
          <w:tcPr>
            <w:tcW w:w="1707" w:type="dxa"/>
            <w:tcBorders>
              <w:top w:val="nil"/>
              <w:left w:val="single" w:sz="6" w:space="0" w:color="auto"/>
              <w:bottom w:val="single" w:sz="6" w:space="0" w:color="auto"/>
              <w:right w:val="single" w:sz="6" w:space="0" w:color="auto"/>
            </w:tcBorders>
            <w:shd w:val="clear" w:color="auto" w:fill="auto"/>
            <w:vAlign w:val="center"/>
            <w:hideMark/>
          </w:tcPr>
          <w:p w14:paraId="756151A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Physiotherapist, surgeon, and psychiatrist</w:t>
            </w:r>
          </w:p>
        </w:tc>
      </w:tr>
      <w:tr w:rsidR="00AD274F" w:rsidRPr="00BD5595" w14:paraId="33212DB7" w14:textId="77777777" w:rsidTr="0064757F">
        <w:trPr>
          <w:trHeight w:val="711"/>
        </w:trPr>
        <w:tc>
          <w:tcPr>
            <w:tcW w:w="1273" w:type="dxa"/>
            <w:tcBorders>
              <w:top w:val="nil"/>
              <w:left w:val="single" w:sz="6" w:space="0" w:color="auto"/>
              <w:bottom w:val="single" w:sz="6" w:space="0" w:color="auto"/>
              <w:right w:val="single" w:sz="6" w:space="0" w:color="auto"/>
            </w:tcBorders>
            <w:shd w:val="clear" w:color="auto" w:fill="auto"/>
            <w:hideMark/>
          </w:tcPr>
          <w:p w14:paraId="26AF2889"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Ocampo-Trujillo 2014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{"citationItems":[{"id":"ITEM-1","itemData":{"DOI":"10.1016/j.acuroe.2014.02.017","ISSN":"21735786","abstract":"Objective: To evaluate the efficacy of preoperative pelvic floor muscle\ntraining (PFMT) on histomorphometry, muscle function, urinary continence\nand quality of life of patients undergoing radical prostatectomy (RP).\nMaterial and methods: A prospective intervention clinical study was\ndesigned in 16 patients with indication of RP who were randomized into\ntwo groups. The Control Group received routine pre-surgical education\n(hygienic-dietary measures). The intervention group received a training\nsession with supervised PFMT, three times a day, for four weeks, 30 days\nbefore the PR. Muscle function of the external urethral sphincter,\ncontraction pressure of the levator ani, urinary continence and quality\nof life related to health (HRQoL) were evaluated before and after the\nintervention. At the end of the intervention and day of the surgery,\nsamples of residual muscle tissue were obtained from the external\nsphincter muscle of the urethra for histomorphometric analysis.\nResults: After the intervention, those participants who carried out PFMT\nshowed an increase in the cross-sectional area of the muscle fibers of\nthe external urethral sphincter (1,313 +/- 1,075 mu m(2) vs. 1,056 +/-\n844 mu m(2), P = .03) and higher pressure contraction of the levator ani\n(F = 9.188; P = .010). After catheter removal, 62\\% of patients in the\nexperimental group and 37\\% in the control group showed no incontinence.\nAfter removal of the catheter, 75\\% of the experimental group did not\nrequire any pad compared to 25\\% in the control group (p=NS). There were\nno significant differences between the two groups in any of the HRQoL\ndomains studied.\nConclusions: Pre-surgical PFMT in patients with RP indication induces\nchanges in the histology and function of the pelvic floor muscles,\nwithout changes in urogenital function and HRQoL. These results provide\nnew evidence regarding the benefit of PFMT in preventing RP associated\ncomplications. (C) 2013 AEU. Published by Elsevier Espana, S.L. All\nrights reserved.","author":[{"dropping-particle":"","family":"Ocampo-Trujillo","given":"Á.","non-dropping-particle":"","parse-names":false,"suffix":""},{"dropping-particle":"","family":"Carbonell-González","given":"J.","non-dropping-particle":"","parse-names":false,"suffix":""},{"dropping-particle":"","family":"Martínez-Blanco","given":"A.","non-dropping-particle":"","parse-names":false,"suffix":""},{"dropping-particle":"","family":"Díaz-Hung","given":"A.","non-dropping-particle":"","parse-names":false,"suffix":""},{"dropping-particle":"","family":"Muñoz","given":"C.A.","non-dropping-particle":"","parse-names":false,"suffix":""},{"dropping-particle":"","family":"Ramírez-Vélez","given":"R.","non-dropping-particle":"","parse-names":false,"suffix":""}],"container-title":"Actas Urológicas Españolas (English Edition)","id":"ITEM-1","issue":"6","issued":{"date-parts":[["2014"]]},"page":"378-384","title":"Pre-operative training induces changes in the histomorphometry and muscle function of the pelvic floor in patients with indication of radical prostatectomy","type":"article-journal","volume":"38"},"uris":["http://www.mendeley.com/documents/?uuid=a6b033a5-b2a0-4586-b3b5-aa0908489e93"]}],"mendeley":{"formattedCitation":"(32)","plainTextFormattedCitation":"(32)","previouslyFormattedCitation":"(32)"},"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(32)</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auto"/>
            <w:vAlign w:val="center"/>
            <w:hideMark/>
          </w:tcPr>
          <w:p w14:paraId="28B2E66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Pelvic floor training</w:t>
            </w:r>
          </w:p>
        </w:tc>
        <w:tc>
          <w:tcPr>
            <w:tcW w:w="1423" w:type="dxa"/>
            <w:tcBorders>
              <w:top w:val="nil"/>
              <w:left w:val="single" w:sz="6" w:space="0" w:color="auto"/>
              <w:bottom w:val="single" w:sz="6" w:space="0" w:color="auto"/>
              <w:right w:val="single" w:sz="6" w:space="0" w:color="auto"/>
            </w:tcBorders>
            <w:shd w:val="clear" w:color="auto" w:fill="auto"/>
            <w:vAlign w:val="center"/>
            <w:hideMark/>
          </w:tcPr>
          <w:p w14:paraId="723D3CE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849" w:type="dxa"/>
            <w:tcBorders>
              <w:top w:val="nil"/>
              <w:left w:val="single" w:sz="6" w:space="0" w:color="auto"/>
              <w:bottom w:val="single" w:sz="6" w:space="0" w:color="auto"/>
              <w:right w:val="single" w:sz="6" w:space="0" w:color="auto"/>
            </w:tcBorders>
            <w:shd w:val="clear" w:color="auto" w:fill="auto"/>
            <w:vAlign w:val="center"/>
            <w:hideMark/>
          </w:tcPr>
          <w:p w14:paraId="32565B1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nil"/>
              <w:bottom w:val="single" w:sz="6" w:space="0" w:color="auto"/>
              <w:right w:val="single" w:sz="6" w:space="0" w:color="auto"/>
            </w:tcBorders>
            <w:shd w:val="clear" w:color="auto" w:fill="auto"/>
            <w:vAlign w:val="center"/>
            <w:hideMark/>
          </w:tcPr>
          <w:p w14:paraId="35F0331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12 / 0</w:t>
            </w:r>
          </w:p>
        </w:tc>
        <w:tc>
          <w:tcPr>
            <w:tcW w:w="996" w:type="dxa"/>
            <w:tcBorders>
              <w:top w:val="nil"/>
              <w:left w:val="nil"/>
              <w:bottom w:val="single" w:sz="6" w:space="0" w:color="auto"/>
              <w:right w:val="single" w:sz="6" w:space="0" w:color="auto"/>
            </w:tcBorders>
            <w:shd w:val="clear" w:color="auto" w:fill="auto"/>
            <w:vAlign w:val="center"/>
            <w:hideMark/>
          </w:tcPr>
          <w:p w14:paraId="5AE45DE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2134" w:type="dxa"/>
            <w:tcBorders>
              <w:top w:val="nil"/>
              <w:left w:val="single" w:sz="6" w:space="0" w:color="auto"/>
              <w:bottom w:val="single" w:sz="6" w:space="0" w:color="auto"/>
              <w:right w:val="single" w:sz="6" w:space="0" w:color="auto"/>
            </w:tcBorders>
            <w:shd w:val="clear" w:color="auto" w:fill="auto"/>
            <w:vAlign w:val="center"/>
            <w:hideMark/>
          </w:tcPr>
          <w:p w14:paraId="05F4613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0B42F23F"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Clinic/Hospital</w:t>
            </w:r>
          </w:p>
        </w:tc>
        <w:tc>
          <w:tcPr>
            <w:tcW w:w="1138" w:type="dxa"/>
            <w:tcBorders>
              <w:top w:val="nil"/>
              <w:left w:val="single" w:sz="6" w:space="0" w:color="auto"/>
              <w:bottom w:val="single" w:sz="6" w:space="0" w:color="auto"/>
              <w:right w:val="single" w:sz="6" w:space="0" w:color="auto"/>
            </w:tcBorders>
            <w:shd w:val="clear" w:color="auto" w:fill="auto"/>
            <w:vAlign w:val="center"/>
            <w:hideMark/>
          </w:tcPr>
          <w:p w14:paraId="22541E4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Yes</w:t>
            </w:r>
          </w:p>
        </w:tc>
        <w:tc>
          <w:tcPr>
            <w:tcW w:w="1707" w:type="dxa"/>
            <w:tcBorders>
              <w:top w:val="nil"/>
              <w:left w:val="single" w:sz="6" w:space="0" w:color="auto"/>
              <w:bottom w:val="single" w:sz="6" w:space="0" w:color="auto"/>
              <w:right w:val="single" w:sz="6" w:space="0" w:color="auto"/>
            </w:tcBorders>
            <w:shd w:val="clear" w:color="auto" w:fill="auto"/>
            <w:vAlign w:val="center"/>
            <w:hideMark/>
          </w:tcPr>
          <w:p w14:paraId="10193C0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r>
      <w:tr w:rsidR="00AD274F" w:rsidRPr="00C36C8A" w14:paraId="55444372" w14:textId="77777777" w:rsidTr="0064757F">
        <w:trPr>
          <w:trHeight w:val="272"/>
        </w:trPr>
        <w:tc>
          <w:tcPr>
            <w:tcW w:w="1273" w:type="dxa"/>
            <w:tcBorders>
              <w:top w:val="nil"/>
              <w:left w:val="single" w:sz="6" w:space="0" w:color="auto"/>
              <w:bottom w:val="single" w:sz="6" w:space="0" w:color="auto"/>
              <w:right w:val="single" w:sz="6" w:space="0" w:color="auto"/>
            </w:tcBorders>
            <w:shd w:val="clear" w:color="auto" w:fill="auto"/>
            <w:hideMark/>
          </w:tcPr>
          <w:p w14:paraId="1AE39668" w14:textId="77777777" w:rsidR="00AD274F"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Pehlivan 2011</w:t>
            </w:r>
          </w:p>
          <w:p w14:paraId="280DCDDA"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{"citationItems":[{"id":"ITEM-1","itemData":{"DOI":"10.5761/atcs.oa.11.01663","abstract":"Background: We planned to investigate the effect of preoperative short period intensive physical therapy on lung functions, gas-exchange, and capacity of diffusion, and ventilation-perfusion distribution of patients with non-small cell lung cancer. Methods: Sixty patients with lung cancer, who were deemed operable, were randomly allocated into two groups. Intensive physical therapy was performed in patients in the study group before operation. Both groups received routine physical therapy after operation. Results: There was no difference in pulmonary function tests between the two groups. Intensive physical therapy statistically significantly increased peripheral blood oxygen saturation. At least one complication was noted in 5 patients (16.7%) in the control group, and 2 (6.7%), in the study group. However, there was no statistically significant difference (p = 0,4). The hospital stay has been found to be statistically significantly shortened by intensive physical therapy (p &lt;0.001). Ventilation-perfusion distribution was found to be significantly effected by intensive physical therapy. The change was prominent in the the contralateral lung (p &lt;0.001). Conclusions: Intensive physical therapy appeared to increase oxygen saturation, reduce hospital stay, and change the ventilation/perfusion distribution. It had a significant, positive effect on the exercise capacity of patients. © 2011 The Editorial Committee of Annals of Thoracic and Cardiovascular Surgery. All rights reserved.","author":[{"dropping-particle":"","family":"Pehlivan","given":"Esra","non-dropping-particle":"","parse-names":false,"suffix":""},{"dropping-particle":"","family":"Turna","given":"Akif","non-dropping-particle":"","parse-names":false,"suffix":""},{"dropping-particle":"","family":"Gurses","given":"Atilla","non-dropping-particle":"","parse-names":false,"suffix":""},{"dropping-particle":"","family":"Gurses","given":"Hulya Nilgun","non-dropping-particle":"","parse-names":false,"suffix":""}],"container-title":"Annals of Thoracic and Cardiovascular Surgery","id":"ITEM-1","issue":"5","issued":{"date-parts":[["2011"]]},"page":"461-468","title":"The effects of preoperative short-term intense physical therapy in lung cancer patients: A randomized controlled trial","type":"article-journal","volume":"17"},"uris":["http://www.mendeley.com/documents/?uuid=4bcb4215-ae2b-4886-8da8-e0fc93476da8"]}],"mendeley":{"formattedCitation":"(33)","plainTextFormattedCitation":"(33)","previouslyFormattedCitation":"(33)"},"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(33)</w:t>
            </w:r>
            <w:r>
              <w:rPr>
                <w:rFonts w:asciiTheme="minorBidi" w:eastAsia="Times New Roman" w:hAnsiTheme="minorBidi"/>
                <w:sz w:val="16"/>
                <w:szCs w:val="16"/>
                <w:lang w:val="en-US" w:eastAsia="es-CO"/>
              </w:rPr>
              <w:fldChar w:fldCharType="end"/>
            </w:r>
            <w:r w:rsidRPr="00C36C8A">
              <w:rPr>
                <w:rFonts w:asciiTheme="minorBidi" w:eastAsia="Times New Roman" w:hAnsiTheme="minorBidi"/>
                <w:sz w:val="16"/>
                <w:szCs w:val="16"/>
                <w:lang w:val="en-US" w:eastAsia="es-CO"/>
              </w:rPr>
              <w:t> </w:t>
            </w:r>
          </w:p>
        </w:tc>
        <w:tc>
          <w:tcPr>
            <w:tcW w:w="1138" w:type="dxa"/>
            <w:tcBorders>
              <w:top w:val="nil"/>
              <w:left w:val="nil"/>
              <w:bottom w:val="single" w:sz="6" w:space="0" w:color="auto"/>
              <w:right w:val="single" w:sz="6" w:space="0" w:color="auto"/>
            </w:tcBorders>
            <w:shd w:val="clear" w:color="auto" w:fill="auto"/>
            <w:vAlign w:val="bottom"/>
            <w:hideMark/>
          </w:tcPr>
          <w:p w14:paraId="349EF54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Respiratory muscles training and aerobic training</w:t>
            </w:r>
          </w:p>
        </w:tc>
        <w:tc>
          <w:tcPr>
            <w:tcW w:w="1423" w:type="dxa"/>
            <w:tcBorders>
              <w:top w:val="nil"/>
              <w:left w:val="single" w:sz="6" w:space="0" w:color="auto"/>
              <w:bottom w:val="single" w:sz="6" w:space="0" w:color="auto"/>
              <w:right w:val="single" w:sz="6" w:space="0" w:color="auto"/>
            </w:tcBorders>
            <w:shd w:val="clear" w:color="auto" w:fill="auto"/>
            <w:vAlign w:val="bottom"/>
            <w:hideMark/>
          </w:tcPr>
          <w:p w14:paraId="5134201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849" w:type="dxa"/>
            <w:tcBorders>
              <w:top w:val="nil"/>
              <w:left w:val="single" w:sz="6" w:space="0" w:color="auto"/>
              <w:bottom w:val="single" w:sz="6" w:space="0" w:color="auto"/>
              <w:right w:val="single" w:sz="6" w:space="0" w:color="auto"/>
            </w:tcBorders>
            <w:shd w:val="clear" w:color="auto" w:fill="auto"/>
            <w:vAlign w:val="bottom"/>
            <w:hideMark/>
          </w:tcPr>
          <w:p w14:paraId="57BF41B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nil"/>
              <w:bottom w:val="single" w:sz="6" w:space="0" w:color="auto"/>
              <w:right w:val="single" w:sz="6" w:space="0" w:color="auto"/>
            </w:tcBorders>
            <w:shd w:val="clear" w:color="auto" w:fill="auto"/>
            <w:vAlign w:val="bottom"/>
            <w:hideMark/>
          </w:tcPr>
          <w:p w14:paraId="5F49920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2 / NR</w:t>
            </w:r>
          </w:p>
        </w:tc>
        <w:tc>
          <w:tcPr>
            <w:tcW w:w="996" w:type="dxa"/>
            <w:tcBorders>
              <w:top w:val="nil"/>
              <w:left w:val="nil"/>
              <w:bottom w:val="single" w:sz="6" w:space="0" w:color="auto"/>
              <w:right w:val="single" w:sz="6" w:space="0" w:color="auto"/>
            </w:tcBorders>
            <w:shd w:val="clear" w:color="auto" w:fill="auto"/>
            <w:vAlign w:val="bottom"/>
            <w:hideMark/>
          </w:tcPr>
          <w:p w14:paraId="2474E4E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2134" w:type="dxa"/>
            <w:tcBorders>
              <w:top w:val="nil"/>
              <w:left w:val="single" w:sz="6" w:space="0" w:color="auto"/>
              <w:bottom w:val="single" w:sz="6" w:space="0" w:color="auto"/>
              <w:right w:val="single" w:sz="6" w:space="0" w:color="auto"/>
            </w:tcBorders>
            <w:shd w:val="clear" w:color="auto" w:fill="auto"/>
            <w:vAlign w:val="bottom"/>
            <w:hideMark/>
          </w:tcPr>
          <w:p w14:paraId="337D2B4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c>
          <w:tcPr>
            <w:tcW w:w="1138" w:type="dxa"/>
            <w:tcBorders>
              <w:top w:val="nil"/>
              <w:left w:val="single" w:sz="6" w:space="0" w:color="auto"/>
              <w:bottom w:val="single" w:sz="6" w:space="0" w:color="auto"/>
              <w:right w:val="single" w:sz="6" w:space="0" w:color="auto"/>
            </w:tcBorders>
            <w:shd w:val="clear" w:color="auto" w:fill="auto"/>
            <w:vAlign w:val="bottom"/>
            <w:hideMark/>
          </w:tcPr>
          <w:p w14:paraId="63F2550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Clinic/Hospital</w:t>
            </w:r>
          </w:p>
        </w:tc>
        <w:tc>
          <w:tcPr>
            <w:tcW w:w="1138" w:type="dxa"/>
            <w:tcBorders>
              <w:top w:val="nil"/>
              <w:left w:val="single" w:sz="6" w:space="0" w:color="auto"/>
              <w:bottom w:val="single" w:sz="6" w:space="0" w:color="auto"/>
              <w:right w:val="single" w:sz="6" w:space="0" w:color="auto"/>
            </w:tcBorders>
            <w:shd w:val="clear" w:color="auto" w:fill="auto"/>
            <w:vAlign w:val="bottom"/>
            <w:hideMark/>
          </w:tcPr>
          <w:p w14:paraId="62B5C32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Yes</w:t>
            </w:r>
          </w:p>
        </w:tc>
        <w:tc>
          <w:tcPr>
            <w:tcW w:w="1707" w:type="dxa"/>
            <w:tcBorders>
              <w:top w:val="nil"/>
              <w:left w:val="single" w:sz="6" w:space="0" w:color="auto"/>
              <w:bottom w:val="single" w:sz="6" w:space="0" w:color="auto"/>
              <w:right w:val="single" w:sz="6" w:space="0" w:color="auto"/>
            </w:tcBorders>
            <w:shd w:val="clear" w:color="auto" w:fill="auto"/>
            <w:vAlign w:val="bottom"/>
            <w:hideMark/>
          </w:tcPr>
          <w:p w14:paraId="720C19B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NR</w:t>
            </w:r>
          </w:p>
        </w:tc>
      </w:tr>
      <w:tr w:rsidR="00AD274F" w:rsidRPr="00C36C8A" w14:paraId="2843EFB8" w14:textId="77777777" w:rsidTr="0064757F">
        <w:trPr>
          <w:trHeight w:val="967"/>
        </w:trPr>
        <w:tc>
          <w:tcPr>
            <w:tcW w:w="1273" w:type="dxa"/>
            <w:tcBorders>
              <w:top w:val="nil"/>
              <w:left w:val="single" w:sz="6" w:space="0" w:color="auto"/>
              <w:bottom w:val="single" w:sz="6" w:space="0" w:color="auto"/>
              <w:right w:val="single" w:sz="6" w:space="0" w:color="auto"/>
            </w:tcBorders>
            <w:shd w:val="clear" w:color="auto" w:fill="auto"/>
            <w:hideMark/>
          </w:tcPr>
          <w:p w14:paraId="36DC59E3"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Santa Mina 2018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{"citationItems":[{"id":"ITEM-1","itemData":{"DOI":"10.1016/j.suronc.2018.05.010","abstract":"Introduction: Preoperative exercise and fitness are predictors of surgical recovery; however, little is known of the effect of preoperative exercise-based conditioning, known as prehabilitation, in this for men undergoing radical prostatectomy. Our study examined the feasibility and effects of prehabilitation on perioperative and postoperative outcomes in men undergoing radical prostatectomy. Methods: This feasibility RCT compared prehabilitation (PREHAB) versus a control condition (CON) in 86 men undergoing radical prostatectomy. PREHAB consisted of home-based, moderate-intensity exercise prior to surgery. Both groups received a preoperative pelvic floor training regimen. Feasibility was assessed via rates of recruitment, attrition, intervention duration and adherence, and adverse events. Clinical outcomes included surgical complications, and length of stay. The following outcomes were assessed at baseline, prior to surgery, and 4, 12, and 26-weeks postoperatively: 6-min walk test (6MWT), upper-extremity strength, quality of life, psychosocial wellbeing, urologic symptoms, and physical activity volume. Results: The recruitment rate was 47% and attrition rates were 25% and 33% for PREHAB and CON, respectively. Adherence to PREHAB was 69% with no serious intervention-related adverse events. After the intervention and prior to surgery, PREHAB participants demonstrated less anxiety (P = 0.035) and decreased body fat percentage (P = 0.001) compared to CON. Four-weeks postoperatively, PREHAB participants had greater 6MWT scores of clinical significance compared to CON (P = 0.006). Finally, compared to CON, grip strength and anxiety were also greater in the PREHAB at 26-weeks (P = 0.022) and (P = 0.025), respectively. Conclusion: While feasible and safe, prehabilitation has promising benefits to physical and psychological wellbeing at salient timepoints relative to radical prostatectomy.","author":[{"dropping-particle":"","family":"Santa Mina","given":"Daniel","non-dropping-particle":"","parse-names":false,"suffix":""},{"dropping-particle":"","family":"Hilton","given":"William J","non-dropping-particle":"","parse-names":false,"suffix":""},{"dropping-particle":"","family":"Matthew","given":"Andrew G","non-dropping-particle":"","parse-names":false,"suffix":""},{"dropping-particle":"","family":"Awasthi","given":"Rashami","non-dropping-particle":"","parse-names":false,"suffix":""},{"dropping-particle":"","family":"Bousquet-Dion","given":"Guillaume","non-dropping-particle":"","parse-names":false,"suffix":""},{"dropping-particle":"","family":"Alibhai","given":"Shabbir M H","non-dropping-particle":"","parse-names":false,"suffix":""},{"dropping-particle":"","family":"Au","given":"Darren","non-dropping-particle":"","parse-names":false,"suffix":""},{"dropping-particle":"","family":"Fleshner","given":"Neil E","non-dropping-particle":"","parse-names":false,"suffix":""},{"dropping-particle":"","family":"Finelli","given":"Antonio","non-dropping-particle":"","parse-names":false,"suffix":""},{"dropping-particle":"","family":"Clarke","given":"Hance","non-dropping-particle":"","parse-names":false,"suffix":""},{"dropping-particle":"","family":"Aprikian","given":"Armen","non-dropping-particle":"","parse-names":false,"suffix":""},{"dropping-particle":"","family":"Tanguay","given":"Simon","non-dropping-particle":"","parse-names":false,"suffix":""},{"dropping-particle":"","family":"Carli","given":"Franco","non-dropping-particle":"","parse-names":false,"suffix":""}],"container-title":"Surgical Oncology","id":"ITEM-1","issue":"2","issued":{"date-parts":[["2018"]]},"page":"289-298","publisher":"Elsevier Ltd","title":"Prehabilitation for radical prostatectomy: A multicentre randomized controlled trial","type":"article-journal","volume":"27"},"uris":["http://www.mendeley.com/documents/?uuid=bf78a655-4064-4063-ac90-a613485c4db4"]}],"mendeley":{"formattedCitation":"(41)","plainTextFormattedCitation":"(41)","previouslyFormattedCitation":"(41)"},"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(41)</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3E711B67" w14:textId="77777777" w:rsidR="00AD274F" w:rsidRPr="00C36C8A" w:rsidRDefault="00AD274F" w:rsidP="0064757F">
            <w:pPr>
              <w:spacing w:after="0" w:line="240" w:lineRule="auto"/>
              <w:jc w:val="center"/>
              <w:textAlignment w:val="baseline"/>
              <w:rPr>
                <w:rFonts w:asciiTheme="minorBidi" w:eastAsia="Times New Roman" w:hAnsiTheme="minorBidi"/>
                <w:color w:val="000000" w:themeColor="text1"/>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tc>
        <w:tc>
          <w:tcPr>
            <w:tcW w:w="1423" w:type="dxa"/>
            <w:tcBorders>
              <w:top w:val="nil"/>
              <w:left w:val="single" w:sz="6" w:space="0" w:color="auto"/>
              <w:bottom w:val="single" w:sz="6" w:space="0" w:color="auto"/>
              <w:right w:val="single" w:sz="6" w:space="0" w:color="auto"/>
            </w:tcBorders>
            <w:shd w:val="clear" w:color="auto" w:fill="FFFFFF" w:themeFill="background1"/>
            <w:vAlign w:val="center"/>
            <w:hideMark/>
          </w:tcPr>
          <w:p w14:paraId="1435124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60 min</w:t>
            </w:r>
          </w:p>
          <w:p w14:paraId="530A77F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w:t>
            </w:r>
            <w:proofErr w:type="spellStart"/>
            <w:r w:rsidRPr="00C36C8A">
              <w:rPr>
                <w:rFonts w:asciiTheme="minorBidi" w:eastAsia="Times New Roman" w:hAnsiTheme="minorBidi"/>
                <w:color w:val="000000"/>
                <w:sz w:val="16"/>
                <w:szCs w:val="16"/>
                <w:lang w:val="en-US" w:eastAsia="es-CO"/>
              </w:rPr>
              <w:t>wks</w:t>
            </w:r>
            <w:proofErr w:type="spellEnd"/>
          </w:p>
          <w:p w14:paraId="53AA3B7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3-4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44B734A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436C5D1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2F3AF998"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warm-up</w:t>
            </w:r>
          </w:p>
          <w:p w14:paraId="0485FA5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25 min aerobic training</w:t>
            </w:r>
          </w:p>
          <w:p w14:paraId="22E17EF9"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25 min resistance training</w:t>
            </w:r>
          </w:p>
          <w:p w14:paraId="3FD0E61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cool-down</w:t>
            </w:r>
          </w:p>
          <w:p w14:paraId="4C1876D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6195136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 / NR</w:t>
            </w:r>
          </w:p>
        </w:tc>
        <w:tc>
          <w:tcPr>
            <w:tcW w:w="996" w:type="dxa"/>
            <w:tcBorders>
              <w:top w:val="nil"/>
              <w:left w:val="nil"/>
              <w:bottom w:val="single" w:sz="6" w:space="0" w:color="auto"/>
              <w:right w:val="single" w:sz="6" w:space="0" w:color="auto"/>
            </w:tcBorders>
            <w:shd w:val="clear" w:color="auto" w:fill="FFFFFF" w:themeFill="background1"/>
            <w:vAlign w:val="center"/>
            <w:hideMark/>
          </w:tcPr>
          <w:p w14:paraId="2F16B182"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68%</w:t>
            </w:r>
          </w:p>
        </w:tc>
        <w:tc>
          <w:tcPr>
            <w:tcW w:w="2134" w:type="dxa"/>
            <w:tcBorders>
              <w:top w:val="nil"/>
              <w:left w:val="single" w:sz="6" w:space="0" w:color="auto"/>
              <w:bottom w:val="single" w:sz="6" w:space="0" w:color="auto"/>
              <w:right w:val="single" w:sz="6" w:space="0" w:color="auto"/>
            </w:tcBorders>
            <w:shd w:val="clear" w:color="auto" w:fill="FFFFFF" w:themeFill="background1"/>
            <w:vAlign w:val="center"/>
            <w:hideMark/>
          </w:tcPr>
          <w:p w14:paraId="14A4A69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 xml:space="preserve">Aerobic </w:t>
            </w:r>
            <w:r>
              <w:rPr>
                <w:rFonts w:asciiTheme="minorBidi" w:eastAsia="Times New Roman" w:hAnsiTheme="minorBidi"/>
                <w:color w:val="000000"/>
                <w:sz w:val="16"/>
                <w:szCs w:val="16"/>
                <w:lang w:val="en-US" w:eastAsia="es-CO"/>
              </w:rPr>
              <w:t>training</w:t>
            </w:r>
            <w:r w:rsidRPr="00C36C8A">
              <w:rPr>
                <w:rFonts w:asciiTheme="minorBidi" w:eastAsia="Times New Roman" w:hAnsiTheme="minorBidi"/>
                <w:color w:val="000000"/>
                <w:sz w:val="16"/>
                <w:szCs w:val="16"/>
                <w:lang w:val="en-US" w:eastAsia="es-CO"/>
              </w:rPr>
              <w:t>: 40-60% HRR / Resistance training: 8-12 RM</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0B96B017"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Home-based</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2EEE2AA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No</w:t>
            </w:r>
          </w:p>
        </w:tc>
        <w:tc>
          <w:tcPr>
            <w:tcW w:w="1707" w:type="dxa"/>
            <w:tcBorders>
              <w:top w:val="nil"/>
              <w:left w:val="single" w:sz="6" w:space="0" w:color="auto"/>
              <w:bottom w:val="single" w:sz="6" w:space="0" w:color="auto"/>
              <w:right w:val="single" w:sz="6" w:space="0" w:color="auto"/>
            </w:tcBorders>
            <w:shd w:val="clear" w:color="auto" w:fill="FFFFFF" w:themeFill="background1"/>
            <w:vAlign w:val="center"/>
            <w:hideMark/>
          </w:tcPr>
          <w:p w14:paraId="01E77A1A"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w:t>
            </w:r>
          </w:p>
        </w:tc>
      </w:tr>
      <w:tr w:rsidR="00AD274F" w:rsidRPr="00BD5595" w14:paraId="5D1E2F77" w14:textId="77777777" w:rsidTr="0064757F">
        <w:trPr>
          <w:trHeight w:val="819"/>
        </w:trPr>
        <w:tc>
          <w:tcPr>
            <w:tcW w:w="1273" w:type="dxa"/>
            <w:tcBorders>
              <w:top w:val="nil"/>
              <w:left w:val="single" w:sz="6" w:space="0" w:color="auto"/>
              <w:bottom w:val="single" w:sz="6" w:space="0" w:color="auto"/>
              <w:right w:val="single" w:sz="6" w:space="0" w:color="auto"/>
            </w:tcBorders>
            <w:shd w:val="clear" w:color="auto" w:fill="auto"/>
            <w:hideMark/>
          </w:tcPr>
          <w:p w14:paraId="51502922" w14:textId="77777777" w:rsidR="00AD274F" w:rsidRPr="00C36C8A" w:rsidRDefault="00AD274F" w:rsidP="0064757F">
            <w:pPr>
              <w:spacing w:after="0" w:line="240" w:lineRule="auto"/>
              <w:textAlignment w:val="baseline"/>
              <w:rPr>
                <w:rFonts w:asciiTheme="minorBidi" w:eastAsia="Times New Roman" w:hAnsiTheme="minorBidi"/>
                <w:sz w:val="16"/>
                <w:szCs w:val="16"/>
                <w:lang w:val="en-US" w:eastAsia="es-CO"/>
              </w:rPr>
            </w:pPr>
            <w:r>
              <w:rPr>
                <w:rFonts w:asciiTheme="minorBidi" w:eastAsia="Times New Roman" w:hAnsiTheme="minorBidi"/>
                <w:sz w:val="16"/>
                <w:szCs w:val="16"/>
                <w:lang w:val="en-US" w:eastAsia="es-CO"/>
              </w:rPr>
              <w:t>Sebio</w:t>
            </w:r>
            <w:r w:rsidRPr="00C36C8A">
              <w:rPr>
                <w:rFonts w:asciiTheme="minorBidi" w:eastAsia="Times New Roman" w:hAnsiTheme="minorBidi"/>
                <w:sz w:val="16"/>
                <w:szCs w:val="16"/>
                <w:lang w:val="en-US" w:eastAsia="es-CO"/>
              </w:rPr>
              <w:t>-</w:t>
            </w:r>
            <w:r>
              <w:rPr>
                <w:rFonts w:asciiTheme="minorBidi" w:eastAsia="Times New Roman" w:hAnsiTheme="minorBidi"/>
                <w:sz w:val="16"/>
                <w:szCs w:val="16"/>
                <w:lang w:val="en-US" w:eastAsia="es-CO"/>
              </w:rPr>
              <w:t>García</w:t>
            </w:r>
            <w:r w:rsidRPr="00C36C8A">
              <w:rPr>
                <w:rFonts w:asciiTheme="minorBidi" w:eastAsia="Times New Roman" w:hAnsiTheme="minorBidi"/>
                <w:sz w:val="16"/>
                <w:szCs w:val="16"/>
                <w:lang w:val="en-US" w:eastAsia="es-CO"/>
              </w:rPr>
              <w:t xml:space="preserve"> 2017 </w:t>
            </w:r>
            <w:r>
              <w:rPr>
                <w:rFonts w:asciiTheme="minorBidi" w:eastAsia="Times New Roman" w:hAnsiTheme="minorBidi"/>
                <w:sz w:val="16"/>
                <w:szCs w:val="16"/>
                <w:lang w:val="en-US" w:eastAsia="es-CO"/>
              </w:rPr>
              <w:fldChar w:fldCharType="begin" w:fldLock="1"/>
            </w:r>
            <w:r>
              <w:rPr>
                <w:rFonts w:asciiTheme="minorBidi" w:eastAsia="Times New Roman" w:hAnsiTheme="minorBidi"/>
                <w:sz w:val="16"/>
                <w:szCs w:val="16"/>
                <w:lang w:val="en-US" w:eastAsia="es-CO"/>
              </w:rPr>
              <w:instrText>ADDIN CSL_CITATION {"citationItems":[{"id":"ITEM-1","itemData":{"DOI":"10.1177/0269215516684179","ISSN":"14770873","PMID":"28730888","abstract":"Objectives: To investigate the effects of a preoperative pulmonary rehabilitation programme in patients with lung cancer undergoing video-assisted thoracic surgery. Design: Randomized, single-blind controlled trial. Setting: Teaching hospital. Subjects: Patients with suspected or confirmed lung cancer undergoing video-assisted thoracic surgery. Intervention: Participants were randomized to either a prehabilitation group or a control group. Participants in the prehabilitation group underwent a combination of moderate endurance and resistance training plus breathing exercises three to five times per week. Main measures: The primary outcome of the study was exercise capacity. Secondary outcomes were muscle strength (Senior Fitness Test), health-related quality of life (Short-Form 36) and the postoperative outcomes. Patients were evaluated at baseline (before randomization), presurgery (only the prehabilitation group), after surgery and three months post-operatively. Results: A total of 40 patients were randomized and 22 finished the study (10 in the prehabilitation group and 12 in the control group). Three patients were lost to follow-up at three months. After the training, there was a statistically significant improvement in exercise tolerance (+397 seconds, p = 0.0001), the physical summary component of the SF-36 (+4.4 points, p = 0.008) and muscle strength (p &lt; 0.01). There were no significant differences between groups after surgery. However, three months postoperatively, significant differences were found in the mean change of exercise capacity (p = 0.005), physical summary component (p = 0.001) and upper and lower body strength (p = 0.045 and p = 0.002). Conclusions: A pulmonary rehabilitation programme before video-assisted thoracic surgery seems to improve patients' preoperative condition and may prevent functional decline after surgery. Clinical Registration Number: NCT01963923 (Registration date 10/10/2013)","author":[{"dropping-particle":"","family":"Sebio García","given":"Raquel","non-dropping-particle":"","parse-names":false,"suffix":""},{"dropping-particle":"","family":"Yáñez-Brage","given":"Maria Isabel","non-dropping-particle":"","parse-names":false,"suffix":""},{"dropping-particle":"","family":"Giménez Moolhuyzen","given":"Esther","non-dropping-particle":"","parse-names":false,"suffix":""},{"dropping-particle":"","family":"Salorio Riobo","given":"Marta","non-dropping-particle":"","parse-names":false,"suffix":""},{"dropping-particle":"","family":"Lista Paz","given":"Ana","non-dropping-particle":"","parse-names":false,"suffix":""},{"dropping-particle":"","family":"Borro Mate","given":"Jose María","non-dropping-particle":"","parse-names":false,"suffix":""}],"container-title":"Clinical Rehabilitation","id":"ITEM-1","issue":"8","issued":{"date-parts":[["2017"]]},"page":"1057-1067","title":"Preoperative exercise training prevents functional decline after lung resection surgery: A randomized, single-blind controlled trial","type":"article-journal","volume":"31"},"uris":["http://www.mendeley.com/documents/?uuid=00f66464-a7c9-4d6e-8b22-9c16daf680b5"]}],"mendeley":{"formattedCitation":"(34)","plainTextFormattedCitation":"(34)","previouslyFormattedCitation":"(34)"},"properties":{"noteIndex":0},"schema":"https://github.com/citation-style-language/schema/raw/master/csl-citation.json"}</w:instrText>
            </w:r>
            <w:r>
              <w:rPr>
                <w:rFonts w:asciiTheme="minorBidi" w:eastAsia="Times New Roman" w:hAnsiTheme="minorBidi"/>
                <w:sz w:val="16"/>
                <w:szCs w:val="16"/>
                <w:lang w:val="en-US" w:eastAsia="es-CO"/>
              </w:rPr>
              <w:fldChar w:fldCharType="separate"/>
            </w:r>
            <w:r w:rsidRPr="005240DB">
              <w:rPr>
                <w:rFonts w:asciiTheme="minorBidi" w:eastAsia="Times New Roman" w:hAnsiTheme="minorBidi"/>
                <w:noProof/>
                <w:sz w:val="16"/>
                <w:szCs w:val="16"/>
                <w:lang w:val="en-US" w:eastAsia="es-CO"/>
              </w:rPr>
              <w:t>(34)</w:t>
            </w:r>
            <w:r>
              <w:rPr>
                <w:rFonts w:asciiTheme="minorBidi" w:eastAsia="Times New Roman" w:hAnsiTheme="minorBidi"/>
                <w:sz w:val="16"/>
                <w:szCs w:val="16"/>
                <w:lang w:val="en-US" w:eastAsia="es-CO"/>
              </w:rPr>
              <w:fldChar w:fldCharType="end"/>
            </w: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0B46CC2E" w14:textId="77777777" w:rsidR="00AD274F" w:rsidRPr="00C36C8A" w:rsidRDefault="00AD274F" w:rsidP="0064757F">
            <w:pPr>
              <w:spacing w:after="0" w:line="240" w:lineRule="auto"/>
              <w:jc w:val="center"/>
              <w:textAlignment w:val="baseline"/>
              <w:rPr>
                <w:rFonts w:asciiTheme="minorBidi" w:eastAsia="Times New Roman" w:hAnsiTheme="minorBidi"/>
                <w:color w:val="000000" w:themeColor="text1"/>
                <w:sz w:val="16"/>
                <w:szCs w:val="16"/>
                <w:lang w:val="en-US" w:eastAsia="es-CO"/>
              </w:rPr>
            </w:pPr>
            <w:r w:rsidRPr="00C36C8A">
              <w:rPr>
                <w:rFonts w:asciiTheme="minorBidi" w:eastAsia="Times New Roman" w:hAnsiTheme="minorBidi"/>
                <w:color w:val="000000" w:themeColor="text1"/>
                <w:sz w:val="16"/>
                <w:szCs w:val="16"/>
                <w:lang w:val="en-US" w:eastAsia="es-CO"/>
              </w:rPr>
              <w:t>Combined Training</w:t>
            </w:r>
          </w:p>
        </w:tc>
        <w:tc>
          <w:tcPr>
            <w:tcW w:w="1423" w:type="dxa"/>
            <w:tcBorders>
              <w:top w:val="nil"/>
              <w:left w:val="single" w:sz="6" w:space="0" w:color="auto"/>
              <w:bottom w:val="single" w:sz="6" w:space="0" w:color="auto"/>
              <w:right w:val="single" w:sz="6" w:space="0" w:color="auto"/>
            </w:tcBorders>
            <w:shd w:val="clear" w:color="auto" w:fill="FFFFFF" w:themeFill="background1"/>
            <w:vAlign w:val="center"/>
            <w:hideMark/>
          </w:tcPr>
          <w:p w14:paraId="3613B77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30 min</w:t>
            </w:r>
          </w:p>
          <w:p w14:paraId="2D72E16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NR</w:t>
            </w:r>
          </w:p>
          <w:p w14:paraId="2B3EA9C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3-5 </w:t>
            </w:r>
            <w:proofErr w:type="spellStart"/>
            <w:r w:rsidRPr="00C36C8A">
              <w:rPr>
                <w:rFonts w:asciiTheme="minorBidi" w:eastAsia="Times New Roman" w:hAnsiTheme="minorBidi"/>
                <w:color w:val="000000"/>
                <w:sz w:val="16"/>
                <w:szCs w:val="16"/>
                <w:lang w:val="en-US" w:eastAsia="es-CO"/>
              </w:rPr>
              <w:t>ses</w:t>
            </w:r>
            <w:proofErr w:type="spellEnd"/>
            <w:r w:rsidRPr="00C36C8A">
              <w:rPr>
                <w:rFonts w:asciiTheme="minorBidi" w:eastAsia="Times New Roman" w:hAnsiTheme="minorBidi"/>
                <w:color w:val="000000"/>
                <w:sz w:val="16"/>
                <w:szCs w:val="16"/>
                <w:lang w:val="en-US" w:eastAsia="es-CO"/>
              </w:rPr>
              <w:t>/</w:t>
            </w:r>
            <w:proofErr w:type="spellStart"/>
            <w:r w:rsidRPr="00C36C8A">
              <w:rPr>
                <w:rFonts w:asciiTheme="minorBidi" w:eastAsia="Times New Roman" w:hAnsiTheme="minorBidi"/>
                <w:color w:val="000000"/>
                <w:sz w:val="16"/>
                <w:szCs w:val="16"/>
                <w:lang w:val="en-US" w:eastAsia="es-CO"/>
              </w:rPr>
              <w:t>wk</w:t>
            </w:r>
            <w:proofErr w:type="spellEnd"/>
          </w:p>
          <w:p w14:paraId="1E03097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849" w:type="dxa"/>
            <w:tcBorders>
              <w:top w:val="nil"/>
              <w:left w:val="single" w:sz="6" w:space="0" w:color="auto"/>
              <w:bottom w:val="single" w:sz="6" w:space="0" w:color="auto"/>
              <w:right w:val="single" w:sz="6" w:space="0" w:color="auto"/>
            </w:tcBorders>
            <w:shd w:val="clear" w:color="auto" w:fill="FFFFFF" w:themeFill="background1"/>
            <w:vAlign w:val="center"/>
            <w:hideMark/>
          </w:tcPr>
          <w:p w14:paraId="758EBE1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p w14:paraId="00208554"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 min warm-up</w:t>
            </w:r>
          </w:p>
          <w:p w14:paraId="7AA7A7E0"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21 min aerobic training</w:t>
            </w:r>
          </w:p>
          <w:p w14:paraId="0CE03DB5"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4 min cool-down</w:t>
            </w:r>
          </w:p>
          <w:p w14:paraId="11ABF7E3"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p>
        </w:tc>
        <w:tc>
          <w:tcPr>
            <w:tcW w:w="1138" w:type="dxa"/>
            <w:tcBorders>
              <w:top w:val="nil"/>
              <w:left w:val="nil"/>
              <w:bottom w:val="single" w:sz="6" w:space="0" w:color="auto"/>
              <w:right w:val="single" w:sz="6" w:space="0" w:color="auto"/>
            </w:tcBorders>
            <w:shd w:val="clear" w:color="auto" w:fill="FFFFFF" w:themeFill="background1"/>
            <w:vAlign w:val="center"/>
            <w:hideMark/>
          </w:tcPr>
          <w:p w14:paraId="0D517C9C"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16 (range 8–25) / NR</w:t>
            </w:r>
          </w:p>
        </w:tc>
        <w:tc>
          <w:tcPr>
            <w:tcW w:w="996" w:type="dxa"/>
            <w:tcBorders>
              <w:top w:val="nil"/>
              <w:left w:val="nil"/>
              <w:bottom w:val="single" w:sz="6" w:space="0" w:color="auto"/>
              <w:right w:val="single" w:sz="6" w:space="0" w:color="auto"/>
            </w:tcBorders>
            <w:shd w:val="clear" w:color="auto" w:fill="FFFFFF" w:themeFill="background1"/>
            <w:vAlign w:val="center"/>
            <w:hideMark/>
          </w:tcPr>
          <w:p w14:paraId="0A26288B"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50%</w:t>
            </w:r>
          </w:p>
        </w:tc>
        <w:tc>
          <w:tcPr>
            <w:tcW w:w="2134" w:type="dxa"/>
            <w:tcBorders>
              <w:top w:val="nil"/>
              <w:left w:val="single" w:sz="6" w:space="0" w:color="auto"/>
              <w:bottom w:val="single" w:sz="6" w:space="0" w:color="auto"/>
              <w:right w:val="single" w:sz="6" w:space="0" w:color="auto"/>
            </w:tcBorders>
            <w:shd w:val="clear" w:color="auto" w:fill="FFFFFF" w:themeFill="background1"/>
            <w:vAlign w:val="center"/>
            <w:hideMark/>
          </w:tcPr>
          <w:p w14:paraId="74EE14FD"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Aerobic training: 30-80 W peak Resistance training: NR</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6CA82C76"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Mixed (home/clin)</w:t>
            </w:r>
          </w:p>
        </w:tc>
        <w:tc>
          <w:tcPr>
            <w:tcW w:w="1138" w:type="dxa"/>
            <w:tcBorders>
              <w:top w:val="nil"/>
              <w:left w:val="single" w:sz="6" w:space="0" w:color="auto"/>
              <w:bottom w:val="single" w:sz="6" w:space="0" w:color="auto"/>
              <w:right w:val="single" w:sz="6" w:space="0" w:color="auto"/>
            </w:tcBorders>
            <w:shd w:val="clear" w:color="auto" w:fill="FFFFFF" w:themeFill="background1"/>
            <w:vAlign w:val="center"/>
            <w:hideMark/>
          </w:tcPr>
          <w:p w14:paraId="0ABEA321"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color w:val="000000"/>
                <w:sz w:val="16"/>
                <w:szCs w:val="16"/>
                <w:lang w:val="en-US" w:eastAsia="es-CO"/>
              </w:rPr>
              <w:t>Yes</w:t>
            </w:r>
          </w:p>
        </w:tc>
        <w:tc>
          <w:tcPr>
            <w:tcW w:w="1707" w:type="dxa"/>
            <w:tcBorders>
              <w:top w:val="nil"/>
              <w:left w:val="single" w:sz="6" w:space="0" w:color="auto"/>
              <w:bottom w:val="single" w:sz="6" w:space="0" w:color="auto"/>
              <w:right w:val="single" w:sz="6" w:space="0" w:color="auto"/>
            </w:tcBorders>
            <w:shd w:val="clear" w:color="auto" w:fill="FFFFFF" w:themeFill="background1"/>
            <w:vAlign w:val="center"/>
            <w:hideMark/>
          </w:tcPr>
          <w:p w14:paraId="4E84F0FE" w14:textId="77777777" w:rsidR="00AD274F" w:rsidRPr="00C36C8A" w:rsidRDefault="00AD274F" w:rsidP="0064757F">
            <w:pPr>
              <w:spacing w:after="0" w:line="240" w:lineRule="auto"/>
              <w:jc w:val="center"/>
              <w:textAlignment w:val="baseline"/>
              <w:rPr>
                <w:rFonts w:asciiTheme="minorBidi" w:eastAsia="Times New Roman" w:hAnsiTheme="minorBidi"/>
                <w:sz w:val="16"/>
                <w:szCs w:val="16"/>
                <w:lang w:val="en-US" w:eastAsia="es-CO"/>
              </w:rPr>
            </w:pPr>
            <w:r w:rsidRPr="00C36C8A">
              <w:rPr>
                <w:rFonts w:asciiTheme="minorBidi" w:eastAsia="Times New Roman" w:hAnsiTheme="minorBidi"/>
                <w:sz w:val="16"/>
                <w:szCs w:val="16"/>
                <w:lang w:val="en-US" w:eastAsia="es-CO"/>
              </w:rPr>
              <w:t>Physiotherapists and researchers</w:t>
            </w:r>
          </w:p>
        </w:tc>
      </w:tr>
    </w:tbl>
    <w:p w14:paraId="6A0FD759" w14:textId="77777777" w:rsidR="00AD274F" w:rsidRPr="00C36C8A" w:rsidRDefault="00AD274F" w:rsidP="00AD274F">
      <w:pPr>
        <w:spacing w:after="0" w:line="240" w:lineRule="auto"/>
        <w:textAlignment w:val="baseline"/>
        <w:rPr>
          <w:rFonts w:asciiTheme="minorBidi" w:eastAsia="Times New Roman" w:hAnsiTheme="minorBidi"/>
          <w:sz w:val="18"/>
          <w:szCs w:val="18"/>
          <w:lang w:val="en-US" w:eastAsia="es-CO"/>
        </w:rPr>
      </w:pPr>
      <w:r w:rsidRPr="00C36C8A">
        <w:rPr>
          <w:rFonts w:asciiTheme="minorBidi" w:eastAsia="Times New Roman" w:hAnsiTheme="minorBidi"/>
          <w:lang w:val="en-US" w:eastAsia="es-CO"/>
        </w:rPr>
        <w:t> </w:t>
      </w:r>
    </w:p>
    <w:p w14:paraId="462C12C3" w14:textId="7CC5597B" w:rsidR="002F6B26" w:rsidRPr="00AD274F" w:rsidRDefault="00AD274F" w:rsidP="00AD274F">
      <w:pPr>
        <w:rPr>
          <w:lang w:val="en-US"/>
        </w:rPr>
      </w:pPr>
      <w:r w:rsidRPr="00C36C8A">
        <w:rPr>
          <w:rFonts w:asciiTheme="minorBidi" w:eastAsia="Times New Roman" w:hAnsiTheme="minorBidi"/>
          <w:sz w:val="18"/>
          <w:szCs w:val="18"/>
          <w:lang w:val="en-US" w:eastAsia="es-CO"/>
        </w:rPr>
        <w:t>HRR</w:t>
      </w:r>
      <w:r>
        <w:rPr>
          <w:rFonts w:asciiTheme="minorBidi" w:eastAsia="Times New Roman" w:hAnsiTheme="minorBidi"/>
          <w:sz w:val="18"/>
          <w:szCs w:val="18"/>
          <w:lang w:val="en-US" w:eastAsia="es-CO"/>
        </w:rPr>
        <w:t>,</w:t>
      </w:r>
      <w:r w:rsidRPr="00C36C8A">
        <w:rPr>
          <w:rFonts w:asciiTheme="minorBidi" w:eastAsia="Times New Roman" w:hAnsiTheme="minorBidi"/>
          <w:sz w:val="18"/>
          <w:szCs w:val="18"/>
          <w:lang w:val="en-US" w:eastAsia="es-CO"/>
        </w:rPr>
        <w:t xml:space="preserve"> Heart rate reserve; </w:t>
      </w:r>
      <w:r>
        <w:rPr>
          <w:rFonts w:asciiTheme="minorBidi" w:eastAsia="Times New Roman" w:hAnsiTheme="minorBidi"/>
          <w:sz w:val="18"/>
          <w:szCs w:val="18"/>
          <w:lang w:val="en-US" w:eastAsia="es-CO"/>
        </w:rPr>
        <w:t xml:space="preserve">HIIT, </w:t>
      </w:r>
      <w:r w:rsidRPr="00C36C8A">
        <w:rPr>
          <w:rFonts w:asciiTheme="minorBidi" w:eastAsia="Times New Roman" w:hAnsiTheme="minorBidi"/>
          <w:sz w:val="18"/>
          <w:szCs w:val="18"/>
          <w:lang w:val="en-US" w:eastAsia="es-CO"/>
        </w:rPr>
        <w:t>High-intensity interval training;</w:t>
      </w:r>
      <w:r w:rsidRPr="00A24CD9">
        <w:rPr>
          <w:rFonts w:asciiTheme="minorBidi" w:eastAsia="Times New Roman" w:hAnsiTheme="minorBidi"/>
          <w:sz w:val="18"/>
          <w:szCs w:val="18"/>
          <w:lang w:val="en-US" w:eastAsia="es-CO"/>
        </w:rPr>
        <w:t xml:space="preserve"> </w:t>
      </w:r>
      <w:r w:rsidRPr="00C36C8A">
        <w:rPr>
          <w:rFonts w:asciiTheme="minorBidi" w:eastAsia="Times New Roman" w:hAnsiTheme="minorBidi"/>
          <w:sz w:val="18"/>
          <w:szCs w:val="18"/>
          <w:lang w:val="en-US" w:eastAsia="es-CO"/>
        </w:rPr>
        <w:t>MHR</w:t>
      </w:r>
      <w:r>
        <w:rPr>
          <w:rFonts w:asciiTheme="minorBidi" w:eastAsia="Times New Roman" w:hAnsiTheme="minorBidi"/>
          <w:sz w:val="18"/>
          <w:szCs w:val="18"/>
          <w:lang w:val="en-US" w:eastAsia="es-CO"/>
        </w:rPr>
        <w:t>,</w:t>
      </w:r>
      <w:r w:rsidRPr="00C36C8A">
        <w:rPr>
          <w:rFonts w:asciiTheme="minorBidi" w:eastAsia="Times New Roman" w:hAnsiTheme="minorBidi"/>
          <w:sz w:val="18"/>
          <w:szCs w:val="18"/>
          <w:lang w:val="en-US" w:eastAsia="es-CO"/>
        </w:rPr>
        <w:t> Maximum heart rate;</w:t>
      </w:r>
      <w:r>
        <w:rPr>
          <w:rFonts w:asciiTheme="minorBidi" w:eastAsia="Times New Roman" w:hAnsiTheme="minorBidi"/>
          <w:sz w:val="18"/>
          <w:szCs w:val="18"/>
          <w:lang w:val="en-US" w:eastAsia="es-CO"/>
        </w:rPr>
        <w:t xml:space="preserve"> NR,</w:t>
      </w:r>
      <w:r w:rsidRPr="00C36C8A">
        <w:rPr>
          <w:rFonts w:asciiTheme="minorBidi" w:eastAsia="Times New Roman" w:hAnsiTheme="minorBidi"/>
          <w:sz w:val="18"/>
          <w:szCs w:val="18"/>
          <w:lang w:val="en-US" w:eastAsia="es-CO"/>
        </w:rPr>
        <w:t> Not reported; </w:t>
      </w:r>
      <w:r>
        <w:rPr>
          <w:rFonts w:asciiTheme="minorBidi" w:eastAsia="Times New Roman" w:hAnsiTheme="minorBidi"/>
          <w:sz w:val="18"/>
          <w:szCs w:val="18"/>
          <w:lang w:val="en-US" w:eastAsia="es-CO"/>
        </w:rPr>
        <w:t xml:space="preserve">RM, </w:t>
      </w:r>
      <w:r w:rsidRPr="00C36C8A">
        <w:rPr>
          <w:rFonts w:asciiTheme="minorBidi" w:eastAsia="Times New Roman" w:hAnsiTheme="minorBidi"/>
          <w:sz w:val="18"/>
          <w:szCs w:val="18"/>
          <w:lang w:val="en-US" w:eastAsia="es-CO"/>
        </w:rPr>
        <w:t>Repetition maximum; </w:t>
      </w:r>
      <w:r>
        <w:rPr>
          <w:rFonts w:asciiTheme="minorBidi" w:eastAsia="Times New Roman" w:hAnsiTheme="minorBidi"/>
          <w:sz w:val="18"/>
          <w:szCs w:val="18"/>
          <w:lang w:val="en-US" w:eastAsia="es-CO"/>
        </w:rPr>
        <w:t xml:space="preserve">WR, </w:t>
      </w:r>
      <w:r w:rsidRPr="00C36C8A">
        <w:rPr>
          <w:rFonts w:asciiTheme="minorBidi" w:eastAsia="Times New Roman" w:hAnsiTheme="minorBidi"/>
          <w:sz w:val="18"/>
          <w:szCs w:val="18"/>
          <w:lang w:val="en-US" w:eastAsia="es-CO"/>
        </w:rPr>
        <w:t xml:space="preserve">Work rate; </w:t>
      </w:r>
      <w:r>
        <w:rPr>
          <w:rFonts w:asciiTheme="minorBidi" w:eastAsia="Times New Roman" w:hAnsiTheme="minorBidi"/>
          <w:sz w:val="18"/>
          <w:szCs w:val="18"/>
          <w:lang w:val="en-US" w:eastAsia="es-CO"/>
        </w:rPr>
        <w:t xml:space="preserve">W, </w:t>
      </w:r>
      <w:r w:rsidRPr="00C36C8A">
        <w:rPr>
          <w:rFonts w:asciiTheme="minorBidi" w:eastAsia="Times New Roman" w:hAnsiTheme="minorBidi"/>
          <w:sz w:val="18"/>
          <w:szCs w:val="18"/>
          <w:lang w:val="en-US" w:eastAsia="es-CO"/>
        </w:rPr>
        <w:t>Workload.</w:t>
      </w:r>
    </w:p>
    <w:sectPr w:rsidR="002F6B26" w:rsidRPr="00AD274F" w:rsidSect="00AD274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4F"/>
    <w:rsid w:val="002377F7"/>
    <w:rsid w:val="002F6B26"/>
    <w:rsid w:val="00541B04"/>
    <w:rsid w:val="009974EC"/>
    <w:rsid w:val="00AD274F"/>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B41E"/>
  <w15:chartTrackingRefBased/>
  <w15:docId w15:val="{4672D9D0-286E-4E3C-9BBB-DD6F4335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74F"/>
    <w:pPr>
      <w:spacing w:after="200" w:line="276" w:lineRule="auto"/>
    </w:pPr>
    <w:rPr>
      <w:lang w:val="es-EC"/>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8497</Words>
  <Characters>45037</Characters>
  <Application>Microsoft Office Word</Application>
  <DocSecurity>0</DocSecurity>
  <Lines>375</Lines>
  <Paragraphs>106</Paragraphs>
  <ScaleCrop>false</ScaleCrop>
  <Company/>
  <LinksUpToDate>false</LinksUpToDate>
  <CharactersWithSpaces>53428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Meneses Echavez, Jose Francisco</dc:creator>
  <cp:keywords/>
  <dc:description/>
  <cp:lastModifiedBy>Meneses Echavez, Jose Francisco</cp:lastModifiedBy>
  <cp:revision>1</cp:revision>
  <dcterms:created xsi:type="dcterms:W3CDTF">2021-06-30T15:52:00Z</dcterms:created>
  <dcterms:modified xsi:type="dcterms:W3CDTF">2021-06-30T15:53:00Z</dcterms:modified>
</cp:coreProperties>
</file>