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16008" w14:textId="77777777" w:rsidR="00A411DA" w:rsidRPr="00E24E6F" w:rsidRDefault="00A411DA" w:rsidP="00A411D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39AFEA64"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6. </w:t>
      </w:r>
      <w:r w:rsidRPr="39AFEA64">
        <w:rPr>
          <w:rFonts w:asciiTheme="minorBidi" w:hAnsiTheme="minorBidi"/>
          <w:b/>
          <w:bCs/>
          <w:sz w:val="24"/>
          <w:szCs w:val="24"/>
          <w:lang w:val="en-US"/>
        </w:rPr>
        <w:t>Narratively results (or synthesis without meta-analysis)</w:t>
      </w:r>
    </w:p>
    <w:tbl>
      <w:tblPr>
        <w:tblStyle w:val="Tabellrutenett"/>
        <w:tblW w:w="10915" w:type="dxa"/>
        <w:tblInd w:w="-714" w:type="dxa"/>
        <w:tblLook w:val="04A0" w:firstRow="1" w:lastRow="0" w:firstColumn="1" w:lastColumn="0" w:noHBand="0" w:noVBand="1"/>
      </w:tblPr>
      <w:tblGrid>
        <w:gridCol w:w="1560"/>
        <w:gridCol w:w="1417"/>
        <w:gridCol w:w="2835"/>
        <w:gridCol w:w="5103"/>
      </w:tblGrid>
      <w:tr w:rsidR="00A411DA" w:rsidRPr="00BD5595" w14:paraId="153A626F" w14:textId="77777777" w:rsidTr="0064757F">
        <w:tc>
          <w:tcPr>
            <w:tcW w:w="1560" w:type="dxa"/>
            <w:shd w:val="clear" w:color="auto" w:fill="D9E2F3" w:themeFill="accent1" w:themeFillTint="33"/>
            <w:vAlign w:val="center"/>
          </w:tcPr>
          <w:p w14:paraId="3E0DD96A" w14:textId="77777777" w:rsidR="00A411DA" w:rsidRPr="00615F62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5F62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345A8E6D" w14:textId="77777777" w:rsidR="00A411DA" w:rsidRPr="00615F62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5F62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1116BA0D" w14:textId="77777777" w:rsidR="00A411DA" w:rsidRPr="00615F62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Follow-up</w:t>
            </w:r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2FEC3F05" w14:textId="77777777" w:rsidR="00A411DA" w:rsidRPr="00615F62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E</w:t>
            </w:r>
            <w:r w:rsidRPr="00615F62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ffect estimate </w:t>
            </w:r>
          </w:p>
        </w:tc>
      </w:tr>
      <w:tr w:rsidR="00A411DA" w:rsidRPr="00BD5595" w14:paraId="33DBAF0D" w14:textId="77777777" w:rsidTr="0064757F">
        <w:tc>
          <w:tcPr>
            <w:tcW w:w="10915" w:type="dxa"/>
            <w:gridSpan w:val="4"/>
            <w:shd w:val="clear" w:color="auto" w:fill="D9E2F3" w:themeFill="accent1" w:themeFillTint="33"/>
          </w:tcPr>
          <w:p w14:paraId="7BDEF7F7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Comparison 1: combined training vs rehabilitation/usual care</w:t>
            </w:r>
          </w:p>
        </w:tc>
      </w:tr>
      <w:tr w:rsidR="00A411DA" w:rsidRPr="00BD5595" w14:paraId="16581894" w14:textId="77777777" w:rsidTr="0064757F">
        <w:tc>
          <w:tcPr>
            <w:tcW w:w="10915" w:type="dxa"/>
            <w:gridSpan w:val="4"/>
            <w:shd w:val="clear" w:color="auto" w:fill="D9E2F3" w:themeFill="accent1" w:themeFillTint="33"/>
          </w:tcPr>
          <w:p w14:paraId="0DD743FE" w14:textId="77777777" w:rsidR="00A411DA" w:rsidRPr="0054189E" w:rsidRDefault="00A411DA" w:rsidP="0064757F">
            <w:pPr>
              <w:spacing w:after="0" w:line="36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Health-related quality of life (HRQoL)</w:t>
            </w:r>
          </w:p>
        </w:tc>
      </w:tr>
      <w:tr w:rsidR="00A411DA" w:rsidRPr="00BD5595" w14:paraId="7B7C2477" w14:textId="77777777" w:rsidTr="0064757F">
        <w:tc>
          <w:tcPr>
            <w:tcW w:w="1560" w:type="dxa"/>
            <w:vMerge w:val="restart"/>
            <w:vAlign w:val="center"/>
          </w:tcPr>
          <w:p w14:paraId="4CB3AD2C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08B4">
              <w:rPr>
                <w:rFonts w:ascii="Arial" w:hAnsi="Arial" w:cs="Arial"/>
                <w:sz w:val="20"/>
                <w:szCs w:val="20"/>
                <w:lang w:val="en-US"/>
              </w:rPr>
              <w:t>Santa Mina et al., 2018 (41)</w:t>
            </w:r>
          </w:p>
        </w:tc>
        <w:tc>
          <w:tcPr>
            <w:tcW w:w="1417" w:type="dxa"/>
            <w:vMerge w:val="restart"/>
            <w:vAlign w:val="center"/>
          </w:tcPr>
          <w:p w14:paraId="24074ECC" w14:textId="77777777" w:rsidR="00A411DA" w:rsidRPr="0054189E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54189E">
              <w:rPr>
                <w:rFonts w:asciiTheme="minorBidi" w:hAnsiTheme="minorBidi"/>
                <w:sz w:val="20"/>
                <w:szCs w:val="20"/>
                <w:lang w:val="en-US"/>
              </w:rPr>
              <w:t>61</w:t>
            </w:r>
          </w:p>
        </w:tc>
        <w:tc>
          <w:tcPr>
            <w:tcW w:w="2835" w:type="dxa"/>
          </w:tcPr>
          <w:p w14:paraId="4766AB78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Before surgery</w:t>
            </w:r>
          </w:p>
        </w:tc>
        <w:tc>
          <w:tcPr>
            <w:tcW w:w="5103" w:type="dxa"/>
          </w:tcPr>
          <w:p w14:paraId="48CCFFBF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MD 2.11 ± SE 3.22; CI (-4.25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to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8.47); p-value 0.514*</w:t>
            </w:r>
          </w:p>
        </w:tc>
      </w:tr>
      <w:tr w:rsidR="00A411DA" w:rsidRPr="00BD5595" w14:paraId="595F2E26" w14:textId="77777777" w:rsidTr="0064757F">
        <w:tc>
          <w:tcPr>
            <w:tcW w:w="1560" w:type="dxa"/>
            <w:vMerge/>
            <w:vAlign w:val="center"/>
          </w:tcPr>
          <w:p w14:paraId="648FE084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7EA50862" w14:textId="77777777" w:rsidR="00A411DA" w:rsidRPr="0054189E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1C3F8F0A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4- weeks</w:t>
            </w:r>
          </w:p>
        </w:tc>
        <w:tc>
          <w:tcPr>
            <w:tcW w:w="5103" w:type="dxa"/>
          </w:tcPr>
          <w:p w14:paraId="4D5F3ACA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MD -2.11 ± SE 3.16; CI (-8.34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to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4.12); p-value 0.505*</w:t>
            </w:r>
          </w:p>
        </w:tc>
      </w:tr>
      <w:tr w:rsidR="00A411DA" w:rsidRPr="00BD5595" w14:paraId="58028B7B" w14:textId="77777777" w:rsidTr="0064757F">
        <w:tc>
          <w:tcPr>
            <w:tcW w:w="1560" w:type="dxa"/>
            <w:vMerge/>
            <w:vAlign w:val="center"/>
          </w:tcPr>
          <w:p w14:paraId="337A4EAF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7629521C" w14:textId="77777777" w:rsidR="00A411DA" w:rsidRPr="0054189E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2A3FE167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12 - weeks</w:t>
            </w:r>
          </w:p>
        </w:tc>
        <w:tc>
          <w:tcPr>
            <w:tcW w:w="5103" w:type="dxa"/>
          </w:tcPr>
          <w:p w14:paraId="6FB6EF2D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MD -4.30 ± SE 3.30; CI (-10.81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to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2.21); p-value 0.194*</w:t>
            </w:r>
          </w:p>
        </w:tc>
      </w:tr>
      <w:tr w:rsidR="00A411DA" w:rsidRPr="00BD5595" w14:paraId="76E997C9" w14:textId="77777777" w:rsidTr="0064757F">
        <w:tc>
          <w:tcPr>
            <w:tcW w:w="1560" w:type="dxa"/>
            <w:vMerge/>
            <w:vAlign w:val="center"/>
          </w:tcPr>
          <w:p w14:paraId="74ADCA84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4A3F2C2E" w14:textId="77777777" w:rsidR="00A411DA" w:rsidRPr="0054189E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748EAEDC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26 - weeks</w:t>
            </w:r>
          </w:p>
        </w:tc>
        <w:tc>
          <w:tcPr>
            <w:tcW w:w="5103" w:type="dxa"/>
          </w:tcPr>
          <w:p w14:paraId="20D71912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MD -1.37 ± SE 3.32; CI (-7.91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to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5.18); p-value 0.681*</w:t>
            </w:r>
          </w:p>
        </w:tc>
      </w:tr>
      <w:tr w:rsidR="00A411DA" w:rsidRPr="00BD5595" w14:paraId="18D52E14" w14:textId="77777777" w:rsidTr="0064757F">
        <w:tc>
          <w:tcPr>
            <w:tcW w:w="1560" w:type="dxa"/>
            <w:vMerge w:val="restart"/>
            <w:vAlign w:val="center"/>
          </w:tcPr>
          <w:p w14:paraId="7A70E876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08B4">
              <w:rPr>
                <w:rFonts w:ascii="Arial" w:hAnsi="Arial" w:cs="Arial"/>
                <w:sz w:val="20"/>
                <w:szCs w:val="20"/>
                <w:lang w:val="en-US"/>
              </w:rPr>
              <w:t>Sebio García et al., 2017 (34)</w:t>
            </w:r>
          </w:p>
        </w:tc>
        <w:tc>
          <w:tcPr>
            <w:tcW w:w="1417" w:type="dxa"/>
            <w:vMerge w:val="restart"/>
            <w:vAlign w:val="center"/>
          </w:tcPr>
          <w:p w14:paraId="5892ED2E" w14:textId="77777777" w:rsidR="00A411DA" w:rsidRPr="0054189E" w:rsidRDefault="00A411DA" w:rsidP="0064757F">
            <w:pPr>
              <w:spacing w:after="0" w:line="36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54189E">
              <w:rPr>
                <w:rFonts w:asciiTheme="minorBidi" w:hAnsiTheme="minorBidi"/>
                <w:sz w:val="20"/>
                <w:szCs w:val="20"/>
                <w:lang w:val="en-US"/>
              </w:rPr>
              <w:t>19</w:t>
            </w:r>
          </w:p>
        </w:tc>
        <w:tc>
          <w:tcPr>
            <w:tcW w:w="2835" w:type="dxa"/>
          </w:tcPr>
          <w:p w14:paraId="17A1D05C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Before surgery (PCS)</w:t>
            </w:r>
          </w:p>
        </w:tc>
        <w:tc>
          <w:tcPr>
            <w:tcW w:w="5103" w:type="dxa"/>
          </w:tcPr>
          <w:p w14:paraId="35C31A50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Mean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4.5 ± SD 4.2; CI (1.5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to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7.5); p-value 0.08**</w:t>
            </w:r>
          </w:p>
        </w:tc>
      </w:tr>
      <w:tr w:rsidR="00A411DA" w:rsidRPr="00BD5595" w14:paraId="71604618" w14:textId="77777777" w:rsidTr="0064757F">
        <w:tc>
          <w:tcPr>
            <w:tcW w:w="1560" w:type="dxa"/>
            <w:vMerge/>
          </w:tcPr>
          <w:p w14:paraId="455585E3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7CFE4062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40F8F786" w14:textId="77777777" w:rsidR="00A411DA" w:rsidRPr="0054189E" w:rsidRDefault="00A411DA" w:rsidP="0064757F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1 - week Post surgery (PCS)</w:t>
            </w:r>
          </w:p>
        </w:tc>
        <w:tc>
          <w:tcPr>
            <w:tcW w:w="5103" w:type="dxa"/>
          </w:tcPr>
          <w:p w14:paraId="2A3C9657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MD −2.8 ± SD 5.8; p-value 0.067*</w:t>
            </w:r>
          </w:p>
        </w:tc>
      </w:tr>
      <w:tr w:rsidR="00A411DA" w:rsidRPr="00BD5595" w14:paraId="1220CEE6" w14:textId="77777777" w:rsidTr="0064757F">
        <w:tc>
          <w:tcPr>
            <w:tcW w:w="1560" w:type="dxa"/>
            <w:vMerge/>
          </w:tcPr>
          <w:p w14:paraId="156DF34B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361B3F5E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4E5AB8B0" w14:textId="77777777" w:rsidR="00A411DA" w:rsidRPr="0054189E" w:rsidRDefault="00A411DA" w:rsidP="0064757F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12 - weeks</w:t>
            </w:r>
          </w:p>
        </w:tc>
        <w:tc>
          <w:tcPr>
            <w:tcW w:w="5103" w:type="dxa"/>
          </w:tcPr>
          <w:p w14:paraId="096C12FB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MD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4.3 ± SD 4; p-value 0.001*</w:t>
            </w:r>
          </w:p>
        </w:tc>
      </w:tr>
      <w:tr w:rsidR="00A411DA" w:rsidRPr="00BD5595" w14:paraId="6781774C" w14:textId="77777777" w:rsidTr="0064757F">
        <w:tc>
          <w:tcPr>
            <w:tcW w:w="1560" w:type="dxa"/>
            <w:vMerge/>
          </w:tcPr>
          <w:p w14:paraId="0FAE0B60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22F70FBC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7B235910" w14:textId="77777777" w:rsidR="00A411DA" w:rsidRPr="0054189E" w:rsidRDefault="00A411DA" w:rsidP="0064757F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Before surgery (MCS)</w:t>
            </w:r>
          </w:p>
        </w:tc>
        <w:tc>
          <w:tcPr>
            <w:tcW w:w="5103" w:type="dxa"/>
          </w:tcPr>
          <w:p w14:paraId="161CBCBE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Mean 1.65 ± SD 7.7; CI, (-3.8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to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7.1); p-value 0.511**</w:t>
            </w:r>
          </w:p>
        </w:tc>
      </w:tr>
      <w:tr w:rsidR="00A411DA" w:rsidRPr="00BD5595" w14:paraId="338C0B20" w14:textId="77777777" w:rsidTr="0064757F">
        <w:tc>
          <w:tcPr>
            <w:tcW w:w="10915" w:type="dxa"/>
            <w:gridSpan w:val="4"/>
            <w:shd w:val="clear" w:color="auto" w:fill="D9E2F3" w:themeFill="accent1" w:themeFillTint="33"/>
          </w:tcPr>
          <w:p w14:paraId="6CCA9A3D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009C08B4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Comparison 4: Pelvic floor training vs usual care</w:t>
            </w:r>
          </w:p>
        </w:tc>
      </w:tr>
      <w:tr w:rsidR="00A411DA" w:rsidRPr="00BD5595" w14:paraId="1E78992B" w14:textId="77777777" w:rsidTr="0064757F">
        <w:tc>
          <w:tcPr>
            <w:tcW w:w="10915" w:type="dxa"/>
            <w:gridSpan w:val="4"/>
            <w:shd w:val="clear" w:color="auto" w:fill="D9E2F3" w:themeFill="accent1" w:themeFillTint="33"/>
          </w:tcPr>
          <w:p w14:paraId="1E9392EF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 w:rsidRPr="009C08B4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Health-related quality of life (HRQoL)</w:t>
            </w:r>
          </w:p>
        </w:tc>
      </w:tr>
      <w:tr w:rsidR="00A411DA" w:rsidRPr="00BD5595" w14:paraId="62BA23B9" w14:textId="77777777" w:rsidTr="0064757F">
        <w:tc>
          <w:tcPr>
            <w:tcW w:w="1560" w:type="dxa"/>
            <w:vMerge w:val="restart"/>
            <w:shd w:val="clear" w:color="auto" w:fill="auto"/>
            <w:vAlign w:val="center"/>
          </w:tcPr>
          <w:p w14:paraId="1398BEE5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C08B4">
              <w:rPr>
                <w:rFonts w:ascii="Arial" w:eastAsia="Arial" w:hAnsi="Arial" w:cs="Arial"/>
                <w:sz w:val="20"/>
                <w:szCs w:val="20"/>
                <w:lang w:val="en-US"/>
              </w:rPr>
              <w:t>Centemero et al., 2010 (40)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5E01A7A" w14:textId="77777777" w:rsidR="00A411DA" w:rsidRPr="002954BA" w:rsidRDefault="00A411DA" w:rsidP="0064757F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954BA">
              <w:rPr>
                <w:rFonts w:ascii="Arial" w:eastAsia="Arial" w:hAnsi="Arial" w:cs="Arial"/>
                <w:sz w:val="20"/>
                <w:szCs w:val="20"/>
                <w:lang w:val="en-US"/>
              </w:rPr>
              <w:t>118</w:t>
            </w:r>
          </w:p>
        </w:tc>
        <w:tc>
          <w:tcPr>
            <w:tcW w:w="2835" w:type="dxa"/>
            <w:shd w:val="clear" w:color="auto" w:fill="auto"/>
          </w:tcPr>
          <w:p w14:paraId="61649881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4 - weeks</w:t>
            </w:r>
          </w:p>
        </w:tc>
        <w:tc>
          <w:tcPr>
            <w:tcW w:w="5103" w:type="dxa"/>
            <w:shd w:val="clear" w:color="auto" w:fill="auto"/>
          </w:tcPr>
          <w:p w14:paraId="6B3B7310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Mean 14.6 ± DS 5.7; p-value </w:t>
            </w:r>
            <w:r w:rsidRPr="0054189E">
              <w:rPr>
                <w:lang w:val="en-US"/>
              </w:rPr>
              <w:t>0.002*</w:t>
            </w:r>
          </w:p>
        </w:tc>
      </w:tr>
      <w:tr w:rsidR="00A411DA" w:rsidRPr="00BD5595" w14:paraId="0E9700AE" w14:textId="77777777" w:rsidTr="0064757F">
        <w:tc>
          <w:tcPr>
            <w:tcW w:w="1560" w:type="dxa"/>
            <w:vMerge/>
            <w:shd w:val="clear" w:color="auto" w:fill="auto"/>
          </w:tcPr>
          <w:p w14:paraId="19F9543D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D216E72" w14:textId="77777777" w:rsidR="00A411DA" w:rsidRPr="002954BA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5696CD6D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12 - weeks</w:t>
            </w:r>
          </w:p>
        </w:tc>
        <w:tc>
          <w:tcPr>
            <w:tcW w:w="5103" w:type="dxa"/>
            <w:shd w:val="clear" w:color="auto" w:fill="auto"/>
          </w:tcPr>
          <w:p w14:paraId="7253A968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Mean 8.1 ± DS 7.6; p-value </w:t>
            </w:r>
            <w:r w:rsidRPr="0054189E">
              <w:rPr>
                <w:lang w:val="en-US"/>
              </w:rPr>
              <w:t>0.002*</w:t>
            </w:r>
          </w:p>
        </w:tc>
      </w:tr>
      <w:tr w:rsidR="00A411DA" w:rsidRPr="00BD5595" w14:paraId="57B8148F" w14:textId="77777777" w:rsidTr="0064757F">
        <w:tc>
          <w:tcPr>
            <w:tcW w:w="1560" w:type="dxa"/>
            <w:vMerge w:val="restart"/>
            <w:shd w:val="clear" w:color="auto" w:fill="auto"/>
            <w:vAlign w:val="center"/>
          </w:tcPr>
          <w:p w14:paraId="5201DD77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C08B4">
              <w:rPr>
                <w:rFonts w:ascii="Arial" w:eastAsia="Arial" w:hAnsi="Arial" w:cs="Arial"/>
                <w:sz w:val="20"/>
                <w:szCs w:val="20"/>
                <w:lang w:val="en-US"/>
              </w:rPr>
              <w:t>Laurienzo et al., 2013 (28)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C99F84C" w14:textId="77777777" w:rsidR="00A411DA" w:rsidRPr="002954BA" w:rsidRDefault="00A411DA" w:rsidP="0064757F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954BA">
              <w:rPr>
                <w:rFonts w:ascii="Arial" w:eastAsia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2835" w:type="dxa"/>
            <w:shd w:val="clear" w:color="auto" w:fill="auto"/>
          </w:tcPr>
          <w:p w14:paraId="29D73BD3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4 - weeks</w:t>
            </w:r>
          </w:p>
        </w:tc>
        <w:tc>
          <w:tcPr>
            <w:tcW w:w="5103" w:type="dxa"/>
            <w:shd w:val="clear" w:color="auto" w:fill="auto"/>
          </w:tcPr>
          <w:p w14:paraId="411EDAAE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Mean 14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± DS 3.6; p-value </w:t>
            </w:r>
            <w:r w:rsidRPr="0054189E">
              <w:rPr>
                <w:lang w:val="en-US"/>
              </w:rPr>
              <w:t>&gt; 0.05</w:t>
            </w:r>
          </w:p>
        </w:tc>
      </w:tr>
      <w:tr w:rsidR="00A411DA" w:rsidRPr="00BD5595" w14:paraId="1987A924" w14:textId="77777777" w:rsidTr="0064757F">
        <w:tc>
          <w:tcPr>
            <w:tcW w:w="1560" w:type="dxa"/>
            <w:vMerge/>
            <w:shd w:val="clear" w:color="auto" w:fill="auto"/>
          </w:tcPr>
          <w:p w14:paraId="4BF99980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1829E63" w14:textId="77777777" w:rsidR="00A411DA" w:rsidRPr="002954BA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4B032277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12 - weeks</w:t>
            </w:r>
          </w:p>
        </w:tc>
        <w:tc>
          <w:tcPr>
            <w:tcW w:w="5103" w:type="dxa"/>
            <w:shd w:val="clear" w:color="auto" w:fill="auto"/>
          </w:tcPr>
          <w:p w14:paraId="524E1BA7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Mean 6.9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± DS 5.8; p-value </w:t>
            </w:r>
            <w:r w:rsidRPr="0054189E">
              <w:rPr>
                <w:lang w:val="en-US"/>
              </w:rPr>
              <w:t>&gt; 0.05</w:t>
            </w:r>
          </w:p>
        </w:tc>
      </w:tr>
      <w:tr w:rsidR="00A411DA" w:rsidRPr="00BD5595" w14:paraId="67479141" w14:textId="77777777" w:rsidTr="0064757F">
        <w:tc>
          <w:tcPr>
            <w:tcW w:w="1560" w:type="dxa"/>
            <w:vMerge/>
            <w:shd w:val="clear" w:color="auto" w:fill="auto"/>
          </w:tcPr>
          <w:p w14:paraId="04708AE5" w14:textId="77777777" w:rsidR="00A411DA" w:rsidRPr="009C08B4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C8D2B3C" w14:textId="77777777" w:rsidR="00A411DA" w:rsidRPr="002954BA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7EC097E7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24 - weeks</w:t>
            </w:r>
          </w:p>
        </w:tc>
        <w:tc>
          <w:tcPr>
            <w:tcW w:w="5103" w:type="dxa"/>
            <w:shd w:val="clear" w:color="auto" w:fill="auto"/>
          </w:tcPr>
          <w:p w14:paraId="3D90638B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Mean 4.8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± DS 5.3; p-value </w:t>
            </w:r>
            <w:r w:rsidRPr="0054189E">
              <w:rPr>
                <w:lang w:val="en-US"/>
              </w:rPr>
              <w:t>&gt; 0.05</w:t>
            </w:r>
          </w:p>
        </w:tc>
      </w:tr>
      <w:tr w:rsidR="00A411DA" w:rsidRPr="00BD5595" w14:paraId="038122B3" w14:textId="77777777" w:rsidTr="0064757F">
        <w:tc>
          <w:tcPr>
            <w:tcW w:w="1560" w:type="dxa"/>
            <w:vMerge w:val="restart"/>
            <w:shd w:val="clear" w:color="auto" w:fill="auto"/>
            <w:vAlign w:val="center"/>
          </w:tcPr>
          <w:p w14:paraId="3F9C4893" w14:textId="77777777" w:rsidR="00A411DA" w:rsidRPr="009C08B4" w:rsidRDefault="00A411DA" w:rsidP="0064757F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C08B4">
              <w:rPr>
                <w:rFonts w:ascii="Arial" w:eastAsia="Arial" w:hAnsi="Arial" w:cs="Arial"/>
                <w:sz w:val="20"/>
                <w:szCs w:val="20"/>
                <w:lang w:val="en-US"/>
              </w:rPr>
              <w:t>Ocampo-Trujillo et al., 2014 (32)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99900B3" w14:textId="77777777" w:rsidR="00A411DA" w:rsidRPr="002954BA" w:rsidRDefault="00A411DA" w:rsidP="0064757F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2954BA">
              <w:rPr>
                <w:rFonts w:ascii="Arial" w:eastAsia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2DBCAFF1" w14:textId="77777777" w:rsidR="00A411DA" w:rsidRPr="0054189E" w:rsidRDefault="00A411DA" w:rsidP="0064757F">
            <w:pPr>
              <w:spacing w:after="0" w:line="360" w:lineRule="auto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Before surgery (PCS)</w:t>
            </w:r>
          </w:p>
        </w:tc>
        <w:tc>
          <w:tcPr>
            <w:tcW w:w="5103" w:type="dxa"/>
            <w:shd w:val="clear" w:color="auto" w:fill="auto"/>
          </w:tcPr>
          <w:p w14:paraId="3AB66D05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Mean 51.3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± DS 2.0</w:t>
            </w:r>
          </w:p>
        </w:tc>
      </w:tr>
      <w:tr w:rsidR="00A411DA" w:rsidRPr="00BD5595" w14:paraId="56458F77" w14:textId="77777777" w:rsidTr="0064757F">
        <w:tc>
          <w:tcPr>
            <w:tcW w:w="1560" w:type="dxa"/>
            <w:vMerge/>
            <w:shd w:val="clear" w:color="auto" w:fill="auto"/>
          </w:tcPr>
          <w:p w14:paraId="0C1CE441" w14:textId="77777777" w:rsidR="00A411DA" w:rsidRPr="00615F62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B6D4012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393FBDB1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8 - weeks (PCS)</w:t>
            </w:r>
          </w:p>
        </w:tc>
        <w:tc>
          <w:tcPr>
            <w:tcW w:w="5103" w:type="dxa"/>
            <w:shd w:val="clear" w:color="auto" w:fill="auto"/>
          </w:tcPr>
          <w:p w14:paraId="5D5D1042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Mean 52.1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± DS 3.6</w:t>
            </w:r>
          </w:p>
        </w:tc>
      </w:tr>
      <w:tr w:rsidR="00A411DA" w:rsidRPr="001C50BD" w14:paraId="7DBD7B6E" w14:textId="77777777" w:rsidTr="0064757F">
        <w:tc>
          <w:tcPr>
            <w:tcW w:w="1560" w:type="dxa"/>
            <w:vMerge/>
            <w:shd w:val="clear" w:color="auto" w:fill="auto"/>
          </w:tcPr>
          <w:p w14:paraId="459D99C1" w14:textId="77777777" w:rsidR="00A411DA" w:rsidRPr="00615F62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A204C91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54262D24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Before surgery (MCS)</w:t>
            </w:r>
          </w:p>
        </w:tc>
        <w:tc>
          <w:tcPr>
            <w:tcW w:w="5103" w:type="dxa"/>
            <w:shd w:val="clear" w:color="auto" w:fill="auto"/>
          </w:tcPr>
          <w:p w14:paraId="579EAF72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Mean 48.6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± DS 4.6</w:t>
            </w:r>
          </w:p>
        </w:tc>
      </w:tr>
      <w:tr w:rsidR="00A411DA" w:rsidRPr="001C50BD" w14:paraId="4195CEE6" w14:textId="77777777" w:rsidTr="0064757F">
        <w:tc>
          <w:tcPr>
            <w:tcW w:w="1560" w:type="dxa"/>
            <w:vMerge/>
            <w:shd w:val="clear" w:color="auto" w:fill="auto"/>
          </w:tcPr>
          <w:p w14:paraId="6935350D" w14:textId="77777777" w:rsidR="00A411DA" w:rsidRPr="00615F62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9412AEF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1418EC4B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8 - weeks (MCS)</w:t>
            </w:r>
          </w:p>
        </w:tc>
        <w:tc>
          <w:tcPr>
            <w:tcW w:w="5103" w:type="dxa"/>
            <w:shd w:val="clear" w:color="auto" w:fill="auto"/>
          </w:tcPr>
          <w:p w14:paraId="1B2DA814" w14:textId="77777777" w:rsidR="00A411DA" w:rsidRPr="0054189E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54189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Mean 48.3 </w:t>
            </w:r>
            <w:r w:rsidRPr="0054189E">
              <w:rPr>
                <w:rFonts w:ascii="Arial" w:eastAsia="Arial" w:hAnsi="Arial" w:cs="Arial"/>
                <w:sz w:val="20"/>
                <w:szCs w:val="20"/>
                <w:lang w:val="en-US"/>
              </w:rPr>
              <w:t>± DS 5.1</w:t>
            </w:r>
          </w:p>
        </w:tc>
      </w:tr>
      <w:tr w:rsidR="00A411DA" w:rsidRPr="00BD5595" w14:paraId="67768413" w14:textId="77777777" w:rsidTr="0064757F">
        <w:tc>
          <w:tcPr>
            <w:tcW w:w="10915" w:type="dxa"/>
            <w:gridSpan w:val="4"/>
            <w:shd w:val="clear" w:color="auto" w:fill="auto"/>
          </w:tcPr>
          <w:p w14:paraId="2B2F19E9" w14:textId="77777777" w:rsidR="00A411DA" w:rsidRPr="006B4DF3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6B4DF3">
              <w:rPr>
                <w:rFonts w:ascii="Arial" w:eastAsia="Arial" w:hAnsi="Arial" w:cs="Arial"/>
                <w:sz w:val="18"/>
                <w:szCs w:val="18"/>
                <w:lang w:val="en-US"/>
              </w:rPr>
              <w:t>CI, Confidence interval; MCS,</w:t>
            </w:r>
            <w:r w:rsidRPr="006B4DF3">
              <w:rPr>
                <w:sz w:val="20"/>
                <w:szCs w:val="20"/>
                <w:lang w:val="en-US"/>
              </w:rPr>
              <w:t xml:space="preserve"> </w:t>
            </w:r>
            <w:r w:rsidRPr="006B4DF3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mental component summary; MD, mean difference; PCS, </w:t>
            </w:r>
            <w:r w:rsidRPr="006B4DF3">
              <w:rPr>
                <w:sz w:val="20"/>
                <w:szCs w:val="20"/>
                <w:lang w:val="en-US"/>
              </w:rPr>
              <w:t xml:space="preserve">physical component summary; </w:t>
            </w:r>
            <w:r w:rsidRPr="006B4DF3">
              <w:rPr>
                <w:rFonts w:ascii="Arial" w:eastAsia="Arial" w:hAnsi="Arial" w:cs="Arial"/>
                <w:sz w:val="18"/>
                <w:szCs w:val="18"/>
                <w:lang w:val="en-US"/>
              </w:rPr>
              <w:t>SE, Standard error; SD, standard deviation</w:t>
            </w:r>
          </w:p>
          <w:p w14:paraId="4901B6A4" w14:textId="77777777" w:rsidR="00A411DA" w:rsidRPr="006B4DF3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6B4DF3">
              <w:rPr>
                <w:rFonts w:ascii="Arial" w:eastAsia="Arial" w:hAnsi="Arial" w:cs="Arial"/>
                <w:sz w:val="18"/>
                <w:szCs w:val="18"/>
                <w:lang w:val="en-US"/>
              </w:rPr>
              <w:t>* Difference between groups</w:t>
            </w:r>
          </w:p>
          <w:p w14:paraId="61C897DA" w14:textId="77777777" w:rsidR="00A411DA" w:rsidRPr="007840C2" w:rsidRDefault="00A411DA" w:rsidP="0064757F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4DF3">
              <w:rPr>
                <w:rFonts w:ascii="Arial" w:eastAsia="Arial" w:hAnsi="Arial" w:cs="Arial"/>
                <w:b/>
                <w:i/>
                <w:sz w:val="18"/>
                <w:szCs w:val="18"/>
                <w:lang w:val="en-US"/>
              </w:rPr>
              <w:t xml:space="preserve">** </w:t>
            </w:r>
            <w:r w:rsidRPr="002A706E">
              <w:rPr>
                <w:rFonts w:ascii="Arial" w:eastAsia="Arial" w:hAnsi="Arial" w:cs="Arial"/>
                <w:bCs/>
                <w:iCs/>
                <w:sz w:val="18"/>
                <w:szCs w:val="18"/>
                <w:lang w:val="en-US"/>
              </w:rPr>
              <w:t>Pre-post within group differences</w:t>
            </w:r>
          </w:p>
        </w:tc>
      </w:tr>
    </w:tbl>
    <w:p w14:paraId="48B5ACBC" w14:textId="77777777" w:rsidR="00A411DA" w:rsidRPr="00C36C8A" w:rsidRDefault="00A411DA" w:rsidP="00A411DA">
      <w:pPr>
        <w:spacing w:after="0" w:line="360" w:lineRule="auto"/>
        <w:rPr>
          <w:rFonts w:asciiTheme="minorBidi" w:hAnsiTheme="minorBidi"/>
          <w:b/>
          <w:sz w:val="24"/>
          <w:szCs w:val="24"/>
          <w:lang w:val="en-US"/>
        </w:rPr>
      </w:pPr>
    </w:p>
    <w:p w14:paraId="7CB08E59" w14:textId="77777777" w:rsidR="002F6B26" w:rsidRPr="00A411DA" w:rsidRDefault="002F6B26">
      <w:pPr>
        <w:rPr>
          <w:lang w:val="en-US"/>
        </w:rPr>
      </w:pPr>
    </w:p>
    <w:sectPr w:rsidR="002F6B26" w:rsidRPr="00A41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DA"/>
    <w:rsid w:val="002377F7"/>
    <w:rsid w:val="002F6B26"/>
    <w:rsid w:val="00541B04"/>
    <w:rsid w:val="009974EC"/>
    <w:rsid w:val="00A4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60FB"/>
  <w15:chartTrackingRefBased/>
  <w15:docId w15:val="{F48A845A-0A51-442D-9A20-14CAA23E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1DA"/>
    <w:pPr>
      <w:spacing w:after="200" w:line="276" w:lineRule="auto"/>
    </w:pPr>
    <w:rPr>
      <w:lang w:val="es-EC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411DA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 Echavez, Jose Francisco</dc:creator>
  <cp:keywords/>
  <dc:description/>
  <cp:lastModifiedBy>Meneses Echavez, Jose Francisco</cp:lastModifiedBy>
  <cp:revision>1</cp:revision>
  <dcterms:created xsi:type="dcterms:W3CDTF">2021-06-30T16:01:00Z</dcterms:created>
  <dcterms:modified xsi:type="dcterms:W3CDTF">2021-06-30T16:01:00Z</dcterms:modified>
</cp:coreProperties>
</file>