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5C769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0F2BEF">
        <w:rPr>
          <w:rFonts w:asciiTheme="majorBidi" w:hAnsiTheme="majorBidi" w:cstheme="majorBidi"/>
          <w:b/>
          <w:bCs/>
          <w:i/>
          <w:iCs/>
          <w:sz w:val="20"/>
          <w:szCs w:val="20"/>
        </w:rPr>
        <w:t>Table (1):</w:t>
      </w:r>
      <w:r w:rsidRPr="000F2BEF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0F2BEF">
        <w:rPr>
          <w:rFonts w:asciiTheme="majorBidi" w:hAnsiTheme="majorBidi" w:cstheme="majorBidi"/>
          <w:i/>
          <w:iCs/>
          <w:sz w:val="20"/>
          <w:szCs w:val="20"/>
        </w:rPr>
        <w:t>The mean, standard deviation (SD) values of the percentage of dead bacterial cells among the different final irrigation protocol group</w:t>
      </w:r>
    </w:p>
    <w:p w14:paraId="555FDA9D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0F2BEF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03B1EDC8" wp14:editId="5BFBBCBD">
            <wp:extent cx="4867275" cy="1790700"/>
            <wp:effectExtent l="0" t="0" r="9525" b="0"/>
            <wp:docPr id="695139918" name="Picture 12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table with numbers and symbo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2A036" w14:textId="77777777" w:rsidR="00D92E66" w:rsidRDefault="00D92E66" w:rsidP="00D92E66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0F2BEF">
        <w:rPr>
          <w:rFonts w:asciiTheme="majorBidi" w:hAnsiTheme="majorBidi" w:cstheme="majorBidi"/>
          <w:sz w:val="20"/>
          <w:szCs w:val="20"/>
        </w:rPr>
        <w:t>Superscripts with different capital letters indicate statistically significance difference within the same column. Superscripts with different small letters indicate statistically significance difference within the same raw. - *; significant (p≤0.05) ns; non-significant (p&gt;0.05)</w:t>
      </w:r>
    </w:p>
    <w:p w14:paraId="51D91607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102EDF4A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bookmarkStart w:id="0" w:name="_Hlk191848007"/>
      <w:r w:rsidRPr="000F2BEF">
        <w:rPr>
          <w:rFonts w:asciiTheme="majorBidi" w:hAnsiTheme="majorBidi" w:cstheme="majorBidi"/>
          <w:b/>
          <w:bCs/>
          <w:i/>
          <w:iCs/>
          <w:sz w:val="20"/>
          <w:szCs w:val="20"/>
        </w:rPr>
        <w:t>Table (2):</w:t>
      </w:r>
      <w:r w:rsidRPr="000F2BEF">
        <w:rPr>
          <w:rFonts w:asciiTheme="majorBidi" w:hAnsiTheme="majorBidi" w:cstheme="majorBidi"/>
          <w:i/>
          <w:iCs/>
          <w:sz w:val="20"/>
          <w:szCs w:val="20"/>
        </w:rPr>
        <w:t xml:space="preserve"> The mean, standard deviation (SD) values of the percentage of dead bacterial cells of Group I (IO-NP + 3% H</w:t>
      </w:r>
      <w:r w:rsidRPr="000F2BEF">
        <w:rPr>
          <w:rFonts w:asciiTheme="majorBidi" w:hAnsiTheme="majorBidi" w:cstheme="majorBidi"/>
          <w:i/>
          <w:iCs/>
          <w:sz w:val="20"/>
          <w:szCs w:val="20"/>
          <w:vertAlign w:val="subscript"/>
        </w:rPr>
        <w:t>2</w:t>
      </w:r>
      <w:r w:rsidRPr="000F2BEF">
        <w:rPr>
          <w:rFonts w:asciiTheme="majorBidi" w:hAnsiTheme="majorBidi" w:cstheme="majorBidi"/>
          <w:i/>
          <w:iCs/>
          <w:sz w:val="20"/>
          <w:szCs w:val="20"/>
        </w:rPr>
        <w:t>O</w:t>
      </w:r>
      <w:r w:rsidRPr="000F2BEF">
        <w:rPr>
          <w:rFonts w:asciiTheme="majorBidi" w:hAnsiTheme="majorBidi" w:cstheme="majorBidi"/>
          <w:i/>
          <w:iCs/>
          <w:sz w:val="20"/>
          <w:szCs w:val="20"/>
          <w:vertAlign w:val="subscript"/>
        </w:rPr>
        <w:t>2</w:t>
      </w:r>
      <w:r w:rsidRPr="000F2BEF">
        <w:rPr>
          <w:rFonts w:asciiTheme="majorBidi" w:hAnsiTheme="majorBidi" w:cstheme="majorBidi"/>
          <w:i/>
          <w:iCs/>
          <w:sz w:val="20"/>
          <w:szCs w:val="20"/>
        </w:rPr>
        <w:t>) in the middle and the apical thirds at different depths</w:t>
      </w:r>
    </w:p>
    <w:bookmarkEnd w:id="0"/>
    <w:p w14:paraId="7138DE11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0F2BEF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63848982" wp14:editId="6E9C1AD0">
            <wp:extent cx="5410200" cy="2724150"/>
            <wp:effectExtent l="0" t="0" r="0" b="0"/>
            <wp:docPr id="1633058996" name="Picture 11" descr="A table with numbers and symbo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A table with numbers and symbol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C1741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0F2BEF">
        <w:rPr>
          <w:rFonts w:asciiTheme="majorBidi" w:hAnsiTheme="majorBidi" w:cstheme="majorBidi"/>
          <w:sz w:val="20"/>
          <w:szCs w:val="20"/>
        </w:rPr>
        <w:t>Superscripts with different capital letters indicate statistically significance difference within the same column. Superscripts with different small letters indicate statistically significance difference within the same raw. - *; significant (p≤0.05) ns; non-significant (p&gt;0.05)</w:t>
      </w:r>
    </w:p>
    <w:p w14:paraId="3E04F3CD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  <w:bookmarkStart w:id="1" w:name="_Hlk191848018"/>
    </w:p>
    <w:p w14:paraId="5F09DB7C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14:paraId="1835FFFD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14:paraId="6AAA3B83" w14:textId="77777777" w:rsidR="00D92E66" w:rsidRDefault="00D92E66" w:rsidP="00D92E66">
      <w:pPr>
        <w:spacing w:line="276" w:lineRule="auto"/>
        <w:jc w:val="both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14:paraId="1FBA100C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14:paraId="40064EB6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r w:rsidRPr="000F2BEF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Table (3): </w:t>
      </w:r>
      <w:r w:rsidRPr="000F2BEF">
        <w:rPr>
          <w:rFonts w:asciiTheme="majorBidi" w:hAnsiTheme="majorBidi" w:cstheme="majorBidi"/>
          <w:i/>
          <w:iCs/>
          <w:sz w:val="20"/>
          <w:szCs w:val="20"/>
        </w:rPr>
        <w:t>The mean, standard deviation (SD) values of the dead bacterial cells of group II (IO-NP) in the middle and the apical thirds</w:t>
      </w:r>
    </w:p>
    <w:bookmarkEnd w:id="1"/>
    <w:p w14:paraId="4D06785A" w14:textId="77777777" w:rsidR="00D92E66" w:rsidRDefault="00D92E66" w:rsidP="00D92E66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0F2BEF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75BD8E8D" wp14:editId="0412B422">
            <wp:extent cx="5410200" cy="2657475"/>
            <wp:effectExtent l="0" t="0" r="0" b="9525"/>
            <wp:docPr id="2053080609" name="Picture 10" descr="A pink table with numb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A pink table with numbers and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4058A" w14:textId="77777777" w:rsidR="00D92E66" w:rsidRDefault="00D92E66" w:rsidP="00D92E66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0F2BEF">
        <w:rPr>
          <w:rFonts w:asciiTheme="majorBidi" w:hAnsiTheme="majorBidi" w:cstheme="majorBidi"/>
          <w:sz w:val="20"/>
          <w:szCs w:val="20"/>
        </w:rPr>
        <w:t>Superscripts with different capital letters indicate statistically significance difference within the same column. Superscripts with different small letters indicate statistically significance difference within the same raw. - *; significant (p≤0.05) ns; non-significant (p&gt;0.05)</w:t>
      </w:r>
    </w:p>
    <w:p w14:paraId="289547BD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01EDF7E1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bookmarkStart w:id="2" w:name="_Hlk191848029"/>
      <w:r w:rsidRPr="000F2BEF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Table (4): </w:t>
      </w:r>
      <w:r w:rsidRPr="000F2BEF">
        <w:rPr>
          <w:rFonts w:asciiTheme="majorBidi" w:hAnsiTheme="majorBidi" w:cstheme="majorBidi"/>
          <w:i/>
          <w:iCs/>
          <w:sz w:val="20"/>
          <w:szCs w:val="20"/>
        </w:rPr>
        <w:t>The mean, standard deviation (SD) values of the percentage of dead bacterial cells of group III (3% H</w:t>
      </w:r>
      <w:r w:rsidRPr="000F2BEF">
        <w:rPr>
          <w:rFonts w:asciiTheme="majorBidi" w:hAnsiTheme="majorBidi" w:cstheme="majorBidi"/>
          <w:i/>
          <w:iCs/>
          <w:sz w:val="20"/>
          <w:szCs w:val="20"/>
          <w:vertAlign w:val="subscript"/>
        </w:rPr>
        <w:t>2</w:t>
      </w:r>
      <w:r w:rsidRPr="000F2BEF">
        <w:rPr>
          <w:rFonts w:asciiTheme="majorBidi" w:hAnsiTheme="majorBidi" w:cstheme="majorBidi"/>
          <w:i/>
          <w:iCs/>
          <w:sz w:val="20"/>
          <w:szCs w:val="20"/>
        </w:rPr>
        <w:t>O</w:t>
      </w:r>
      <w:r w:rsidRPr="000F2BEF">
        <w:rPr>
          <w:rFonts w:asciiTheme="majorBidi" w:hAnsiTheme="majorBidi" w:cstheme="majorBidi"/>
          <w:i/>
          <w:iCs/>
          <w:sz w:val="20"/>
          <w:szCs w:val="20"/>
          <w:vertAlign w:val="subscript"/>
        </w:rPr>
        <w:t>2</w:t>
      </w:r>
      <w:r w:rsidRPr="000F2BEF">
        <w:rPr>
          <w:rFonts w:asciiTheme="majorBidi" w:hAnsiTheme="majorBidi" w:cstheme="majorBidi"/>
          <w:i/>
          <w:iCs/>
          <w:sz w:val="20"/>
          <w:szCs w:val="20"/>
        </w:rPr>
        <w:t>) in the middle and the apical thirds</w:t>
      </w:r>
    </w:p>
    <w:bookmarkEnd w:id="2"/>
    <w:p w14:paraId="214B1A87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0F2BEF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5C952809" wp14:editId="612DB723">
            <wp:extent cx="5314950" cy="2695575"/>
            <wp:effectExtent l="0" t="0" r="0" b="9525"/>
            <wp:docPr id="868265560" name="Picture 9" descr="A table with numbers and a number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A table with numbers and a number of cel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571D4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bookmarkStart w:id="3" w:name="_Hlk191848043"/>
      <w:r w:rsidRPr="000F2BEF">
        <w:rPr>
          <w:rFonts w:asciiTheme="majorBidi" w:hAnsiTheme="majorBidi" w:cstheme="majorBidi"/>
          <w:sz w:val="20"/>
          <w:szCs w:val="20"/>
        </w:rPr>
        <w:t>Superscripts with different capital letters indicate statistically significance difference within the same column. Superscripts with different small letters indicate statistically significance difference within the same raw. - *; significant (p≤0.05) ns; non-significant (p&gt;0.05)</w:t>
      </w:r>
    </w:p>
    <w:p w14:paraId="582CB91E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14:paraId="46C68B57" w14:textId="77777777" w:rsidR="00D92E66" w:rsidRDefault="00D92E66" w:rsidP="00D92E66">
      <w:pPr>
        <w:spacing w:line="276" w:lineRule="auto"/>
        <w:rPr>
          <w:rFonts w:asciiTheme="majorBidi" w:hAnsiTheme="majorBidi" w:cstheme="majorBidi"/>
          <w:i/>
          <w:iCs/>
          <w:sz w:val="20"/>
          <w:szCs w:val="20"/>
        </w:rPr>
      </w:pPr>
      <w:r w:rsidRPr="000F2BEF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Table (5): </w:t>
      </w:r>
      <w:r w:rsidRPr="000F2BEF">
        <w:rPr>
          <w:rFonts w:asciiTheme="majorBidi" w:hAnsiTheme="majorBidi" w:cstheme="majorBidi"/>
          <w:i/>
          <w:iCs/>
          <w:sz w:val="20"/>
          <w:szCs w:val="20"/>
        </w:rPr>
        <w:t>The mean, standard deviation (SD) values of the percentage of dead bacterial cells of group IV (QMix) in the middle and the apical thirds</w:t>
      </w:r>
      <w:bookmarkEnd w:id="3"/>
      <w:r w:rsidRPr="000F2BEF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31D799B3" wp14:editId="373035A7">
            <wp:extent cx="5295900" cy="2581275"/>
            <wp:effectExtent l="0" t="0" r="0" b="9525"/>
            <wp:docPr id="1069260602" name="Picture 8" descr="A table with numb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 table with numbers and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C6178" w14:textId="77777777" w:rsidR="00D92E66" w:rsidRDefault="00D92E66" w:rsidP="00D92E66">
      <w:pPr>
        <w:spacing w:line="276" w:lineRule="auto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r w:rsidRPr="000F2BEF">
        <w:rPr>
          <w:rFonts w:asciiTheme="majorBidi" w:hAnsiTheme="majorBidi" w:cstheme="majorBidi"/>
          <w:sz w:val="20"/>
          <w:szCs w:val="20"/>
        </w:rPr>
        <w:t>Superscripts with different capital letters indicate statistically significance difference within the same column. Superscripts with different small letters indicate statistically significance difference within the same raw. - *; significant (p≤0.05) ns; non-significant (p&gt;0.05</w:t>
      </w:r>
      <w:r w:rsidRPr="000F2BEF">
        <w:rPr>
          <w:rFonts w:asciiTheme="majorBidi" w:hAnsiTheme="majorBidi" w:cstheme="majorBidi"/>
          <w:i/>
          <w:iCs/>
          <w:sz w:val="20"/>
          <w:szCs w:val="20"/>
        </w:rPr>
        <w:t>)</w:t>
      </w:r>
    </w:p>
    <w:p w14:paraId="269422C5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i/>
          <w:iCs/>
          <w:sz w:val="20"/>
          <w:szCs w:val="20"/>
        </w:rPr>
      </w:pPr>
    </w:p>
    <w:p w14:paraId="1C06A1CE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bookmarkStart w:id="4" w:name="_Hlk191848055"/>
      <w:r w:rsidRPr="000F2BEF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Table (6): </w:t>
      </w:r>
      <w:r w:rsidRPr="000F2BEF">
        <w:rPr>
          <w:rFonts w:asciiTheme="majorBidi" w:hAnsiTheme="majorBidi" w:cstheme="majorBidi"/>
          <w:i/>
          <w:iCs/>
          <w:sz w:val="20"/>
          <w:szCs w:val="20"/>
        </w:rPr>
        <w:t>The mean, standard deviation (SD) values of the percentage of dead bacterial cells of group V (2.5% NaOCl) in the middle and the apical thirds</w:t>
      </w:r>
    </w:p>
    <w:bookmarkEnd w:id="4"/>
    <w:p w14:paraId="457A2531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0F2BEF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4F872866" wp14:editId="0F25BE01">
            <wp:extent cx="5248275" cy="2619375"/>
            <wp:effectExtent l="0" t="0" r="9525" b="9525"/>
            <wp:docPr id="2073081560" name="Picture 7" descr="A table with numb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table with numbers and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19BF8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0F2BEF">
        <w:rPr>
          <w:rFonts w:asciiTheme="majorBidi" w:hAnsiTheme="majorBidi" w:cstheme="majorBidi"/>
          <w:sz w:val="20"/>
          <w:szCs w:val="20"/>
        </w:rPr>
        <w:t>Superscripts with different capital letters indicate statistically significance difference within the same column. Superscripts with different small letters indicate statistically significance difference within the same raw. - *; significant (p≤0.05) ns; non-significant (p&gt;0.05)</w:t>
      </w:r>
    </w:p>
    <w:p w14:paraId="44F96AC3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  <w:bookmarkStart w:id="5" w:name="_Hlk191848064"/>
    </w:p>
    <w:p w14:paraId="2F818372" w14:textId="77777777" w:rsidR="00D92E66" w:rsidRPr="000F2BEF" w:rsidRDefault="00D92E66" w:rsidP="00D92E66">
      <w:pPr>
        <w:spacing w:line="276" w:lineRule="auto"/>
        <w:jc w:val="both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bookmarkEnd w:id="5"/>
    <w:p w14:paraId="169C86A1" w14:textId="77777777" w:rsidR="00D92E66" w:rsidRPr="000F2BEF" w:rsidRDefault="00D92E66" w:rsidP="00D92E66">
      <w:pPr>
        <w:widowControl w:val="0"/>
        <w:suppressAutoHyphens/>
        <w:overflowPunct w:val="0"/>
        <w:autoSpaceDE w:val="0"/>
        <w:autoSpaceDN w:val="0"/>
        <w:adjustRightInd w:val="0"/>
        <w:spacing w:after="0" w:line="360" w:lineRule="auto"/>
        <w:ind w:left="142" w:right="480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0F2BEF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 xml:space="preserve">Table (7): </w:t>
      </w:r>
      <w:r w:rsidRPr="000F2BEF">
        <w:rPr>
          <w:rFonts w:ascii="Times New Roman" w:eastAsia="Calibri" w:hAnsi="Times New Roman" w:cs="Times New Roman"/>
          <w:i/>
          <w:iCs/>
          <w:sz w:val="20"/>
          <w:szCs w:val="20"/>
        </w:rPr>
        <w:t>The mean, standard deviation (SD) values of the percentage of dead bacterial cells of different irrigation groups in middle and apical third at different depths</w:t>
      </w:r>
    </w:p>
    <w:tbl>
      <w:tblPr>
        <w:tblStyle w:val="GridTable5Dark-Accent211"/>
        <w:tblW w:w="11670" w:type="dxa"/>
        <w:tblInd w:w="-1164" w:type="dxa"/>
        <w:tblLayout w:type="fixed"/>
        <w:tblLook w:val="04A0" w:firstRow="1" w:lastRow="0" w:firstColumn="1" w:lastColumn="0" w:noHBand="0" w:noVBand="1"/>
      </w:tblPr>
      <w:tblGrid>
        <w:gridCol w:w="710"/>
        <w:gridCol w:w="540"/>
        <w:gridCol w:w="450"/>
        <w:gridCol w:w="540"/>
        <w:gridCol w:w="450"/>
        <w:gridCol w:w="540"/>
        <w:gridCol w:w="450"/>
        <w:gridCol w:w="540"/>
        <w:gridCol w:w="540"/>
        <w:gridCol w:w="540"/>
        <w:gridCol w:w="450"/>
        <w:gridCol w:w="540"/>
        <w:gridCol w:w="540"/>
        <w:gridCol w:w="540"/>
        <w:gridCol w:w="540"/>
        <w:gridCol w:w="630"/>
        <w:gridCol w:w="450"/>
        <w:gridCol w:w="540"/>
        <w:gridCol w:w="450"/>
        <w:gridCol w:w="540"/>
        <w:gridCol w:w="450"/>
        <w:gridCol w:w="700"/>
      </w:tblGrid>
      <w:tr w:rsidR="00D92E66" w:rsidRPr="000F2BEF" w14:paraId="3D2B884B" w14:textId="77777777" w:rsidTr="008D11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  <w:vMerge w:val="restart"/>
            <w:tcBorders>
              <w:bottom w:val="single" w:sz="4" w:space="0" w:color="FFFFFF" w:themeColor="background1"/>
            </w:tcBorders>
            <w:hideMark/>
          </w:tcPr>
          <w:p w14:paraId="0DE59CA4" w14:textId="77777777" w:rsidR="00D92E66" w:rsidRPr="000F2BEF" w:rsidRDefault="00D92E66" w:rsidP="008D1171">
            <w:pPr>
              <w:spacing w:line="240" w:lineRule="auto"/>
              <w:jc w:val="center"/>
              <w:rPr>
                <w:rFonts w:ascii="Arial" w:eastAsia="Times New Roman" w:hAnsi="Arial"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80" w:type="dxa"/>
            <w:gridSpan w:val="4"/>
            <w:tcBorders>
              <w:bottom w:val="single" w:sz="4" w:space="0" w:color="FFFFFF" w:themeColor="background1"/>
            </w:tcBorders>
            <w:hideMark/>
          </w:tcPr>
          <w:p w14:paraId="3CB7045D" w14:textId="77777777" w:rsidR="00D92E66" w:rsidRPr="000F2BEF" w:rsidRDefault="00D92E66" w:rsidP="008D117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color w:val="000000"/>
                <w:sz w:val="14"/>
                <w:szCs w:val="14"/>
              </w:rPr>
              <w:t>Fe3O4+H2O2</w:t>
            </w:r>
          </w:p>
        </w:tc>
        <w:tc>
          <w:tcPr>
            <w:tcW w:w="2070" w:type="dxa"/>
            <w:gridSpan w:val="4"/>
            <w:tcBorders>
              <w:bottom w:val="single" w:sz="4" w:space="0" w:color="FFFFFF" w:themeColor="background1"/>
            </w:tcBorders>
            <w:hideMark/>
          </w:tcPr>
          <w:p w14:paraId="542F33E2" w14:textId="77777777" w:rsidR="00D92E66" w:rsidRPr="000F2BEF" w:rsidRDefault="00D92E66" w:rsidP="008D117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color w:val="000000"/>
                <w:sz w:val="14"/>
                <w:szCs w:val="14"/>
              </w:rPr>
              <w:t>Q Mix</w:t>
            </w:r>
          </w:p>
        </w:tc>
        <w:tc>
          <w:tcPr>
            <w:tcW w:w="2070" w:type="dxa"/>
            <w:gridSpan w:val="4"/>
            <w:tcBorders>
              <w:bottom w:val="single" w:sz="4" w:space="0" w:color="FFFFFF" w:themeColor="background1"/>
            </w:tcBorders>
            <w:hideMark/>
          </w:tcPr>
          <w:p w14:paraId="31E6459C" w14:textId="77777777" w:rsidR="00D92E66" w:rsidRPr="000F2BEF" w:rsidRDefault="00D92E66" w:rsidP="008D117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color w:val="000000"/>
                <w:sz w:val="14"/>
                <w:szCs w:val="14"/>
              </w:rPr>
              <w:t>NaOCl</w:t>
            </w:r>
          </w:p>
        </w:tc>
        <w:tc>
          <w:tcPr>
            <w:tcW w:w="2160" w:type="dxa"/>
            <w:gridSpan w:val="4"/>
            <w:tcBorders>
              <w:bottom w:val="single" w:sz="4" w:space="0" w:color="FFFFFF" w:themeColor="background1"/>
            </w:tcBorders>
            <w:hideMark/>
          </w:tcPr>
          <w:p w14:paraId="6A0949B6" w14:textId="77777777" w:rsidR="00D92E66" w:rsidRPr="000F2BEF" w:rsidRDefault="00D92E66" w:rsidP="008D117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color w:val="000000"/>
                <w:sz w:val="14"/>
                <w:szCs w:val="14"/>
              </w:rPr>
              <w:t>Fe3O4 NP</w:t>
            </w:r>
          </w:p>
        </w:tc>
        <w:tc>
          <w:tcPr>
            <w:tcW w:w="1980" w:type="dxa"/>
            <w:gridSpan w:val="4"/>
            <w:tcBorders>
              <w:bottom w:val="single" w:sz="4" w:space="0" w:color="FFFFFF" w:themeColor="background1"/>
            </w:tcBorders>
            <w:hideMark/>
          </w:tcPr>
          <w:p w14:paraId="015DB55F" w14:textId="77777777" w:rsidR="00D92E66" w:rsidRPr="000F2BEF" w:rsidRDefault="00D92E66" w:rsidP="008D117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color w:val="000000"/>
                <w:sz w:val="14"/>
                <w:szCs w:val="14"/>
              </w:rPr>
              <w:t>H2O2</w:t>
            </w:r>
          </w:p>
        </w:tc>
        <w:tc>
          <w:tcPr>
            <w:tcW w:w="700" w:type="dxa"/>
            <w:vMerge w:val="restart"/>
            <w:tcBorders>
              <w:bottom w:val="single" w:sz="4" w:space="0" w:color="FFFFFF" w:themeColor="background1"/>
            </w:tcBorders>
            <w:noWrap/>
            <w:hideMark/>
          </w:tcPr>
          <w:p w14:paraId="0303A05C" w14:textId="77777777" w:rsidR="00D92E66" w:rsidRPr="000F2BEF" w:rsidRDefault="00D92E66" w:rsidP="008D117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color w:val="000000"/>
                <w:sz w:val="18"/>
                <w:szCs w:val="18"/>
              </w:rPr>
              <w:t>p-value</w:t>
            </w:r>
          </w:p>
        </w:tc>
      </w:tr>
      <w:tr w:rsidR="00D92E66" w:rsidRPr="000F2BEF" w14:paraId="1339DFDB" w14:textId="77777777" w:rsidTr="008D1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  <w:vMerge/>
            <w:tcBorders>
              <w:top w:val="single" w:sz="4" w:space="0" w:color="FFFFFF" w:themeColor="background1"/>
              <w:bottom w:val="single" w:sz="4" w:space="0" w:color="FFFFFF" w:themeColor="background1"/>
              <w:right w:val="nil"/>
            </w:tcBorders>
            <w:vAlign w:val="center"/>
            <w:hideMark/>
          </w:tcPr>
          <w:p w14:paraId="4A18844A" w14:textId="77777777" w:rsidR="00D92E66" w:rsidRPr="000F2BEF" w:rsidRDefault="00D92E66" w:rsidP="008D1171">
            <w:pPr>
              <w:spacing w:line="240" w:lineRule="auto"/>
              <w:rPr>
                <w:rFonts w:ascii="Arial" w:eastAsia="Times New Roman" w:hAnsi="Arial"/>
                <w:color w:val="000000"/>
                <w:sz w:val="14"/>
                <w:szCs w:val="14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997F0B6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Middle third</w:t>
            </w:r>
          </w:p>
        </w:tc>
        <w:tc>
          <w:tcPr>
            <w:tcW w:w="9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4FA4A30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Apical third</w:t>
            </w:r>
          </w:p>
        </w:tc>
        <w:tc>
          <w:tcPr>
            <w:tcW w:w="9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0FCE5A2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Middle third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1025BA9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Apical third</w:t>
            </w:r>
          </w:p>
        </w:tc>
        <w:tc>
          <w:tcPr>
            <w:tcW w:w="9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28313C6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Middle third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99A614F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Apical third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293C706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Middle third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A471B48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Apical third</w:t>
            </w:r>
          </w:p>
        </w:tc>
        <w:tc>
          <w:tcPr>
            <w:tcW w:w="9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4EE546C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Middle third</w:t>
            </w:r>
          </w:p>
        </w:tc>
        <w:tc>
          <w:tcPr>
            <w:tcW w:w="9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629A713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Apical third</w:t>
            </w:r>
          </w:p>
        </w:tc>
        <w:tc>
          <w:tcPr>
            <w:tcW w:w="700" w:type="dxa"/>
            <w:vMerge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26FB56B3" w14:textId="77777777" w:rsidR="00D92E66" w:rsidRPr="000F2BEF" w:rsidRDefault="00D92E66" w:rsidP="008D117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D92E66" w:rsidRPr="000F2BEF" w14:paraId="294074F0" w14:textId="77777777" w:rsidTr="008D1171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E4D8B55" w14:textId="77777777" w:rsidR="00D92E66" w:rsidRPr="000F2BEF" w:rsidRDefault="00D92E66" w:rsidP="008D1171">
            <w:pPr>
              <w:spacing w:line="240" w:lineRule="auto"/>
              <w:jc w:val="center"/>
              <w:rPr>
                <w:rFonts w:ascii="Arial" w:eastAsia="Times New Roman" w:hAnsi="Arial"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color w:val="000000"/>
                <w:sz w:val="14"/>
                <w:szCs w:val="14"/>
              </w:rPr>
              <w:t>Depth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FE70D40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M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0DF43422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SD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C80B4C5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M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0A3E127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SD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A016B1C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M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376F820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SD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619AD20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M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213AC18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SD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7BDFE24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M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ECB9AB9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SD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3FB7769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M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120C691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SD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16E9733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M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5AAB3001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SD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45D8435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M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2A5CA08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SD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6D447A95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M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771F929F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SD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1148DE91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M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38F1D72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  <w:t>SD</w:t>
            </w:r>
          </w:p>
        </w:tc>
        <w:tc>
          <w:tcPr>
            <w:tcW w:w="700" w:type="dxa"/>
            <w:vMerge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14695DCE" w14:textId="77777777" w:rsidR="00D92E66" w:rsidRPr="000F2BEF" w:rsidRDefault="00D92E66" w:rsidP="008D117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D92E66" w:rsidRPr="000F2BEF" w14:paraId="125DD67C" w14:textId="77777777" w:rsidTr="008D1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8D2F182" w14:textId="77777777" w:rsidR="00D92E66" w:rsidRPr="000F2BEF" w:rsidRDefault="00D92E66" w:rsidP="008D1171">
            <w:pPr>
              <w:spacing w:line="240" w:lineRule="auto"/>
              <w:jc w:val="center"/>
              <w:rPr>
                <w:rFonts w:eastAsia="Times New Roman" w:cs="Calibri"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color w:val="000000"/>
                <w:sz w:val="14"/>
                <w:szCs w:val="14"/>
              </w:rPr>
              <w:t>50µm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F87C54B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71.62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6A8A982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1.95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F7BC336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61.41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9FCA011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3.84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B95A7E3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58.88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7565EAB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5.17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77AB099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52.91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8D59555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7.72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4CE96C0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54.85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47A186C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6.91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B07A473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46.33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F3CB8F9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6.14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7912990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44.35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6F42B96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11.56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0391520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39.50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8EC3B39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8.74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9A8E84D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37.98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FE4AFB5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5.35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3359583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32.18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9B585A7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5.60</w:t>
            </w:r>
          </w:p>
        </w:tc>
        <w:tc>
          <w:tcPr>
            <w:tcW w:w="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3D520F3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color w:val="000000"/>
                <w:sz w:val="14"/>
                <w:szCs w:val="14"/>
              </w:rPr>
              <w:t>≤0.001*</w:t>
            </w:r>
          </w:p>
        </w:tc>
      </w:tr>
      <w:tr w:rsidR="00D92E66" w:rsidRPr="000F2BEF" w14:paraId="38A69FD7" w14:textId="77777777" w:rsidTr="008D1171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4F9FC1C" w14:textId="77777777" w:rsidR="00D92E66" w:rsidRPr="000F2BEF" w:rsidRDefault="00D92E66" w:rsidP="008D1171">
            <w:pPr>
              <w:spacing w:line="240" w:lineRule="auto"/>
              <w:jc w:val="center"/>
              <w:rPr>
                <w:rFonts w:eastAsia="Times New Roman" w:cs="Calibri"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color w:val="000000"/>
                <w:sz w:val="14"/>
                <w:szCs w:val="14"/>
              </w:rPr>
              <w:t>100µm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5498653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70.42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0B31B49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1.69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22A8030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60.47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3845B8D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3.66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7B8E6D9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58.41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B7CD644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5.30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F34DAD3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50.70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9BBAE9E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8.38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0268E56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54.15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22F2FCA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6.65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7493B37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45.41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F71853F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6.04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1119AAE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43.61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B67C20E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11.45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68C5972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38.88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1503365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8.24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CD08063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36.74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5DA0F83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5.34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991DB40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31.65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B94E4BE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5.57</w:t>
            </w:r>
          </w:p>
        </w:tc>
        <w:tc>
          <w:tcPr>
            <w:tcW w:w="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A18133B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color w:val="000000"/>
                <w:sz w:val="14"/>
                <w:szCs w:val="14"/>
              </w:rPr>
              <w:t>≤0.001*</w:t>
            </w:r>
          </w:p>
        </w:tc>
      </w:tr>
      <w:tr w:rsidR="00D92E66" w:rsidRPr="000F2BEF" w14:paraId="317D9B96" w14:textId="77777777" w:rsidTr="008D1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B4EDA0A" w14:textId="77777777" w:rsidR="00D92E66" w:rsidRPr="000F2BEF" w:rsidRDefault="00D92E66" w:rsidP="008D1171">
            <w:pPr>
              <w:spacing w:line="240" w:lineRule="auto"/>
              <w:jc w:val="center"/>
              <w:rPr>
                <w:rFonts w:eastAsia="Times New Roman" w:cs="Calibri"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color w:val="000000"/>
                <w:sz w:val="14"/>
                <w:szCs w:val="14"/>
              </w:rPr>
              <w:t>150µm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B0F90CB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69.59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F328999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1.96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0D581DB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59.44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9E38F24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3.46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9F73717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57.84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C092D1E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4.93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714C7D8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50.15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3436B55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8.16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C7968C2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53.68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8B49BE4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6.91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3CD4342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44.89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49A151D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6.14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628E715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43.20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A35D988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11.42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EE72C7E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38.09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5A2C1CD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8.05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FF1C21F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36.31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8B0E145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5.24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4BF153E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31.14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19ECB0F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5.35</w:t>
            </w:r>
          </w:p>
        </w:tc>
        <w:tc>
          <w:tcPr>
            <w:tcW w:w="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3E0C8A2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color w:val="000000"/>
                <w:sz w:val="14"/>
                <w:szCs w:val="14"/>
              </w:rPr>
              <w:t>≤0.001*</w:t>
            </w:r>
          </w:p>
        </w:tc>
      </w:tr>
      <w:tr w:rsidR="00D92E66" w:rsidRPr="000F2BEF" w14:paraId="33761819" w14:textId="77777777" w:rsidTr="008D1171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AC68DD4" w14:textId="77777777" w:rsidR="00D92E66" w:rsidRPr="000F2BEF" w:rsidRDefault="00D92E66" w:rsidP="008D1171">
            <w:pPr>
              <w:spacing w:line="240" w:lineRule="auto"/>
              <w:jc w:val="center"/>
              <w:rPr>
                <w:rFonts w:eastAsia="Times New Roman" w:cs="Calibri"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color w:val="000000"/>
                <w:sz w:val="14"/>
                <w:szCs w:val="14"/>
              </w:rPr>
              <w:t>300µm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E3BCAAA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67.94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6DAD4FF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2.54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429EA38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58.64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70B26EF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3.30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1E16853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56.40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F6C3F9F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5.08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6D1A030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48.48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2FB1ACB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9.58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63FB0EC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52.56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472F2AC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6.91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8D49F61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43.91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FF31F7B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5.88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D0BAA51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41.81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391D05A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11.35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BF2C7E4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37.33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BEB3C57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7.87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A768629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34.88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005A159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5.36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30B8DA1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30.51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D45191A" w14:textId="77777777" w:rsidR="00D92E66" w:rsidRPr="000F2BEF" w:rsidRDefault="00D92E66" w:rsidP="008D117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5.41</w:t>
            </w:r>
          </w:p>
        </w:tc>
        <w:tc>
          <w:tcPr>
            <w:tcW w:w="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EE0DC74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color w:val="000000"/>
                <w:sz w:val="14"/>
                <w:szCs w:val="14"/>
              </w:rPr>
              <w:t>≤0.001*</w:t>
            </w:r>
          </w:p>
        </w:tc>
      </w:tr>
      <w:tr w:rsidR="00D92E66" w:rsidRPr="000F2BEF" w14:paraId="593BE361" w14:textId="77777777" w:rsidTr="008D1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4873546" w14:textId="77777777" w:rsidR="00D92E66" w:rsidRPr="000F2BEF" w:rsidRDefault="00D92E66" w:rsidP="008D1171">
            <w:pPr>
              <w:spacing w:line="240" w:lineRule="auto"/>
              <w:jc w:val="center"/>
              <w:rPr>
                <w:rFonts w:eastAsia="Times New Roman" w:cs="Calibri"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color w:val="000000"/>
                <w:sz w:val="14"/>
                <w:szCs w:val="14"/>
              </w:rPr>
              <w:t>400µm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2138F20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66.46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366B085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3.06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58E9564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57.84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A05E436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3.06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F10BF04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55.76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07CB64D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5.11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B6A6425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47.00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B908D72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10.57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38F3C7C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51.20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910345E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7.22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DB5D363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43.18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37B639F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6.42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FA97865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41.35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37C85EC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11.04</w:t>
            </w:r>
          </w:p>
        </w:tc>
        <w:tc>
          <w:tcPr>
            <w:tcW w:w="6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B2A704C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36.15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622EAFB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7.60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49D4AB7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34.37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1483CC7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5.31</w:t>
            </w: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B506028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29.78</w:t>
            </w:r>
          </w:p>
        </w:tc>
        <w:tc>
          <w:tcPr>
            <w:tcW w:w="4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585AB69" w14:textId="77777777" w:rsidR="00D92E66" w:rsidRPr="000F2BEF" w:rsidRDefault="00D92E66" w:rsidP="008D117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color w:val="000000"/>
                <w:sz w:val="12"/>
                <w:szCs w:val="12"/>
              </w:rPr>
            </w:pPr>
            <w:r w:rsidRPr="000F2BEF">
              <w:rPr>
                <w:rFonts w:ascii="Arial" w:eastAsia="Times New Roman" w:hAnsi="Arial"/>
                <w:color w:val="000000"/>
                <w:sz w:val="12"/>
                <w:szCs w:val="12"/>
              </w:rPr>
              <w:t>4.70</w:t>
            </w:r>
          </w:p>
        </w:tc>
        <w:tc>
          <w:tcPr>
            <w:tcW w:w="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40D9C8F" w14:textId="77777777" w:rsidR="00D92E66" w:rsidRPr="000F2BEF" w:rsidRDefault="00D92E66" w:rsidP="008D117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color w:val="000000"/>
                <w:sz w:val="14"/>
                <w:szCs w:val="14"/>
              </w:rPr>
              <w:t>≤0.001*</w:t>
            </w:r>
          </w:p>
        </w:tc>
      </w:tr>
      <w:tr w:rsidR="00D92E66" w:rsidRPr="000F2BEF" w14:paraId="0621BFE8" w14:textId="77777777" w:rsidTr="008D1171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98EDA60" w14:textId="77777777" w:rsidR="00D92E66" w:rsidRPr="000F2BEF" w:rsidRDefault="00D92E66" w:rsidP="008D1171">
            <w:pPr>
              <w:spacing w:line="254" w:lineRule="auto"/>
              <w:rPr>
                <w:rFonts w:eastAsia="Times New Roman" w:cs="Calibri"/>
                <w:color w:val="000000"/>
                <w:sz w:val="14"/>
                <w:szCs w:val="14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85C826C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0.026*</w:t>
            </w:r>
          </w:p>
        </w:tc>
        <w:tc>
          <w:tcPr>
            <w:tcW w:w="9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0043225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0.024*</w:t>
            </w:r>
          </w:p>
        </w:tc>
        <w:tc>
          <w:tcPr>
            <w:tcW w:w="9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C045ECD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0.016*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EB5C282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0.05*</w:t>
            </w:r>
          </w:p>
        </w:tc>
        <w:tc>
          <w:tcPr>
            <w:tcW w:w="9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DF3A301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0.001*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6C15CE4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0.001*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31576AA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0.014*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9761772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0.007*</w:t>
            </w:r>
          </w:p>
        </w:tc>
        <w:tc>
          <w:tcPr>
            <w:tcW w:w="9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26E5964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0.033*</w:t>
            </w:r>
          </w:p>
        </w:tc>
        <w:tc>
          <w:tcPr>
            <w:tcW w:w="9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E681728" w14:textId="77777777" w:rsidR="00D92E66" w:rsidRPr="000F2BEF" w:rsidRDefault="00D92E66" w:rsidP="008D117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  <w:r w:rsidRPr="000F2BEF"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  <w:t>≤0.001*</w:t>
            </w:r>
          </w:p>
        </w:tc>
        <w:tc>
          <w:tcPr>
            <w:tcW w:w="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A4D64D2" w14:textId="77777777" w:rsidR="00D92E66" w:rsidRPr="000F2BEF" w:rsidRDefault="00D92E66" w:rsidP="008D1171">
            <w:pPr>
              <w:spacing w:line="25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57CBE53F" w14:textId="77777777" w:rsidR="00D92E66" w:rsidRPr="000F2BEF" w:rsidRDefault="00D92E66" w:rsidP="00D92E66">
      <w:pPr>
        <w:widowControl w:val="0"/>
        <w:suppressAutoHyphens/>
        <w:overflowPunct w:val="0"/>
        <w:autoSpaceDE w:val="0"/>
        <w:autoSpaceDN w:val="0"/>
        <w:adjustRightInd w:val="0"/>
        <w:spacing w:after="0" w:line="360" w:lineRule="auto"/>
        <w:ind w:left="-1134" w:right="480"/>
        <w:rPr>
          <w:rFonts w:ascii="Times New Roman" w:eastAsia="Calibri" w:hAnsi="Times New Roman" w:cs="Times New Roman"/>
          <w:i/>
          <w:iCs/>
          <w:sz w:val="20"/>
          <w:szCs w:val="20"/>
        </w:rPr>
      </w:pPr>
    </w:p>
    <w:p w14:paraId="4426840B" w14:textId="77777777" w:rsidR="00D92E66" w:rsidRPr="000F2BEF" w:rsidRDefault="00D92E66" w:rsidP="00D92E66">
      <w:pPr>
        <w:widowControl w:val="0"/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noProof/>
          <w:sz w:val="20"/>
          <w:szCs w:val="20"/>
        </w:rPr>
      </w:pPr>
      <w:r w:rsidRPr="000F2BEF">
        <w:rPr>
          <w:rFonts w:ascii="Times New Roman" w:eastAsia="Calibri" w:hAnsi="Times New Roman" w:cs="Times New Roman"/>
          <w:noProof/>
          <w:sz w:val="20"/>
          <w:szCs w:val="20"/>
        </w:rPr>
        <w:t>Superscripts with different capital letters indicate statistically significance difference within the same column. Superscripts with different small letters indicate statistically significance difference within the same raw. - *; significant (p≤0.05) ns; non-significant (p&gt;0.05)</w:t>
      </w:r>
    </w:p>
    <w:p w14:paraId="14A471E4" w14:textId="77777777" w:rsidR="00D92E66" w:rsidRDefault="00D92E66" w:rsidP="00D92E66">
      <w:pPr>
        <w:spacing w:line="276" w:lineRule="auto"/>
        <w:jc w:val="both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14:paraId="4B40F58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E66"/>
    <w:rsid w:val="00011C58"/>
    <w:rsid w:val="0006021D"/>
    <w:rsid w:val="00331A6B"/>
    <w:rsid w:val="00755780"/>
    <w:rsid w:val="00857596"/>
    <w:rsid w:val="00871EA3"/>
    <w:rsid w:val="00C025DD"/>
    <w:rsid w:val="00D92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E56B1"/>
  <w15:chartTrackingRefBased/>
  <w15:docId w15:val="{D25B6748-23B4-44BA-8FB8-F5D366067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E66"/>
    <w:pPr>
      <w:spacing w:line="25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2E6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E6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2E6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2E6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2E6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2E6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2E6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2E6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2E6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E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E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2E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2E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2E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2E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2E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2E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2E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2E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2E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2E6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2E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2E6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2E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2E66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2E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2E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2E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2E66"/>
    <w:rPr>
      <w:b/>
      <w:bCs/>
      <w:smallCaps/>
      <w:color w:val="0F4761" w:themeColor="accent1" w:themeShade="BF"/>
      <w:spacing w:val="5"/>
    </w:rPr>
  </w:style>
  <w:style w:type="table" w:customStyle="1" w:styleId="GridTable5Dark-Accent211">
    <w:name w:val="Grid Table 5 Dark - Accent 211"/>
    <w:basedOn w:val="TableNormal"/>
    <w:uiPriority w:val="50"/>
    <w:rsid w:val="00D92E66"/>
    <w:pPr>
      <w:spacing w:after="0" w:line="240" w:lineRule="auto"/>
    </w:pPr>
    <w:rPr>
      <w:rFonts w:ascii="Calibri" w:eastAsia="Calibri" w:hAnsi="Calibri" w:cs="Arial"/>
      <w:kern w:val="0"/>
      <w:sz w:val="22"/>
      <w:szCs w:val="22"/>
      <w14:ligatures w14:val="none"/>
    </w:rPr>
    <w:tblPr>
      <w:tblStyleRowBandSize w:val="1"/>
      <w:tblStyleColBandSize w:val="1"/>
      <w:tblInd w:w="0" w:type="nil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599</Words>
  <Characters>3417</Characters>
  <Application>Microsoft Office Word</Application>
  <DocSecurity>0</DocSecurity>
  <Lines>28</Lines>
  <Paragraphs>8</Paragraphs>
  <ScaleCrop>false</ScaleCrop>
  <Company>Springer Nature</Company>
  <LinksUpToDate>false</LinksUpToDate>
  <CharactersWithSpaces>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2025-06-23T08:18:00Z</dcterms:created>
  <dcterms:modified xsi:type="dcterms:W3CDTF">2025-06-23T08:19:00Z</dcterms:modified>
</cp:coreProperties>
</file>