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DF45AA" w14:textId="77777777" w:rsidR="000A625E" w:rsidRDefault="000A625E" w:rsidP="000A625E">
      <w:pPr>
        <w:spacing w:after="160" w:line="259" w:lineRule="auto"/>
        <w:jc w:val="left"/>
        <w:rPr>
          <w:rFonts w:ascii="Times New Roman" w:eastAsiaTheme="minorHAnsi" w:hAnsi="Times New Roman"/>
          <w:noProof w:val="0"/>
          <w:color w:val="auto"/>
          <w:sz w:val="24"/>
          <w:szCs w:val="24"/>
          <w:lang w:val="en-IN" w:eastAsia="en-US"/>
        </w:rPr>
      </w:pPr>
      <w:r w:rsidRPr="002A6716">
        <w:rPr>
          <w:rFonts w:ascii="Times New Roman" w:eastAsiaTheme="minorHAnsi" w:hAnsi="Times New Roman"/>
          <w:b/>
          <w:bCs/>
          <w:noProof w:val="0"/>
          <w:color w:val="auto"/>
          <w:sz w:val="24"/>
          <w:szCs w:val="24"/>
          <w:lang w:val="en-IN" w:eastAsia="en-US"/>
        </w:rPr>
        <w:t>Supplementary Fig 1 -</w:t>
      </w:r>
      <w:r w:rsidRPr="002A6716">
        <w:rPr>
          <w:rFonts w:ascii="Times New Roman" w:eastAsiaTheme="minorHAnsi" w:hAnsi="Times New Roman"/>
          <w:noProof w:val="0"/>
          <w:color w:val="auto"/>
          <w:sz w:val="24"/>
          <w:szCs w:val="24"/>
          <w:lang w:val="en-IN" w:eastAsia="en-US"/>
        </w:rPr>
        <w:t xml:space="preserve"> Smear grades of direct sputum samples extracted using Genolyse (a) and Trueprep (b) with their success in tNGS runs </w:t>
      </w:r>
    </w:p>
    <w:p w14:paraId="1FA539D9" w14:textId="77777777" w:rsidR="000A625E" w:rsidRPr="002A6716" w:rsidRDefault="000A625E" w:rsidP="000A625E">
      <w:pPr>
        <w:spacing w:after="160" w:line="259" w:lineRule="auto"/>
        <w:jc w:val="left"/>
        <w:rPr>
          <w:rFonts w:ascii="Times New Roman" w:eastAsiaTheme="minorHAnsi" w:hAnsi="Times New Roman"/>
          <w:noProof w:val="0"/>
          <w:color w:val="auto"/>
          <w:sz w:val="24"/>
          <w:szCs w:val="24"/>
          <w:lang w:val="en-IN" w:eastAsia="en-US"/>
        </w:rPr>
      </w:pPr>
    </w:p>
    <w:p w14:paraId="478044AD" w14:textId="77777777" w:rsidR="000A625E" w:rsidRDefault="000A625E" w:rsidP="000A625E">
      <w:pPr>
        <w:spacing w:after="160" w:line="259" w:lineRule="auto"/>
        <w:ind w:firstLine="851"/>
        <w:jc w:val="left"/>
        <w:rPr>
          <w:rFonts w:ascii="Times New Roman" w:eastAsiaTheme="minorHAnsi" w:hAnsi="Times New Roman"/>
          <w:color w:val="auto"/>
          <w:sz w:val="24"/>
          <w:szCs w:val="24"/>
          <w:lang w:val="en-IN" w:eastAsia="en-US"/>
          <w14:ligatures w14:val="standardContextual"/>
        </w:rPr>
      </w:pPr>
      <w:r w:rsidRPr="002A6716">
        <w:rPr>
          <w:rFonts w:ascii="Times New Roman" w:eastAsiaTheme="minorHAnsi" w:hAnsi="Times New Roman"/>
          <w:color w:val="auto"/>
          <w:sz w:val="24"/>
          <w:szCs w:val="24"/>
          <w:lang w:val="en-IN" w:eastAsia="en-US"/>
          <w14:ligatures w14:val="standardContextual"/>
        </w:rPr>
        <w:drawing>
          <wp:inline distT="0" distB="0" distL="0" distR="0" wp14:anchorId="17EC1C82" wp14:editId="4BDCA7BE">
            <wp:extent cx="5588198" cy="1692728"/>
            <wp:effectExtent l="0" t="0" r="0" b="3175"/>
            <wp:docPr id="6213267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28359" cy="1704893"/>
                    </a:xfrm>
                    <a:prstGeom prst="rect">
                      <a:avLst/>
                    </a:prstGeom>
                    <a:noFill/>
                  </pic:spPr>
                </pic:pic>
              </a:graphicData>
            </a:graphic>
          </wp:inline>
        </w:drawing>
      </w:r>
    </w:p>
    <w:p w14:paraId="39088A3A" w14:textId="77777777" w:rsidR="000A625E" w:rsidRDefault="000A625E" w:rsidP="000A625E">
      <w:pPr>
        <w:spacing w:after="160" w:line="259" w:lineRule="auto"/>
        <w:ind w:firstLine="851"/>
        <w:jc w:val="left"/>
        <w:rPr>
          <w:rFonts w:ascii="Times New Roman" w:eastAsiaTheme="minorHAnsi" w:hAnsi="Times New Roman"/>
          <w:color w:val="auto"/>
          <w:sz w:val="24"/>
          <w:szCs w:val="24"/>
          <w:lang w:val="en-IN" w:eastAsia="en-US"/>
          <w14:ligatures w14:val="standardContextual"/>
        </w:rPr>
      </w:pPr>
    </w:p>
    <w:p w14:paraId="7AEE571D" w14:textId="77777777" w:rsidR="000A625E" w:rsidRPr="002A6716" w:rsidRDefault="000A625E" w:rsidP="000A625E">
      <w:pPr>
        <w:spacing w:after="160" w:line="259" w:lineRule="auto"/>
        <w:ind w:firstLine="851"/>
        <w:jc w:val="left"/>
        <w:rPr>
          <w:rFonts w:ascii="Times New Roman" w:eastAsiaTheme="minorHAnsi" w:hAnsi="Times New Roman"/>
          <w:color w:val="auto"/>
          <w:sz w:val="24"/>
          <w:szCs w:val="24"/>
          <w:lang w:val="en-IN" w:eastAsia="en-US"/>
          <w14:ligatures w14:val="standardContextual"/>
        </w:rPr>
      </w:pPr>
    </w:p>
    <w:p w14:paraId="1ED78A59" w14:textId="77777777" w:rsidR="000A625E" w:rsidRDefault="000A625E" w:rsidP="000A625E">
      <w:pPr>
        <w:spacing w:after="160" w:line="259" w:lineRule="auto"/>
        <w:jc w:val="left"/>
        <w:rPr>
          <w:rFonts w:ascii="Times New Roman" w:eastAsiaTheme="minorHAnsi" w:hAnsi="Times New Roman"/>
          <w:noProof w:val="0"/>
          <w:color w:val="auto"/>
          <w:sz w:val="24"/>
          <w:szCs w:val="24"/>
          <w:lang w:val="en-IN" w:eastAsia="en-US"/>
        </w:rPr>
      </w:pPr>
      <w:r w:rsidRPr="002A6716">
        <w:rPr>
          <w:rFonts w:ascii="Times New Roman" w:eastAsiaTheme="minorHAnsi" w:hAnsi="Times New Roman"/>
          <w:b/>
          <w:bCs/>
          <w:noProof w:val="0"/>
          <w:color w:val="auto"/>
          <w:sz w:val="24"/>
          <w:szCs w:val="24"/>
          <w:lang w:val="en-IN" w:eastAsia="en-US"/>
        </w:rPr>
        <w:t>Supplementary Fig 2 -</w:t>
      </w:r>
      <w:r w:rsidRPr="002A6716">
        <w:rPr>
          <w:rFonts w:ascii="Times New Roman" w:eastAsiaTheme="minorHAnsi" w:hAnsi="Times New Roman"/>
          <w:noProof w:val="0"/>
          <w:color w:val="auto"/>
          <w:sz w:val="24"/>
          <w:szCs w:val="24"/>
          <w:lang w:val="en-IN" w:eastAsia="en-US"/>
        </w:rPr>
        <w:t xml:space="preserve"> Bacillary load of direct sputum samples as estimated by CFUs/ml in Trueprep and their success in tNGS runs</w:t>
      </w:r>
    </w:p>
    <w:p w14:paraId="2728242F" w14:textId="77777777" w:rsidR="000A625E" w:rsidRPr="002A6716" w:rsidRDefault="000A625E" w:rsidP="000A625E">
      <w:pPr>
        <w:spacing w:after="160" w:line="259" w:lineRule="auto"/>
        <w:jc w:val="left"/>
        <w:rPr>
          <w:rFonts w:ascii="Times New Roman" w:eastAsiaTheme="minorHAnsi" w:hAnsi="Times New Roman"/>
          <w:noProof w:val="0"/>
          <w:color w:val="auto"/>
          <w:sz w:val="24"/>
          <w:szCs w:val="24"/>
          <w:lang w:val="en-IN" w:eastAsia="en-US"/>
        </w:rPr>
      </w:pPr>
    </w:p>
    <w:p w14:paraId="4DE34894" w14:textId="77777777" w:rsidR="000A625E" w:rsidRDefault="000A625E" w:rsidP="000A625E">
      <w:pPr>
        <w:spacing w:after="160" w:line="259" w:lineRule="auto"/>
        <w:ind w:firstLine="1418"/>
        <w:jc w:val="left"/>
        <w:rPr>
          <w:rFonts w:ascii="Times New Roman" w:eastAsiaTheme="minorHAnsi" w:hAnsi="Times New Roman"/>
          <w:noProof w:val="0"/>
          <w:color w:val="auto"/>
          <w:sz w:val="24"/>
          <w:szCs w:val="24"/>
          <w:lang w:val="en-IN" w:eastAsia="en-US"/>
        </w:rPr>
      </w:pPr>
      <w:r w:rsidRPr="002A6716">
        <w:rPr>
          <w:rFonts w:ascii="Times New Roman" w:eastAsiaTheme="minorHAnsi" w:hAnsi="Times New Roman"/>
          <w:color w:val="auto"/>
          <w:sz w:val="24"/>
          <w:szCs w:val="24"/>
          <w:lang w:val="en-IN" w:eastAsia="en-US"/>
          <w14:ligatures w14:val="standardContextual"/>
        </w:rPr>
        <w:drawing>
          <wp:inline distT="0" distB="0" distL="0" distR="0" wp14:anchorId="3BEDE3B7" wp14:editId="71A009A8">
            <wp:extent cx="4017826" cy="2062843"/>
            <wp:effectExtent l="0" t="0" r="1905" b="13970"/>
            <wp:docPr id="2007446324" name="Chart 1">
              <a:extLst xmlns:a="http://schemas.openxmlformats.org/drawingml/2006/main">
                <a:ext uri="{FF2B5EF4-FFF2-40B4-BE49-F238E27FC236}">
                  <a16:creationId xmlns:a16="http://schemas.microsoft.com/office/drawing/2014/main" id="{14032611-7CAE-8F9D-9C30-B9A26216B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25FFC573" w14:textId="77777777" w:rsidR="000A625E" w:rsidRDefault="000A625E"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57738E27" w14:textId="77777777" w:rsidR="008A2D88" w:rsidRDefault="008A2D88"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2715B563" w14:textId="77777777" w:rsidR="008A2D88" w:rsidRDefault="008A2D88"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4DB5F07D" w14:textId="77777777" w:rsidR="008A2D88" w:rsidRDefault="008A2D88"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0ACE2467" w14:textId="77777777" w:rsidR="008A2D88" w:rsidRDefault="008A2D88"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2818B56E" w14:textId="77777777" w:rsidR="008A2D88" w:rsidRDefault="008A2D88"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0E1D65D6" w14:textId="77777777" w:rsidR="008A2D88" w:rsidRDefault="008A2D88"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448C64E2" w14:textId="77777777" w:rsidR="008A2D88" w:rsidRDefault="008A2D88"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00CBF26C" w14:textId="77777777" w:rsidR="008A2D88" w:rsidRDefault="008A2D88" w:rsidP="000A625E">
      <w:pPr>
        <w:spacing w:after="160" w:line="259" w:lineRule="auto"/>
        <w:ind w:firstLine="1418"/>
        <w:jc w:val="left"/>
        <w:rPr>
          <w:rFonts w:ascii="Times New Roman" w:eastAsiaTheme="minorHAnsi" w:hAnsi="Times New Roman"/>
          <w:noProof w:val="0"/>
          <w:color w:val="auto"/>
          <w:sz w:val="24"/>
          <w:szCs w:val="24"/>
          <w:lang w:val="en-IN" w:eastAsia="en-US"/>
        </w:rPr>
      </w:pPr>
    </w:p>
    <w:p w14:paraId="5E1ADD84" w14:textId="31419E86" w:rsidR="000A625E" w:rsidRDefault="000A625E" w:rsidP="008A2D88">
      <w:pPr>
        <w:spacing w:after="160" w:line="259" w:lineRule="auto"/>
        <w:jc w:val="left"/>
      </w:pPr>
      <w:r w:rsidRPr="002A6716">
        <w:rPr>
          <w:rFonts w:ascii="Times New Roman" w:eastAsiaTheme="minorHAnsi" w:hAnsi="Times New Roman"/>
          <w:b/>
          <w:bCs/>
          <w:noProof w:val="0"/>
          <w:color w:val="auto"/>
          <w:sz w:val="24"/>
          <w:szCs w:val="24"/>
          <w:lang w:val="en-IN" w:eastAsia="en-US"/>
        </w:rPr>
        <w:lastRenderedPageBreak/>
        <w:t xml:space="preserve">Supplementary Fig 3 – </w:t>
      </w:r>
      <w:r w:rsidRPr="002A6716">
        <w:rPr>
          <w:rFonts w:ascii="Times New Roman" w:eastAsiaTheme="minorHAnsi" w:hAnsi="Times New Roman"/>
          <w:noProof w:val="0"/>
          <w:color w:val="auto"/>
          <w:sz w:val="24"/>
          <w:szCs w:val="24"/>
          <w:lang w:val="en-IN" w:eastAsia="en-US"/>
        </w:rPr>
        <w:t xml:space="preserve">Diversity of single nucleotide polymorphisms (SNPs) observed among the first line and second line drugs among samples identified by tNGS in this study. The figure shows the distribution of SNPs among (A) </w:t>
      </w:r>
      <w:r w:rsidRPr="002A6716">
        <w:rPr>
          <w:rFonts w:ascii="Times New Roman" w:eastAsiaTheme="minorHAnsi" w:hAnsi="Times New Roman"/>
          <w:i/>
          <w:iCs/>
          <w:noProof w:val="0"/>
          <w:color w:val="auto"/>
          <w:sz w:val="24"/>
          <w:szCs w:val="24"/>
          <w:lang w:val="en-IN" w:eastAsia="en-US"/>
        </w:rPr>
        <w:t>rpoB</w:t>
      </w:r>
      <w:r w:rsidRPr="002A6716">
        <w:rPr>
          <w:rFonts w:ascii="Times New Roman" w:eastAsiaTheme="minorHAnsi" w:hAnsi="Times New Roman"/>
          <w:noProof w:val="0"/>
          <w:color w:val="auto"/>
          <w:sz w:val="24"/>
          <w:szCs w:val="24"/>
          <w:lang w:val="en-IN" w:eastAsia="en-US"/>
        </w:rPr>
        <w:t xml:space="preserve"> of Rifampicin; (B) </w:t>
      </w:r>
      <w:r w:rsidRPr="002A6716">
        <w:rPr>
          <w:rFonts w:ascii="Times New Roman" w:eastAsiaTheme="minorHAnsi" w:hAnsi="Times New Roman"/>
          <w:i/>
          <w:iCs/>
          <w:noProof w:val="0"/>
          <w:color w:val="auto"/>
          <w:sz w:val="24"/>
          <w:szCs w:val="24"/>
          <w:lang w:val="en-IN" w:eastAsia="en-US"/>
        </w:rPr>
        <w:t xml:space="preserve">katG, kasA </w:t>
      </w:r>
      <w:r w:rsidRPr="002A6716">
        <w:rPr>
          <w:rFonts w:ascii="Times New Roman" w:eastAsiaTheme="minorHAnsi" w:hAnsi="Times New Roman"/>
          <w:noProof w:val="0"/>
          <w:color w:val="auto"/>
          <w:sz w:val="24"/>
          <w:szCs w:val="24"/>
          <w:lang w:val="en-IN" w:eastAsia="en-US"/>
        </w:rPr>
        <w:t xml:space="preserve">and </w:t>
      </w:r>
      <w:r w:rsidRPr="002A6716">
        <w:rPr>
          <w:rFonts w:ascii="Times New Roman" w:eastAsiaTheme="minorHAnsi" w:hAnsi="Times New Roman"/>
          <w:i/>
          <w:iCs/>
          <w:noProof w:val="0"/>
          <w:color w:val="auto"/>
          <w:sz w:val="24"/>
          <w:szCs w:val="24"/>
          <w:lang w:val="en-IN" w:eastAsia="en-US"/>
        </w:rPr>
        <w:t>inhA</w:t>
      </w:r>
      <w:r w:rsidRPr="002A6716">
        <w:rPr>
          <w:rFonts w:ascii="Times New Roman" w:eastAsiaTheme="minorHAnsi" w:hAnsi="Times New Roman"/>
          <w:noProof w:val="0"/>
          <w:color w:val="auto"/>
          <w:sz w:val="24"/>
          <w:szCs w:val="24"/>
          <w:lang w:val="en-IN" w:eastAsia="en-US"/>
        </w:rPr>
        <w:t xml:space="preserve"> of isoniazid; (C) </w:t>
      </w:r>
      <w:r w:rsidRPr="002A6716">
        <w:rPr>
          <w:rFonts w:ascii="Times New Roman" w:eastAsiaTheme="minorHAnsi" w:hAnsi="Times New Roman"/>
          <w:i/>
          <w:iCs/>
          <w:noProof w:val="0"/>
          <w:color w:val="auto"/>
          <w:sz w:val="24"/>
          <w:szCs w:val="24"/>
          <w:lang w:val="en-IN" w:eastAsia="en-US"/>
        </w:rPr>
        <w:t>embB</w:t>
      </w:r>
      <w:r w:rsidRPr="002A6716">
        <w:rPr>
          <w:rFonts w:ascii="Times New Roman" w:eastAsiaTheme="minorHAnsi" w:hAnsi="Times New Roman"/>
          <w:noProof w:val="0"/>
          <w:color w:val="auto"/>
          <w:sz w:val="24"/>
          <w:szCs w:val="24"/>
          <w:lang w:val="en-IN" w:eastAsia="en-US"/>
        </w:rPr>
        <w:t xml:space="preserve"> of ethambutol; (D) </w:t>
      </w:r>
      <w:r w:rsidRPr="002A6716">
        <w:rPr>
          <w:rFonts w:ascii="Times New Roman" w:eastAsiaTheme="minorHAnsi" w:hAnsi="Times New Roman"/>
          <w:i/>
          <w:iCs/>
          <w:noProof w:val="0"/>
          <w:color w:val="auto"/>
          <w:sz w:val="24"/>
          <w:szCs w:val="24"/>
          <w:lang w:val="en-IN" w:eastAsia="en-US"/>
        </w:rPr>
        <w:t xml:space="preserve">pncA </w:t>
      </w:r>
      <w:r w:rsidRPr="002A6716">
        <w:rPr>
          <w:rFonts w:ascii="Times New Roman" w:eastAsiaTheme="minorHAnsi" w:hAnsi="Times New Roman"/>
          <w:noProof w:val="0"/>
          <w:color w:val="auto"/>
          <w:sz w:val="24"/>
          <w:szCs w:val="24"/>
          <w:lang w:val="en-IN" w:eastAsia="en-US"/>
        </w:rPr>
        <w:t xml:space="preserve">of pyrazinamide; (E) </w:t>
      </w:r>
      <w:r w:rsidRPr="002A6716">
        <w:rPr>
          <w:rFonts w:ascii="Times New Roman" w:eastAsiaTheme="minorHAnsi" w:hAnsi="Times New Roman"/>
          <w:i/>
          <w:iCs/>
          <w:noProof w:val="0"/>
          <w:color w:val="auto"/>
          <w:sz w:val="24"/>
          <w:szCs w:val="24"/>
          <w:lang w:val="en-IN" w:eastAsia="en-US"/>
        </w:rPr>
        <w:t>gyrA</w:t>
      </w:r>
      <w:r w:rsidRPr="002A6716">
        <w:rPr>
          <w:rFonts w:ascii="Times New Roman" w:eastAsiaTheme="minorHAnsi" w:hAnsi="Times New Roman"/>
          <w:noProof w:val="0"/>
          <w:color w:val="auto"/>
          <w:sz w:val="24"/>
          <w:szCs w:val="24"/>
          <w:lang w:val="en-IN" w:eastAsia="en-US"/>
        </w:rPr>
        <w:t xml:space="preserve"> and </w:t>
      </w:r>
      <w:r w:rsidRPr="002A6716">
        <w:rPr>
          <w:rFonts w:ascii="Times New Roman" w:eastAsiaTheme="minorHAnsi" w:hAnsi="Times New Roman"/>
          <w:i/>
          <w:iCs/>
          <w:noProof w:val="0"/>
          <w:color w:val="auto"/>
          <w:sz w:val="24"/>
          <w:szCs w:val="24"/>
          <w:lang w:val="en-IN" w:eastAsia="en-US"/>
        </w:rPr>
        <w:t>gyrB</w:t>
      </w:r>
      <w:r w:rsidRPr="002A6716">
        <w:rPr>
          <w:rFonts w:ascii="Times New Roman" w:eastAsiaTheme="minorHAnsi" w:hAnsi="Times New Roman"/>
          <w:noProof w:val="0"/>
          <w:color w:val="auto"/>
          <w:sz w:val="24"/>
          <w:szCs w:val="24"/>
          <w:lang w:val="en-IN" w:eastAsia="en-US"/>
        </w:rPr>
        <w:t xml:space="preserve"> of fluoroquinolones; (F) </w:t>
      </w:r>
      <w:r w:rsidRPr="002A6716">
        <w:rPr>
          <w:rFonts w:ascii="Times New Roman" w:eastAsiaTheme="minorHAnsi" w:hAnsi="Times New Roman"/>
          <w:i/>
          <w:iCs/>
          <w:noProof w:val="0"/>
          <w:color w:val="auto"/>
          <w:sz w:val="24"/>
          <w:szCs w:val="24"/>
          <w:lang w:val="en-IN" w:eastAsia="en-US"/>
        </w:rPr>
        <w:t>rrs, rrl, rplC</w:t>
      </w:r>
      <w:r w:rsidRPr="002A6716">
        <w:rPr>
          <w:rFonts w:ascii="Times New Roman" w:eastAsiaTheme="minorHAnsi" w:hAnsi="Times New Roman"/>
          <w:noProof w:val="0"/>
          <w:color w:val="auto"/>
          <w:sz w:val="24"/>
          <w:szCs w:val="24"/>
          <w:lang w:val="en-IN" w:eastAsia="en-US"/>
        </w:rPr>
        <w:t xml:space="preserve">, </w:t>
      </w:r>
      <w:r w:rsidRPr="002A6716">
        <w:rPr>
          <w:rFonts w:ascii="Times New Roman" w:eastAsiaTheme="minorHAnsi" w:hAnsi="Times New Roman"/>
          <w:i/>
          <w:iCs/>
          <w:noProof w:val="0"/>
          <w:color w:val="auto"/>
          <w:sz w:val="24"/>
          <w:szCs w:val="24"/>
          <w:lang w:val="en-IN" w:eastAsia="en-US"/>
        </w:rPr>
        <w:t>gid</w:t>
      </w:r>
      <w:r w:rsidRPr="002A6716">
        <w:rPr>
          <w:rFonts w:ascii="Times New Roman" w:eastAsiaTheme="minorHAnsi" w:hAnsi="Times New Roman"/>
          <w:noProof w:val="0"/>
          <w:color w:val="auto"/>
          <w:sz w:val="24"/>
          <w:szCs w:val="24"/>
          <w:lang w:val="en-IN" w:eastAsia="en-US"/>
        </w:rPr>
        <w:t xml:space="preserve"> and </w:t>
      </w:r>
      <w:r w:rsidRPr="002A6716">
        <w:rPr>
          <w:rFonts w:ascii="Times New Roman" w:eastAsiaTheme="minorHAnsi" w:hAnsi="Times New Roman"/>
          <w:i/>
          <w:iCs/>
          <w:noProof w:val="0"/>
          <w:color w:val="auto"/>
          <w:sz w:val="24"/>
          <w:szCs w:val="24"/>
          <w:lang w:val="en-IN" w:eastAsia="en-US"/>
        </w:rPr>
        <w:t>eis</w:t>
      </w:r>
      <w:r w:rsidRPr="002A6716">
        <w:rPr>
          <w:rFonts w:ascii="Times New Roman" w:eastAsiaTheme="minorHAnsi" w:hAnsi="Times New Roman"/>
          <w:noProof w:val="0"/>
          <w:color w:val="auto"/>
          <w:sz w:val="24"/>
          <w:szCs w:val="24"/>
          <w:lang w:val="en-IN" w:eastAsia="en-US"/>
        </w:rPr>
        <w:t xml:space="preserve"> promoter of aminoglycosides </w:t>
      </w:r>
      <w:r w:rsidRPr="002A6716">
        <w:rPr>
          <w:rFonts w:ascii="Times New Roman" w:hAnsi="Times New Roman"/>
          <w:sz w:val="24"/>
          <w:szCs w:val="24"/>
        </w:rPr>
        <w:drawing>
          <wp:inline distT="0" distB="0" distL="0" distR="0" wp14:anchorId="1EDBE8D6" wp14:editId="66CE28AA">
            <wp:extent cx="5731510" cy="3832187"/>
            <wp:effectExtent l="0" t="0" r="0" b="0"/>
            <wp:docPr id="190520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32187"/>
                    </a:xfrm>
                    <a:prstGeom prst="rect">
                      <a:avLst/>
                    </a:prstGeom>
                    <a:noFill/>
                    <a:ln>
                      <a:noFill/>
                    </a:ln>
                  </pic:spPr>
                </pic:pic>
              </a:graphicData>
            </a:graphic>
          </wp:inline>
        </w:drawing>
      </w:r>
    </w:p>
    <w:p w14:paraId="6B59E654" w14:textId="77777777" w:rsidR="000A625E" w:rsidRDefault="000A625E"/>
    <w:sectPr w:rsidR="000A625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5E"/>
    <w:rsid w:val="000A625E"/>
    <w:rsid w:val="004A1DAE"/>
    <w:rsid w:val="007C5B3E"/>
    <w:rsid w:val="00856FD7"/>
    <w:rsid w:val="008A2D88"/>
    <w:rsid w:val="00AE44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F422F4"/>
  <w15:chartTrackingRefBased/>
  <w15:docId w15:val="{DF82B50B-09D9-43FD-A820-F277934FA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25E"/>
    <w:pPr>
      <w:spacing w:after="0" w:line="260" w:lineRule="atLeast"/>
      <w:jc w:val="both"/>
    </w:pPr>
    <w:rPr>
      <w:rFonts w:ascii="Palatino Linotype" w:eastAsia="SimSun" w:hAnsi="Palatino Linotype" w:cs="Times New Roman"/>
      <w:noProof/>
      <w:color w:val="000000"/>
      <w:kern w:val="0"/>
      <w:sz w:val="20"/>
      <w:szCs w:val="20"/>
      <w:lang w:val="en-US"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chart" Target="charts/chart1.xml"/><Relationship Id="rId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adha\Documents\tNGS%20PROJECT\tNGS%20article%20related\tNGS%20analysis%20FINAL\Graphs_baseline%20dara_second%20set%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IN" sz="1200" b="1"/>
              <a:t>Bacillary load</a:t>
            </a:r>
            <a:r>
              <a:rPr lang="en-IN" sz="1200" b="1" baseline="0"/>
              <a:t> of samples</a:t>
            </a:r>
            <a:endParaRPr lang="en-IN"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'Truenat CFUs-ml'!$M$1</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'Truenat CFUs-ml'!$L$2:$L$9</c:f>
              <c:strCache>
                <c:ptCount val="8"/>
                <c:pt idx="0">
                  <c:v>E+01</c:v>
                </c:pt>
                <c:pt idx="1">
                  <c:v>E+02</c:v>
                </c:pt>
                <c:pt idx="2">
                  <c:v>E+03</c:v>
                </c:pt>
                <c:pt idx="3">
                  <c:v>E+04</c:v>
                </c:pt>
                <c:pt idx="4">
                  <c:v>E+05</c:v>
                </c:pt>
                <c:pt idx="5">
                  <c:v>E+06</c:v>
                </c:pt>
                <c:pt idx="6">
                  <c:v>E+07</c:v>
                </c:pt>
                <c:pt idx="7">
                  <c:v>Total</c:v>
                </c:pt>
              </c:strCache>
            </c:strRef>
          </c:cat>
          <c:val>
            <c:numRef>
              <c:f>'Truenat CFUs-ml'!$M$2:$M$9</c:f>
              <c:numCache>
                <c:formatCode>General</c:formatCode>
                <c:ptCount val="8"/>
                <c:pt idx="0">
                  <c:v>3</c:v>
                </c:pt>
                <c:pt idx="1">
                  <c:v>1</c:v>
                </c:pt>
                <c:pt idx="2">
                  <c:v>2</c:v>
                </c:pt>
                <c:pt idx="3">
                  <c:v>4</c:v>
                </c:pt>
                <c:pt idx="4">
                  <c:v>41</c:v>
                </c:pt>
                <c:pt idx="5">
                  <c:v>44</c:v>
                </c:pt>
                <c:pt idx="6">
                  <c:v>9</c:v>
                </c:pt>
                <c:pt idx="7">
                  <c:v>104</c:v>
                </c:pt>
              </c:numCache>
            </c:numRef>
          </c:val>
          <c:extLst>
            <c:ext xmlns:c16="http://schemas.microsoft.com/office/drawing/2014/chart" uri="{C3380CC4-5D6E-409C-BE32-E72D297353CC}">
              <c16:uniqueId val="{00000000-E0A9-4949-8B76-88EEE29DB7D3}"/>
            </c:ext>
          </c:extLst>
        </c:ser>
        <c:ser>
          <c:idx val="1"/>
          <c:order val="1"/>
          <c:tx>
            <c:strRef>
              <c:f>'Truenat CFUs-ml'!$N$1</c:f>
              <c:strCache>
                <c:ptCount val="1"/>
                <c:pt idx="0">
                  <c:v>Sequencing passed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'Truenat CFUs-ml'!$L$2:$L$9</c:f>
              <c:strCache>
                <c:ptCount val="8"/>
                <c:pt idx="0">
                  <c:v>E+01</c:v>
                </c:pt>
                <c:pt idx="1">
                  <c:v>E+02</c:v>
                </c:pt>
                <c:pt idx="2">
                  <c:v>E+03</c:v>
                </c:pt>
                <c:pt idx="3">
                  <c:v>E+04</c:v>
                </c:pt>
                <c:pt idx="4">
                  <c:v>E+05</c:v>
                </c:pt>
                <c:pt idx="5">
                  <c:v>E+06</c:v>
                </c:pt>
                <c:pt idx="6">
                  <c:v>E+07</c:v>
                </c:pt>
                <c:pt idx="7">
                  <c:v>Total</c:v>
                </c:pt>
              </c:strCache>
            </c:strRef>
          </c:cat>
          <c:val>
            <c:numRef>
              <c:f>'Truenat CFUs-ml'!$N$2:$N$9</c:f>
              <c:numCache>
                <c:formatCode>General</c:formatCode>
                <c:ptCount val="8"/>
                <c:pt idx="0">
                  <c:v>2</c:v>
                </c:pt>
                <c:pt idx="1">
                  <c:v>1</c:v>
                </c:pt>
                <c:pt idx="2">
                  <c:v>1</c:v>
                </c:pt>
                <c:pt idx="3">
                  <c:v>2</c:v>
                </c:pt>
                <c:pt idx="4">
                  <c:v>23</c:v>
                </c:pt>
                <c:pt idx="5">
                  <c:v>32</c:v>
                </c:pt>
                <c:pt idx="6">
                  <c:v>6</c:v>
                </c:pt>
                <c:pt idx="7">
                  <c:v>67</c:v>
                </c:pt>
              </c:numCache>
            </c:numRef>
          </c:val>
          <c:extLst>
            <c:ext xmlns:c16="http://schemas.microsoft.com/office/drawing/2014/chart" uri="{C3380CC4-5D6E-409C-BE32-E72D297353CC}">
              <c16:uniqueId val="{00000001-E0A9-4949-8B76-88EEE29DB7D3}"/>
            </c:ext>
          </c:extLst>
        </c:ser>
        <c:dLbls>
          <c:showLegendKey val="0"/>
          <c:showVal val="0"/>
          <c:showCatName val="0"/>
          <c:showSerName val="0"/>
          <c:showPercent val="0"/>
          <c:showBubbleSize val="0"/>
        </c:dLbls>
        <c:gapWidth val="219"/>
        <c:overlap val="-27"/>
        <c:axId val="331125407"/>
        <c:axId val="179851887"/>
      </c:barChart>
      <c:catAx>
        <c:axId val="3311254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9851887"/>
        <c:crosses val="autoZero"/>
        <c:auto val="1"/>
        <c:lblAlgn val="ctr"/>
        <c:lblOffset val="100"/>
        <c:noMultiLvlLbl val="0"/>
      </c:catAx>
      <c:valAx>
        <c:axId val="1798518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3311254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0070C0"/>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2</Pages>
  <Words>117</Words>
  <Characters>604</Characters>
  <Application>Microsoft Office Word</Application>
  <DocSecurity>0</DocSecurity>
  <Lines>30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Radha Gopalaswamy</dc:creator>
  <cp:keywords/>
  <dc:description/>
  <cp:lastModifiedBy>Radha Gopalaswamy</cp:lastModifiedBy>
  <cp:revision>3</cp:revision>
  <cp:lastPrinted>2024-08-31T07:19:00Z</cp:lastPrinted>
  <dcterms:created xsi:type="dcterms:W3CDTF">2024-08-31T06:54:00Z</dcterms:created>
  <dcterms:modified xsi:type="dcterms:W3CDTF">2024-08-31T07:20:00Z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361a2feb-169d-4a85-94dc-669ecf654e07</vt:lpwstr>
  </property>
</Properties>
</file>