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1B69" w14:textId="3FB86383" w:rsidR="007017D7" w:rsidRDefault="007017D7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  <w:bookmarkStart w:id="0" w:name="_Toc180992704"/>
      <w:r>
        <w:rPr>
          <w:rFonts w:ascii="Book Antiqua" w:hAnsi="Book Antiqua" w:cstheme="minorHAnsi"/>
          <w:b/>
          <w:bCs/>
          <w:sz w:val="24"/>
          <w:szCs w:val="24"/>
        </w:rPr>
        <w:t>APPENDIX 1: INTERVIEW GUIDE</w:t>
      </w:r>
    </w:p>
    <w:p w14:paraId="4FA3C523" w14:textId="77777777" w:rsidR="007017D7" w:rsidRDefault="007017D7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46367D3B" w14:textId="133FDC88" w:rsidR="00254823" w:rsidRDefault="00254823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 xml:space="preserve">STUDY TITLE: </w:t>
      </w:r>
    </w:p>
    <w:p w14:paraId="336F2942" w14:textId="77777777" w:rsidR="00254823" w:rsidRDefault="00254823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4A8EA73C" w14:textId="07C36697" w:rsidR="00254823" w:rsidRDefault="007017D7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>P</w:t>
      </w:r>
      <w:r w:rsidRPr="00254823">
        <w:rPr>
          <w:rFonts w:ascii="Book Antiqua" w:hAnsi="Book Antiqua" w:cstheme="minorHAnsi"/>
          <w:b/>
          <w:bCs/>
          <w:sz w:val="24"/>
          <w:szCs w:val="24"/>
        </w:rPr>
        <w:t>erspectives of healthcare managers, policymakers, and financial experts on the effectiveness of asset leasing in enhancing tertiary healthcare quality in Kenya</w:t>
      </w:r>
    </w:p>
    <w:p w14:paraId="5DB295F7" w14:textId="77777777" w:rsidR="00254823" w:rsidRDefault="00254823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27301786" w14:textId="414C915A" w:rsidR="000A49BE" w:rsidRPr="00254823" w:rsidRDefault="00254823" w:rsidP="000A49BE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254823">
        <w:rPr>
          <w:rFonts w:ascii="Book Antiqua" w:hAnsi="Book Antiqua" w:cstheme="minorHAnsi"/>
          <w:sz w:val="24"/>
          <w:szCs w:val="24"/>
        </w:rPr>
        <w:t>Interview guide for</w:t>
      </w:r>
      <w:r w:rsidR="007017D7">
        <w:rPr>
          <w:rFonts w:ascii="Book Antiqua" w:hAnsi="Book Antiqua" w:cstheme="minorHAnsi"/>
          <w:sz w:val="24"/>
          <w:szCs w:val="24"/>
        </w:rPr>
        <w:t xml:space="preserve"> the study respondents, the following interviewees:</w:t>
      </w:r>
    </w:p>
    <w:p w14:paraId="7B032DA4" w14:textId="77777777" w:rsidR="00254823" w:rsidRDefault="00254823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43FAF519" w14:textId="77777777" w:rsidR="00254823" w:rsidRPr="00254823" w:rsidRDefault="00254823" w:rsidP="002548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S</w:t>
      </w:r>
      <w:r w:rsidRPr="00254823">
        <w:rPr>
          <w:rFonts w:ascii="Book Antiqua" w:hAnsi="Book Antiqua" w:cstheme="minorHAnsi"/>
          <w:sz w:val="24"/>
          <w:szCs w:val="24"/>
        </w:rPr>
        <w:t>enior hospital managers</w:t>
      </w:r>
    </w:p>
    <w:p w14:paraId="0D999820" w14:textId="77777777" w:rsidR="00254823" w:rsidRPr="00254823" w:rsidRDefault="00254823" w:rsidP="002548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M</w:t>
      </w:r>
      <w:r w:rsidRPr="00254823">
        <w:rPr>
          <w:rFonts w:ascii="Book Antiqua" w:hAnsi="Book Antiqua" w:cstheme="minorHAnsi"/>
          <w:sz w:val="24"/>
          <w:szCs w:val="24"/>
        </w:rPr>
        <w:t xml:space="preserve">inistry of </w:t>
      </w:r>
      <w:r>
        <w:rPr>
          <w:rFonts w:ascii="Book Antiqua" w:hAnsi="Book Antiqua" w:cstheme="minorHAnsi"/>
          <w:sz w:val="24"/>
          <w:szCs w:val="24"/>
        </w:rPr>
        <w:t>H</w:t>
      </w:r>
      <w:r w:rsidRPr="00254823">
        <w:rPr>
          <w:rFonts w:ascii="Book Antiqua" w:hAnsi="Book Antiqua" w:cstheme="minorHAnsi"/>
          <w:sz w:val="24"/>
          <w:szCs w:val="24"/>
        </w:rPr>
        <w:t>ealth policymakers</w:t>
      </w:r>
    </w:p>
    <w:p w14:paraId="586DC782" w14:textId="77777777" w:rsidR="00254823" w:rsidRPr="00254823" w:rsidRDefault="00254823" w:rsidP="002548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N</w:t>
      </w:r>
      <w:r w:rsidRPr="00254823">
        <w:rPr>
          <w:rFonts w:ascii="Book Antiqua" w:hAnsi="Book Antiqua" w:cstheme="minorHAnsi"/>
          <w:sz w:val="24"/>
          <w:szCs w:val="24"/>
        </w:rPr>
        <w:t xml:space="preserve">ational </w:t>
      </w:r>
      <w:r>
        <w:rPr>
          <w:rFonts w:ascii="Book Antiqua" w:hAnsi="Book Antiqua" w:cstheme="minorHAnsi"/>
          <w:sz w:val="24"/>
          <w:szCs w:val="24"/>
        </w:rPr>
        <w:t>T</w:t>
      </w:r>
      <w:r w:rsidRPr="00254823">
        <w:rPr>
          <w:rFonts w:ascii="Book Antiqua" w:hAnsi="Book Antiqua" w:cstheme="minorHAnsi"/>
          <w:sz w:val="24"/>
          <w:szCs w:val="24"/>
        </w:rPr>
        <w:t>reasury policymakers</w:t>
      </w:r>
    </w:p>
    <w:p w14:paraId="068BB5CC" w14:textId="77777777" w:rsidR="00254823" w:rsidRPr="00254823" w:rsidRDefault="00254823" w:rsidP="002548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Social Health Investor’ </w:t>
      </w:r>
      <w:r w:rsidRPr="00254823">
        <w:rPr>
          <w:rFonts w:ascii="Book Antiqua" w:hAnsi="Book Antiqua" w:cstheme="minorHAnsi"/>
          <w:sz w:val="24"/>
          <w:szCs w:val="24"/>
        </w:rPr>
        <w:t>financing experts</w:t>
      </w:r>
    </w:p>
    <w:p w14:paraId="38CA1858" w14:textId="77777777" w:rsidR="000A49BE" w:rsidRPr="00E90070" w:rsidRDefault="000A49BE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3C14BB84" w14:textId="77777777" w:rsidR="000A49BE" w:rsidRPr="00E90070" w:rsidRDefault="000A49BE" w:rsidP="000A49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  <w:bookmarkStart w:id="1" w:name="_Hlk190108463"/>
      <w:bookmarkEnd w:id="0"/>
      <w:r w:rsidRPr="00E90070">
        <w:rPr>
          <w:rFonts w:ascii="Book Antiqua" w:hAnsi="Book Antiqua" w:cstheme="minorHAnsi"/>
          <w:b/>
          <w:bCs/>
          <w:sz w:val="24"/>
          <w:szCs w:val="24"/>
        </w:rPr>
        <w:t>GENERAL INFORMATION - DEMOGRAPHIC</w:t>
      </w:r>
      <w:r w:rsidRPr="00E90070" w:rsidDel="003B4ED8">
        <w:rPr>
          <w:rFonts w:ascii="Book Antiqua" w:hAnsi="Book Antiqua" w:cstheme="minorHAnsi"/>
          <w:b/>
          <w:bCs/>
          <w:sz w:val="24"/>
          <w:szCs w:val="24"/>
        </w:rPr>
        <w:t xml:space="preserve"> </w:t>
      </w:r>
    </w:p>
    <w:p w14:paraId="026A7EBD" w14:textId="77777777" w:rsidR="000A49BE" w:rsidRPr="00E90070" w:rsidRDefault="000A49BE" w:rsidP="000A49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tbl>
      <w:tblPr>
        <w:tblW w:w="46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5427"/>
      </w:tblGrid>
      <w:tr w:rsidR="000A49BE" w:rsidRPr="00E90070" w14:paraId="63DA3DB3" w14:textId="77777777" w:rsidTr="000A49BE">
        <w:trPr>
          <w:trHeight w:val="440"/>
          <w:jc w:val="center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CCC96" w14:textId="77777777" w:rsidR="000A49BE" w:rsidRPr="00E90070" w:rsidRDefault="000A49BE" w:rsidP="00FD545A">
            <w:pPr>
              <w:pStyle w:val="NormalWeb"/>
              <w:spacing w:after="0" w:line="240" w:lineRule="auto"/>
              <w:jc w:val="both"/>
              <w:rPr>
                <w:rFonts w:ascii="Book Antiqua" w:hAnsi="Book Antiqua" w:cstheme="minorHAnsi"/>
                <w:b/>
              </w:rPr>
            </w:pPr>
            <w:r w:rsidRPr="00E90070">
              <w:rPr>
                <w:rFonts w:ascii="Book Antiqua" w:eastAsia="Calibri" w:hAnsi="Book Antiqua" w:cstheme="minorHAnsi"/>
                <w:b/>
                <w:bCs/>
              </w:rPr>
              <w:t>Demographic information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916B9E" w14:textId="77777777" w:rsidR="000A49BE" w:rsidRPr="00E90070" w:rsidRDefault="000A49BE" w:rsidP="00FD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theme="minorHAnsi"/>
                <w:b/>
                <w:sz w:val="24"/>
                <w:szCs w:val="24"/>
              </w:rPr>
            </w:pPr>
          </w:p>
        </w:tc>
      </w:tr>
      <w:tr w:rsidR="000A49BE" w:rsidRPr="00E90070" w14:paraId="20FD2EE0" w14:textId="77777777" w:rsidTr="000A49BE">
        <w:trPr>
          <w:trHeight w:val="458"/>
          <w:jc w:val="center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DE9CC" w14:textId="77777777" w:rsidR="000A49BE" w:rsidRPr="00E90070" w:rsidRDefault="000A49BE" w:rsidP="00FD545A">
            <w:pPr>
              <w:pStyle w:val="NoSpacing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>Age (In years)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F14EB" w14:textId="77777777" w:rsidR="000A49BE" w:rsidRPr="00E90070" w:rsidRDefault="000A49BE" w:rsidP="00FD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 xml:space="preserve">25 – 35 [1]       36 – 45 [2]       46 -55 [ 3] </w:t>
            </w:r>
          </w:p>
          <w:p w14:paraId="11526519" w14:textId="77777777" w:rsidR="000A49BE" w:rsidRPr="00E90070" w:rsidRDefault="000A49BE" w:rsidP="00FD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>56 – 65 [4]       Above 65 years [5]</w:t>
            </w:r>
          </w:p>
        </w:tc>
      </w:tr>
      <w:tr w:rsidR="000A49BE" w:rsidRPr="00E90070" w14:paraId="33C6F403" w14:textId="77777777" w:rsidTr="000A49BE">
        <w:trPr>
          <w:trHeight w:val="458"/>
          <w:jc w:val="center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C0318" w14:textId="77777777" w:rsidR="000A49BE" w:rsidRPr="00E90070" w:rsidRDefault="000A49BE" w:rsidP="00FD545A">
            <w:pPr>
              <w:pStyle w:val="NoSpacing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>Gender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0F80A3" w14:textId="77777777" w:rsidR="000A49BE" w:rsidRPr="00E90070" w:rsidRDefault="000A49BE" w:rsidP="00FD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>Male [1]            Female [2]</w:t>
            </w:r>
          </w:p>
        </w:tc>
      </w:tr>
      <w:tr w:rsidR="000A49BE" w:rsidRPr="00E90070" w14:paraId="063E7294" w14:textId="77777777" w:rsidTr="000A49BE">
        <w:trPr>
          <w:trHeight w:val="458"/>
          <w:jc w:val="center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8BE83C" w14:textId="77777777" w:rsidR="000A49BE" w:rsidRPr="00E90070" w:rsidRDefault="000A49BE" w:rsidP="00FD545A">
            <w:pPr>
              <w:pStyle w:val="NoSpacing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>Educational Level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93B22" w14:textId="77777777" w:rsidR="000A49BE" w:rsidRPr="00E90070" w:rsidRDefault="000A49BE" w:rsidP="00FD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>Diploma [1] Undergraduate [2]   Master [3]      PhD [4]</w:t>
            </w:r>
          </w:p>
        </w:tc>
      </w:tr>
      <w:tr w:rsidR="000A49BE" w:rsidRPr="00E90070" w14:paraId="0425827E" w14:textId="77777777" w:rsidTr="000A49BE">
        <w:trPr>
          <w:trHeight w:val="458"/>
          <w:jc w:val="center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E488C" w14:textId="77777777" w:rsidR="000A49BE" w:rsidRPr="00E90070" w:rsidRDefault="000A49BE" w:rsidP="00FD545A">
            <w:pPr>
              <w:pStyle w:val="NoSpacing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>Period of service (In years)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F1DFDA" w14:textId="77777777" w:rsidR="000A49BE" w:rsidRPr="00E90070" w:rsidRDefault="000A49BE" w:rsidP="00FD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>Below 1[1]       1 – 5 [2]        6 – 10 [3]        11 -15 [4] Above 15 [5]</w:t>
            </w:r>
          </w:p>
        </w:tc>
      </w:tr>
      <w:tr w:rsidR="000A49BE" w:rsidRPr="00E90070" w14:paraId="548BBCC5" w14:textId="77777777" w:rsidTr="000A49BE">
        <w:trPr>
          <w:trHeight w:val="458"/>
          <w:jc w:val="center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BDC83" w14:textId="77777777" w:rsidR="000A49BE" w:rsidRPr="00E90070" w:rsidRDefault="000A49BE" w:rsidP="00FD545A">
            <w:pPr>
              <w:pStyle w:val="NoSpacing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E90070">
              <w:rPr>
                <w:rFonts w:ascii="Book Antiqua" w:hAnsi="Book Antiqua" w:cstheme="minorHAnsi"/>
                <w:sz w:val="24"/>
                <w:szCs w:val="24"/>
              </w:rPr>
              <w:t>What's your role in this organization </w:t>
            </w:r>
          </w:p>
        </w:tc>
        <w:tc>
          <w:tcPr>
            <w:tcW w:w="3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76509" w14:textId="77777777" w:rsidR="000A49BE" w:rsidRPr="00E90070" w:rsidRDefault="000A49BE" w:rsidP="00FD5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bookmarkEnd w:id="1"/>
    </w:tbl>
    <w:p w14:paraId="0FD5BBBE" w14:textId="77777777" w:rsidR="000A49BE" w:rsidRDefault="000A49BE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</w:p>
    <w:p w14:paraId="15902A43" w14:textId="77777777" w:rsidR="000A49BE" w:rsidRPr="00254823" w:rsidRDefault="000A49BE" w:rsidP="002548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254823">
        <w:rPr>
          <w:rFonts w:ascii="Book Antiqua" w:hAnsi="Book Antiqua" w:cstheme="minorHAnsi"/>
          <w:b/>
          <w:bCs/>
          <w:sz w:val="24"/>
          <w:szCs w:val="24"/>
        </w:rPr>
        <w:t>INNOVATIVE HEALTHCARE FINANCING MECHANISMS FOR TERTIARY HOSPITALS</w:t>
      </w:r>
    </w:p>
    <w:p w14:paraId="56B215B2" w14:textId="77777777" w:rsidR="000A49BE" w:rsidRPr="00E90070" w:rsidRDefault="000A49BE" w:rsidP="000A49BE">
      <w:pPr>
        <w:spacing w:after="0" w:line="240" w:lineRule="auto"/>
        <w:jc w:val="both"/>
        <w:rPr>
          <w:rFonts w:ascii="Book Antiqua" w:hAnsi="Book Antiqua" w:cstheme="minorHAnsi"/>
          <w:i/>
          <w:iCs/>
        </w:rPr>
      </w:pPr>
      <w:r w:rsidRPr="00E90070">
        <w:rPr>
          <w:rFonts w:ascii="Book Antiqua" w:hAnsi="Book Antiqua" w:cstheme="minorHAnsi"/>
          <w:b/>
          <w:bCs/>
          <w:i/>
          <w:iCs/>
        </w:rPr>
        <w:t>Definition:</w:t>
      </w:r>
      <w:r w:rsidRPr="00E90070">
        <w:rPr>
          <w:rFonts w:ascii="Book Antiqua" w:hAnsi="Book Antiqua" w:cstheme="minorHAnsi"/>
          <w:i/>
          <w:iCs/>
        </w:rPr>
        <w:t> Non-traditional innovative mechanisms of raising financial resources through effective collaboration and public-private partnership with the private sector and other partners in health, such as asset/equipment leasing financing (ALF)</w:t>
      </w:r>
    </w:p>
    <w:p w14:paraId="08F720D7" w14:textId="77777777" w:rsidR="000A49BE" w:rsidRPr="00E90070" w:rsidRDefault="000A49BE" w:rsidP="000A49BE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</w:p>
    <w:p w14:paraId="0BB37D0C" w14:textId="77777777" w:rsidR="000A49BE" w:rsidRPr="000A49BE" w:rsidRDefault="000A49BE" w:rsidP="000A49BE">
      <w:pPr>
        <w:spacing w:after="0" w:line="240" w:lineRule="auto"/>
        <w:jc w:val="both"/>
        <w:rPr>
          <w:rFonts w:ascii="Book Antiqua" w:hAnsi="Book Antiqua" w:cstheme="minorHAnsi"/>
          <w:b/>
          <w:bCs/>
          <w:sz w:val="24"/>
          <w:szCs w:val="24"/>
        </w:rPr>
      </w:pPr>
      <w:r w:rsidRPr="000A49BE">
        <w:rPr>
          <w:rFonts w:ascii="Book Antiqua" w:hAnsi="Book Antiqua" w:cstheme="minorHAnsi"/>
          <w:b/>
          <w:bCs/>
          <w:sz w:val="24"/>
          <w:szCs w:val="24"/>
        </w:rPr>
        <w:t>ASSET/EQUIPMENT LEASE FINANCING MECHANISM</w:t>
      </w:r>
    </w:p>
    <w:p w14:paraId="7FD0FDE3" w14:textId="77777777" w:rsidR="000A49BE" w:rsidRPr="00E90070" w:rsidRDefault="000A49BE" w:rsidP="000A49BE">
      <w:pPr>
        <w:spacing w:after="0" w:line="240" w:lineRule="auto"/>
        <w:jc w:val="both"/>
        <w:rPr>
          <w:rFonts w:ascii="Book Antiqua" w:hAnsi="Book Antiqua" w:cstheme="minorHAnsi"/>
          <w:i/>
          <w:iCs/>
        </w:rPr>
      </w:pPr>
      <w:r w:rsidRPr="00E90070">
        <w:rPr>
          <w:rFonts w:ascii="Book Antiqua" w:hAnsi="Book Antiqua" w:cstheme="minorHAnsi"/>
          <w:b/>
          <w:bCs/>
          <w:i/>
          <w:iCs/>
        </w:rPr>
        <w:t>Definition:</w:t>
      </w:r>
      <w:r w:rsidRPr="00E90070">
        <w:rPr>
          <w:rFonts w:ascii="Book Antiqua" w:hAnsi="Book Antiqua" w:cstheme="minorHAnsi"/>
          <w:i/>
          <w:iCs/>
        </w:rPr>
        <w:t xml:space="preserve"> A medium-term financing mechanism for the procurement of machinery, equipment, vehicles, and/or properties by healthcare institutions. Lessors </w:t>
      </w:r>
      <w:proofErr w:type="spellStart"/>
      <w:r w:rsidRPr="00E90070">
        <w:rPr>
          <w:rFonts w:ascii="Book Antiqua" w:hAnsi="Book Antiqua" w:cstheme="minorHAnsi"/>
          <w:i/>
          <w:iCs/>
        </w:rPr>
        <w:t>e.g</w:t>
      </w:r>
      <w:proofErr w:type="spellEnd"/>
      <w:r w:rsidRPr="00E90070">
        <w:rPr>
          <w:rFonts w:ascii="Book Antiqua" w:hAnsi="Book Antiqua" w:cstheme="minorHAnsi"/>
          <w:i/>
          <w:iCs/>
        </w:rPr>
        <w:t xml:space="preserve"> purchase the equipment, usually as selected by the lessee, providing the equipment for a set period of time to hospitals and payment is affected at agreed terms – usually over time.</w:t>
      </w:r>
    </w:p>
    <w:p w14:paraId="0FA8E714" w14:textId="77777777" w:rsidR="000A49BE" w:rsidRPr="00E90070" w:rsidRDefault="000A49BE" w:rsidP="000A49BE">
      <w:pPr>
        <w:spacing w:after="0" w:line="240" w:lineRule="auto"/>
        <w:jc w:val="both"/>
        <w:rPr>
          <w:rFonts w:ascii="Book Antiqua" w:hAnsi="Book Antiqua" w:cstheme="minorHAnsi"/>
        </w:rPr>
      </w:pPr>
    </w:p>
    <w:p w14:paraId="5DB5963F" w14:textId="77777777" w:rsidR="000A49BE" w:rsidRDefault="000A49BE" w:rsidP="000A49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How do you perceive the </w:t>
      </w:r>
      <w:r w:rsidR="00254823">
        <w:rPr>
          <w:rFonts w:ascii="Book Antiqua" w:hAnsi="Book Antiqua" w:cstheme="minorHAnsi"/>
          <w:sz w:val="24"/>
          <w:szCs w:val="24"/>
        </w:rPr>
        <w:t xml:space="preserve">tertiary hospitals </w:t>
      </w:r>
      <w:r>
        <w:rPr>
          <w:rFonts w:ascii="Book Antiqua" w:hAnsi="Book Antiqua" w:cstheme="minorHAnsi"/>
          <w:sz w:val="24"/>
          <w:szCs w:val="24"/>
        </w:rPr>
        <w:t xml:space="preserve">Asset leasing financing mechanism with </w:t>
      </w:r>
      <w:r w:rsidRPr="000A49BE">
        <w:rPr>
          <w:rFonts w:ascii="Book Antiqua" w:hAnsi="Book Antiqua" w:cstheme="minorHAnsi"/>
          <w:sz w:val="24"/>
          <w:szCs w:val="24"/>
        </w:rPr>
        <w:t>regard</w:t>
      </w:r>
      <w:r w:rsidR="00254823">
        <w:rPr>
          <w:rFonts w:ascii="Book Antiqua" w:hAnsi="Book Antiqua" w:cstheme="minorHAnsi"/>
          <w:sz w:val="24"/>
          <w:szCs w:val="24"/>
        </w:rPr>
        <w:t xml:space="preserve"> to</w:t>
      </w:r>
      <w:r w:rsidRPr="000A49BE">
        <w:rPr>
          <w:rFonts w:ascii="Book Antiqua" w:hAnsi="Book Antiqua" w:cstheme="minorHAnsi"/>
          <w:sz w:val="24"/>
          <w:szCs w:val="24"/>
        </w:rPr>
        <w:t xml:space="preserve"> the Asset lease financing mechanism </w:t>
      </w:r>
      <w:r>
        <w:rPr>
          <w:rFonts w:ascii="Book Antiqua" w:hAnsi="Book Antiqua" w:cstheme="minorHAnsi"/>
          <w:sz w:val="24"/>
          <w:szCs w:val="24"/>
        </w:rPr>
        <w:t xml:space="preserve">with regard to </w:t>
      </w:r>
      <w:r w:rsidRPr="000A49BE">
        <w:rPr>
          <w:rFonts w:ascii="Book Antiqua" w:hAnsi="Book Antiqua" w:cstheme="minorHAnsi"/>
          <w:sz w:val="24"/>
          <w:szCs w:val="24"/>
        </w:rPr>
        <w:t>Lease Premiums</w:t>
      </w:r>
      <w:r>
        <w:rPr>
          <w:rFonts w:ascii="Book Antiqua" w:hAnsi="Book Antiqua" w:cstheme="minorHAnsi"/>
          <w:sz w:val="24"/>
          <w:szCs w:val="24"/>
        </w:rPr>
        <w:t xml:space="preserve">, </w:t>
      </w:r>
      <w:r w:rsidRPr="000A49BE">
        <w:rPr>
          <w:rFonts w:ascii="Book Antiqua" w:hAnsi="Book Antiqua" w:cstheme="minorHAnsi"/>
          <w:sz w:val="24"/>
          <w:szCs w:val="24"/>
        </w:rPr>
        <w:t>Equipment</w:t>
      </w:r>
      <w:r>
        <w:rPr>
          <w:rFonts w:ascii="Book Antiqua" w:hAnsi="Book Antiqua" w:cstheme="minorHAnsi"/>
          <w:sz w:val="24"/>
          <w:szCs w:val="24"/>
        </w:rPr>
        <w:t xml:space="preserve"> (asset)</w:t>
      </w:r>
      <w:r w:rsidRPr="000A49BE">
        <w:rPr>
          <w:rFonts w:ascii="Book Antiqua" w:hAnsi="Book Antiqua" w:cstheme="minorHAnsi"/>
          <w:sz w:val="24"/>
          <w:szCs w:val="24"/>
        </w:rPr>
        <w:t xml:space="preserve"> utilization</w:t>
      </w:r>
      <w:r>
        <w:rPr>
          <w:rFonts w:ascii="Book Antiqua" w:hAnsi="Book Antiqua" w:cstheme="minorHAnsi"/>
          <w:sz w:val="24"/>
          <w:szCs w:val="24"/>
        </w:rPr>
        <w:t xml:space="preserve"> and </w:t>
      </w:r>
      <w:r w:rsidRPr="000A49BE">
        <w:rPr>
          <w:rFonts w:ascii="Book Antiqua" w:hAnsi="Book Antiqua" w:cstheme="minorHAnsi"/>
          <w:sz w:val="24"/>
          <w:szCs w:val="24"/>
        </w:rPr>
        <w:t>Equipment</w:t>
      </w:r>
      <w:r>
        <w:rPr>
          <w:rFonts w:ascii="Book Antiqua" w:hAnsi="Book Antiqua" w:cstheme="minorHAnsi"/>
          <w:sz w:val="24"/>
          <w:szCs w:val="24"/>
        </w:rPr>
        <w:t xml:space="preserve"> (</w:t>
      </w:r>
      <w:r w:rsidRPr="000A49BE">
        <w:rPr>
          <w:rFonts w:ascii="Book Antiqua" w:hAnsi="Book Antiqua" w:cstheme="minorHAnsi"/>
          <w:sz w:val="24"/>
          <w:szCs w:val="24"/>
        </w:rPr>
        <w:t>Asset</w:t>
      </w:r>
      <w:r>
        <w:rPr>
          <w:rFonts w:ascii="Book Antiqua" w:hAnsi="Book Antiqua" w:cstheme="minorHAnsi"/>
          <w:sz w:val="24"/>
          <w:szCs w:val="24"/>
        </w:rPr>
        <w:t>)</w:t>
      </w:r>
      <w:r w:rsidRPr="000A49BE">
        <w:rPr>
          <w:rFonts w:ascii="Book Antiqua" w:hAnsi="Book Antiqua" w:cstheme="minorHAnsi"/>
          <w:sz w:val="24"/>
          <w:szCs w:val="24"/>
        </w:rPr>
        <w:t xml:space="preserve"> Maintenance costs</w:t>
      </w:r>
    </w:p>
    <w:p w14:paraId="1A51E0A1" w14:textId="77777777" w:rsidR="00254823" w:rsidRDefault="00254823" w:rsidP="00254823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254823">
        <w:rPr>
          <w:rFonts w:ascii="Book Antiqua" w:hAnsi="Book Antiqua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34FFD" w14:textId="77777777" w:rsidR="00254823" w:rsidRPr="00254823" w:rsidRDefault="00254823" w:rsidP="00254823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</w:p>
    <w:p w14:paraId="2FC06C09" w14:textId="77777777" w:rsidR="000A49BE" w:rsidRPr="00E90070" w:rsidRDefault="000A49BE" w:rsidP="000A49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E90070">
        <w:rPr>
          <w:rFonts w:ascii="Book Antiqua" w:hAnsi="Book Antiqua" w:cstheme="minorHAnsi"/>
          <w:sz w:val="24"/>
          <w:szCs w:val="24"/>
        </w:rPr>
        <w:t>How do you perceive the impact of leasing financing medical equipment (vs. purchasing) on the overall quality of healthcare provided at Kenya’s tertiary Hospitals?</w:t>
      </w:r>
    </w:p>
    <w:p w14:paraId="03FD67EB" w14:textId="77777777" w:rsidR="000A49BE" w:rsidRDefault="000A49BE" w:rsidP="000A49BE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E90070">
        <w:rPr>
          <w:rFonts w:ascii="Book Antiqua" w:hAnsi="Book Antiqua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86343" w14:textId="77777777" w:rsidR="00254823" w:rsidRPr="00E90070" w:rsidRDefault="00254823" w:rsidP="000A49BE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</w:p>
    <w:p w14:paraId="2A54C05B" w14:textId="77777777" w:rsidR="000A49BE" w:rsidRPr="00E90070" w:rsidRDefault="000A49BE" w:rsidP="000A49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E90070">
        <w:rPr>
          <w:rFonts w:ascii="Book Antiqua" w:hAnsi="Book Antiqua" w:cstheme="minorHAnsi"/>
          <w:sz w:val="24"/>
          <w:szCs w:val="24"/>
        </w:rPr>
        <w:t>What are the challenges associated with leasing financing medical equipment for healthcare services in Kenya's tertiary Hospitals?</w:t>
      </w:r>
    </w:p>
    <w:p w14:paraId="106433AF" w14:textId="77777777" w:rsidR="000A49BE" w:rsidRDefault="000A49BE" w:rsidP="000A49BE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E90070">
        <w:rPr>
          <w:rFonts w:ascii="Book Antiqua" w:hAnsi="Book Antiqua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F8522" w14:textId="77777777" w:rsidR="00254823" w:rsidRPr="00E90070" w:rsidRDefault="00254823" w:rsidP="000A49BE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</w:p>
    <w:p w14:paraId="27434AE9" w14:textId="77777777" w:rsidR="000A49BE" w:rsidRPr="00E90070" w:rsidRDefault="000A49BE" w:rsidP="000A49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E90070">
        <w:rPr>
          <w:rFonts w:ascii="Book Antiqua" w:hAnsi="Book Antiqua" w:cstheme="minorHAnsi"/>
          <w:sz w:val="24"/>
          <w:szCs w:val="24"/>
        </w:rPr>
        <w:t>How would you describe the relationship between the cost of lease premiums and the quality-of-care patients receives in Kenya's tertiary Hospitals?</w:t>
      </w:r>
    </w:p>
    <w:p w14:paraId="5B9D934D" w14:textId="77777777" w:rsidR="000A49BE" w:rsidRDefault="000A49BE" w:rsidP="000A49BE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E90070">
        <w:rPr>
          <w:rFonts w:ascii="Book Antiqua" w:hAnsi="Book Antiqua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D5D3" w14:textId="77777777" w:rsidR="00254823" w:rsidRPr="00E90070" w:rsidRDefault="00254823" w:rsidP="000A49BE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</w:p>
    <w:p w14:paraId="049FEC3A" w14:textId="77777777" w:rsidR="000A49BE" w:rsidRPr="00E90070" w:rsidRDefault="000A49BE" w:rsidP="000A49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E90070">
        <w:rPr>
          <w:rFonts w:ascii="Book Antiqua" w:hAnsi="Book Antiqua" w:cstheme="minorHAnsi"/>
          <w:sz w:val="24"/>
          <w:szCs w:val="24"/>
        </w:rPr>
        <w:t>How can the leasing financing mechanism be improved to better support healthcare providers in delivering high-quality services?</w:t>
      </w:r>
    </w:p>
    <w:p w14:paraId="0636281E" w14:textId="77777777" w:rsidR="000A49BE" w:rsidRPr="00E90070" w:rsidRDefault="000A49BE" w:rsidP="000A49BE">
      <w:pPr>
        <w:spacing w:after="0" w:line="240" w:lineRule="auto"/>
        <w:jc w:val="both"/>
        <w:rPr>
          <w:rFonts w:ascii="Book Antiqua" w:hAnsi="Book Antiqua" w:cstheme="minorHAnsi"/>
          <w:sz w:val="24"/>
          <w:szCs w:val="24"/>
        </w:rPr>
      </w:pPr>
      <w:r w:rsidRPr="00E90070">
        <w:rPr>
          <w:rFonts w:ascii="Book Antiqua" w:hAnsi="Book Antiqua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ADBF78" w14:textId="77777777" w:rsidR="000A49BE" w:rsidRDefault="000A49BE"/>
    <w:sectPr w:rsidR="000A49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DB5A" w14:textId="77777777" w:rsidR="00835C99" w:rsidRDefault="00835C99" w:rsidP="00254823">
      <w:pPr>
        <w:spacing w:after="0" w:line="240" w:lineRule="auto"/>
      </w:pPr>
      <w:r>
        <w:separator/>
      </w:r>
    </w:p>
  </w:endnote>
  <w:endnote w:type="continuationSeparator" w:id="0">
    <w:p w14:paraId="568A03A9" w14:textId="77777777" w:rsidR="00835C99" w:rsidRDefault="00835C99" w:rsidP="0025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2582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0FCC4D" w14:textId="77777777" w:rsidR="00254823" w:rsidRDefault="002548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1D989E" w14:textId="77777777" w:rsidR="00254823" w:rsidRDefault="00254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B261" w14:textId="77777777" w:rsidR="00835C99" w:rsidRDefault="00835C99" w:rsidP="00254823">
      <w:pPr>
        <w:spacing w:after="0" w:line="240" w:lineRule="auto"/>
      </w:pPr>
      <w:r>
        <w:separator/>
      </w:r>
    </w:p>
  </w:footnote>
  <w:footnote w:type="continuationSeparator" w:id="0">
    <w:p w14:paraId="5FB87530" w14:textId="77777777" w:rsidR="00835C99" w:rsidRDefault="00835C99" w:rsidP="00254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369"/>
    <w:multiLevelType w:val="hybridMultilevel"/>
    <w:tmpl w:val="B8D0AB7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0208D"/>
    <w:multiLevelType w:val="hybridMultilevel"/>
    <w:tmpl w:val="3FB2F242"/>
    <w:lvl w:ilvl="0" w:tplc="B9360530">
      <w:start w:val="1"/>
      <w:numFmt w:val="decimal"/>
      <w:lvlText w:val="GI%1"/>
      <w:lvlJc w:val="left"/>
      <w:pPr>
        <w:ind w:left="1080" w:hanging="360"/>
      </w:pPr>
      <w:rPr>
        <w:rFonts w:hint="default"/>
      </w:rPr>
    </w:lvl>
    <w:lvl w:ilvl="1" w:tplc="6BBC6982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4811"/>
    <w:multiLevelType w:val="hybridMultilevel"/>
    <w:tmpl w:val="55447F5A"/>
    <w:lvl w:ilvl="0" w:tplc="38DA80D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0564"/>
    <w:multiLevelType w:val="hybridMultilevel"/>
    <w:tmpl w:val="F52E804E"/>
    <w:lvl w:ilvl="0" w:tplc="BD90F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57679"/>
    <w:multiLevelType w:val="hybridMultilevel"/>
    <w:tmpl w:val="B98CB8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40682"/>
    <w:multiLevelType w:val="hybridMultilevel"/>
    <w:tmpl w:val="7F4E6684"/>
    <w:lvl w:ilvl="0" w:tplc="5FE8B4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C2BED"/>
    <w:multiLevelType w:val="hybridMultilevel"/>
    <w:tmpl w:val="5F5A57C2"/>
    <w:lvl w:ilvl="0" w:tplc="641C24B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1280">
    <w:abstractNumId w:val="2"/>
  </w:num>
  <w:num w:numId="2" w16cid:durableId="1625118150">
    <w:abstractNumId w:val="3"/>
  </w:num>
  <w:num w:numId="3" w16cid:durableId="1668289007">
    <w:abstractNumId w:val="0"/>
  </w:num>
  <w:num w:numId="4" w16cid:durableId="1008212830">
    <w:abstractNumId w:val="1"/>
  </w:num>
  <w:num w:numId="5" w16cid:durableId="734161940">
    <w:abstractNumId w:val="6"/>
  </w:num>
  <w:num w:numId="6" w16cid:durableId="1113089512">
    <w:abstractNumId w:val="5"/>
  </w:num>
  <w:num w:numId="7" w16cid:durableId="199250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BE"/>
    <w:rsid w:val="00066524"/>
    <w:rsid w:val="000A49BE"/>
    <w:rsid w:val="00254823"/>
    <w:rsid w:val="006B502B"/>
    <w:rsid w:val="007017D7"/>
    <w:rsid w:val="007A4B59"/>
    <w:rsid w:val="00835C99"/>
    <w:rsid w:val="00923096"/>
    <w:rsid w:val="00C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7C92"/>
  <w15:chartTrackingRefBased/>
  <w15:docId w15:val="{B4043CA7-DE47-46CE-A8F8-3BB19436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B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9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9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9BE"/>
    <w:rPr>
      <w:i/>
      <w:iCs/>
      <w:color w:val="404040" w:themeColor="text1" w:themeTint="BF"/>
    </w:rPr>
  </w:style>
  <w:style w:type="paragraph" w:styleId="ListParagraph">
    <w:name w:val="List Paragraph"/>
    <w:aliases w:val="Title 2"/>
    <w:basedOn w:val="Normal"/>
    <w:link w:val="ListParagraphChar"/>
    <w:uiPriority w:val="34"/>
    <w:qFormat/>
    <w:rsid w:val="000A4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9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9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9B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Title 2 Char"/>
    <w:link w:val="ListParagraph"/>
    <w:uiPriority w:val="34"/>
    <w:locked/>
    <w:rsid w:val="000A49BE"/>
  </w:style>
  <w:style w:type="paragraph" w:styleId="NormalWeb">
    <w:name w:val="Normal (Web)"/>
    <w:aliases w:val="Justified,Line spacing:  1.5 lines"/>
    <w:basedOn w:val="Normal"/>
    <w:link w:val="NormalWebChar"/>
    <w:uiPriority w:val="99"/>
    <w:unhideWhenUsed/>
    <w:rsid w:val="000A49BE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Justified Char,Line spacing:  1.5 lines Char"/>
    <w:link w:val="NormalWeb"/>
    <w:uiPriority w:val="99"/>
    <w:rsid w:val="000A49BE"/>
    <w:rPr>
      <w:rFonts w:ascii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0A49B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82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82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Ezekiel Karino</dc:creator>
  <cp:keywords/>
  <dc:description/>
  <cp:lastModifiedBy>Ezekiel Karino</cp:lastModifiedBy>
  <cp:revision>5</cp:revision>
  <cp:lastPrinted>2025-06-27T13:02:00Z</cp:lastPrinted>
  <dcterms:created xsi:type="dcterms:W3CDTF">2025-06-27T12:36:00Z</dcterms:created>
  <dcterms:modified xsi:type="dcterms:W3CDTF">2025-06-27T13:02:00Z</dcterms:modified>
</cp:coreProperties>
</file>