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C0C2E" w14:textId="67DD1DF9" w:rsidR="00BE53A9" w:rsidRPr="00E97E4E" w:rsidRDefault="00BB232F">
      <w:pPr>
        <w:rPr>
          <w:rFonts w:ascii="Times New Roman" w:hAnsi="Times New Roman" w:cs="Times New Roman"/>
          <w:lang w:val="en-US"/>
        </w:rPr>
      </w:pPr>
      <w:r w:rsidRPr="00E97E4E">
        <w:rPr>
          <w:rFonts w:ascii="Times New Roman" w:hAnsi="Times New Roman" w:cs="Times New Roman"/>
          <w:lang w:val="en-US"/>
        </w:rPr>
        <w:t xml:space="preserve">Supplementary </w:t>
      </w:r>
    </w:p>
    <w:p w14:paraId="36B321C8" w14:textId="77777777" w:rsidR="00E97E4E" w:rsidRPr="0097216D" w:rsidRDefault="00E97E4E" w:rsidP="00E97E4E">
      <w:pPr>
        <w:spacing w:before="240" w:after="240" w:line="360" w:lineRule="auto"/>
        <w:jc w:val="both"/>
        <w:rPr>
          <w:rFonts w:ascii="Times New Roman" w:eastAsia="Aptos" w:hAnsi="Times New Roman" w:cs="Times New Roman"/>
          <w:lang w:val="en-GB"/>
        </w:rPr>
      </w:pPr>
      <w:r w:rsidRPr="0097216D">
        <w:rPr>
          <w:rFonts w:ascii="Times New Roman" w:eastAsia="Aptos" w:hAnsi="Times New Roman" w:cs="Times New Roman"/>
          <w:b/>
          <w:bCs/>
          <w:i/>
          <w:iCs/>
          <w:lang w:val="en-GB"/>
        </w:rPr>
        <w:t>Table 1. Inclusion and exclusion criteria by site</w:t>
      </w:r>
    </w:p>
    <w:tbl>
      <w:tblPr>
        <w:tblW w:w="9625" w:type="dxa"/>
        <w:tblLook w:val="04A0" w:firstRow="1" w:lastRow="0" w:firstColumn="1" w:lastColumn="0" w:noHBand="0" w:noVBand="1"/>
      </w:tblPr>
      <w:tblGrid>
        <w:gridCol w:w="846"/>
        <w:gridCol w:w="3647"/>
        <w:gridCol w:w="726"/>
        <w:gridCol w:w="4406"/>
      </w:tblGrid>
      <w:tr w:rsidR="00E97E4E" w:rsidRPr="0097216D" w14:paraId="2232F6F9" w14:textId="77777777" w:rsidTr="00EA568D">
        <w:trPr>
          <w:trHeight w:val="304"/>
        </w:trPr>
        <w:tc>
          <w:tcPr>
            <w:tcW w:w="9625" w:type="dxa"/>
            <w:gridSpan w:val="4"/>
            <w:tcBorders>
              <w:top w:val="nil"/>
              <w:left w:val="nil"/>
              <w:bottom w:val="nil"/>
              <w:right w:val="nil"/>
            </w:tcBorders>
            <w:shd w:val="clear" w:color="auto" w:fill="auto"/>
            <w:noWrap/>
            <w:vAlign w:val="bottom"/>
            <w:hideMark/>
          </w:tcPr>
          <w:p w14:paraId="1123B712" w14:textId="77777777" w:rsidR="00E97E4E" w:rsidRPr="0097216D" w:rsidRDefault="00E97E4E" w:rsidP="00EA568D">
            <w:pPr>
              <w:spacing w:after="0" w:line="240" w:lineRule="auto"/>
              <w:contextualSpacing/>
              <w:jc w:val="both"/>
              <w:rPr>
                <w:rFonts w:ascii="Times New Roman" w:eastAsia="Aptos" w:hAnsi="Times New Roman" w:cs="Times New Roman"/>
                <w:b/>
                <w:bCs/>
                <w:lang w:val="en-GB"/>
              </w:rPr>
            </w:pPr>
            <w:r w:rsidRPr="0097216D">
              <w:rPr>
                <w:rFonts w:ascii="Times New Roman" w:eastAsia="Aptos" w:hAnsi="Times New Roman" w:cs="Times New Roman"/>
                <w:b/>
                <w:bCs/>
                <w:lang w:val="en-GB"/>
              </w:rPr>
              <w:t>Site A</w:t>
            </w:r>
          </w:p>
        </w:tc>
      </w:tr>
      <w:tr w:rsidR="00E97E4E" w:rsidRPr="0097216D" w14:paraId="2D9A8C17" w14:textId="77777777" w:rsidTr="00EA568D">
        <w:trPr>
          <w:trHeight w:val="304"/>
        </w:trPr>
        <w:tc>
          <w:tcPr>
            <w:tcW w:w="4493" w:type="dxa"/>
            <w:gridSpan w:val="2"/>
            <w:tcBorders>
              <w:top w:val="nil"/>
              <w:left w:val="nil"/>
              <w:bottom w:val="nil"/>
              <w:right w:val="nil"/>
            </w:tcBorders>
            <w:shd w:val="clear" w:color="auto" w:fill="auto"/>
            <w:noWrap/>
            <w:vAlign w:val="center"/>
            <w:hideMark/>
          </w:tcPr>
          <w:p w14:paraId="1839623C" w14:textId="77777777" w:rsidR="00E97E4E" w:rsidRPr="0097216D" w:rsidRDefault="00E97E4E" w:rsidP="00EA568D">
            <w:pPr>
              <w:spacing w:after="0" w:line="240" w:lineRule="auto"/>
              <w:contextualSpacing/>
              <w:jc w:val="both"/>
              <w:rPr>
                <w:rFonts w:ascii="Times New Roman" w:eastAsia="Aptos" w:hAnsi="Times New Roman" w:cs="Times New Roman"/>
                <w:b/>
                <w:bCs/>
                <w:lang w:val="en-GB"/>
              </w:rPr>
            </w:pPr>
            <w:r w:rsidRPr="0097216D">
              <w:rPr>
                <w:rFonts w:ascii="Times New Roman" w:eastAsia="Aptos" w:hAnsi="Times New Roman" w:cs="Times New Roman"/>
                <w:b/>
                <w:bCs/>
                <w:lang w:val="en-GB"/>
              </w:rPr>
              <w:t xml:space="preserve">Inclusion Criteria </w:t>
            </w:r>
          </w:p>
        </w:tc>
        <w:tc>
          <w:tcPr>
            <w:tcW w:w="5132" w:type="dxa"/>
            <w:gridSpan w:val="2"/>
            <w:tcBorders>
              <w:top w:val="nil"/>
              <w:left w:val="nil"/>
              <w:bottom w:val="nil"/>
              <w:right w:val="nil"/>
            </w:tcBorders>
            <w:shd w:val="clear" w:color="auto" w:fill="auto"/>
            <w:noWrap/>
            <w:vAlign w:val="bottom"/>
            <w:hideMark/>
          </w:tcPr>
          <w:p w14:paraId="6C7A5EFA" w14:textId="77777777" w:rsidR="00E97E4E" w:rsidRPr="0097216D" w:rsidRDefault="00E97E4E" w:rsidP="00EA568D">
            <w:pPr>
              <w:spacing w:after="0" w:line="240" w:lineRule="auto"/>
              <w:contextualSpacing/>
              <w:jc w:val="both"/>
              <w:rPr>
                <w:rFonts w:ascii="Times New Roman" w:eastAsia="Aptos" w:hAnsi="Times New Roman" w:cs="Times New Roman"/>
                <w:b/>
                <w:bCs/>
                <w:lang w:val="en-GB"/>
              </w:rPr>
            </w:pPr>
            <w:r w:rsidRPr="0097216D">
              <w:rPr>
                <w:rFonts w:ascii="Times New Roman" w:eastAsia="Aptos" w:hAnsi="Times New Roman" w:cs="Times New Roman"/>
                <w:b/>
                <w:bCs/>
                <w:lang w:val="en-GB"/>
              </w:rPr>
              <w:t xml:space="preserve">Exclusion Criteria </w:t>
            </w:r>
          </w:p>
        </w:tc>
      </w:tr>
      <w:tr w:rsidR="00E97E4E" w:rsidRPr="0097216D" w14:paraId="7D3D8212" w14:textId="77777777" w:rsidTr="00EA568D">
        <w:trPr>
          <w:trHeight w:val="1217"/>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1CFD1E28"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a)</w:t>
            </w:r>
          </w:p>
        </w:tc>
        <w:tc>
          <w:tcPr>
            <w:tcW w:w="3647" w:type="dxa"/>
            <w:tcBorders>
              <w:top w:val="single" w:sz="4" w:space="0" w:color="auto"/>
              <w:left w:val="nil"/>
              <w:bottom w:val="single" w:sz="4" w:space="0" w:color="auto"/>
              <w:right w:val="single" w:sz="4" w:space="0" w:color="auto"/>
            </w:tcBorders>
            <w:shd w:val="clear" w:color="auto" w:fill="auto"/>
            <w:hideMark/>
          </w:tcPr>
          <w:p w14:paraId="357AA92B"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Histologically or cytologically confirmed malignant advanced solid tumours due to commence ICI therapy</w:t>
            </w:r>
          </w:p>
        </w:tc>
        <w:tc>
          <w:tcPr>
            <w:tcW w:w="726" w:type="dxa"/>
            <w:tcBorders>
              <w:top w:val="single" w:sz="4" w:space="0" w:color="auto"/>
              <w:left w:val="nil"/>
              <w:bottom w:val="single" w:sz="4" w:space="0" w:color="auto"/>
              <w:right w:val="single" w:sz="4" w:space="0" w:color="auto"/>
            </w:tcBorders>
            <w:shd w:val="clear" w:color="auto" w:fill="auto"/>
            <w:noWrap/>
            <w:hideMark/>
          </w:tcPr>
          <w:p w14:paraId="3DB898C9"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g)   </w:t>
            </w:r>
          </w:p>
        </w:tc>
        <w:tc>
          <w:tcPr>
            <w:tcW w:w="4406" w:type="dxa"/>
            <w:tcBorders>
              <w:top w:val="single" w:sz="4" w:space="0" w:color="auto"/>
              <w:left w:val="nil"/>
              <w:bottom w:val="single" w:sz="4" w:space="0" w:color="auto"/>
              <w:right w:val="single" w:sz="4" w:space="0" w:color="auto"/>
            </w:tcBorders>
            <w:shd w:val="clear" w:color="auto" w:fill="auto"/>
            <w:hideMark/>
          </w:tcPr>
          <w:p w14:paraId="6DCA1967"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Prior surgery, radiation, chemotherapy, or other anti-cancer therapy within 4 weeks prior to enrolment in the study. Endocrine/hormonal treatments may be continued.</w:t>
            </w:r>
          </w:p>
        </w:tc>
      </w:tr>
      <w:tr w:rsidR="00E97E4E" w:rsidRPr="0097216D" w14:paraId="6C1EC4F4" w14:textId="77777777" w:rsidTr="00EA568D">
        <w:trPr>
          <w:trHeight w:val="913"/>
        </w:trPr>
        <w:tc>
          <w:tcPr>
            <w:tcW w:w="846" w:type="dxa"/>
            <w:tcBorders>
              <w:top w:val="nil"/>
              <w:left w:val="single" w:sz="4" w:space="0" w:color="auto"/>
              <w:bottom w:val="single" w:sz="4" w:space="0" w:color="auto"/>
              <w:right w:val="single" w:sz="4" w:space="0" w:color="auto"/>
            </w:tcBorders>
            <w:shd w:val="clear" w:color="auto" w:fill="auto"/>
            <w:noWrap/>
            <w:hideMark/>
          </w:tcPr>
          <w:p w14:paraId="3BB3DDE8"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b)</w:t>
            </w:r>
          </w:p>
        </w:tc>
        <w:tc>
          <w:tcPr>
            <w:tcW w:w="3647" w:type="dxa"/>
            <w:tcBorders>
              <w:top w:val="nil"/>
              <w:left w:val="nil"/>
              <w:bottom w:val="single" w:sz="4" w:space="0" w:color="auto"/>
              <w:right w:val="single" w:sz="4" w:space="0" w:color="auto"/>
            </w:tcBorders>
            <w:shd w:val="clear" w:color="auto" w:fill="auto"/>
            <w:hideMark/>
          </w:tcPr>
          <w:p w14:paraId="7E54E060"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Documented tumour progression as defined by clinical, biochemical, or radiological (RECIST) criteria.</w:t>
            </w:r>
          </w:p>
        </w:tc>
        <w:tc>
          <w:tcPr>
            <w:tcW w:w="726" w:type="dxa"/>
            <w:tcBorders>
              <w:top w:val="nil"/>
              <w:left w:val="nil"/>
              <w:bottom w:val="single" w:sz="4" w:space="0" w:color="auto"/>
              <w:right w:val="single" w:sz="4" w:space="0" w:color="auto"/>
            </w:tcBorders>
            <w:shd w:val="clear" w:color="auto" w:fill="auto"/>
            <w:noWrap/>
            <w:hideMark/>
          </w:tcPr>
          <w:p w14:paraId="1930AD93"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h)   </w:t>
            </w:r>
          </w:p>
        </w:tc>
        <w:tc>
          <w:tcPr>
            <w:tcW w:w="4406" w:type="dxa"/>
            <w:tcBorders>
              <w:top w:val="nil"/>
              <w:left w:val="nil"/>
              <w:bottom w:val="single" w:sz="4" w:space="0" w:color="auto"/>
              <w:right w:val="single" w:sz="4" w:space="0" w:color="auto"/>
            </w:tcBorders>
            <w:shd w:val="clear" w:color="auto" w:fill="auto"/>
            <w:hideMark/>
          </w:tcPr>
          <w:p w14:paraId="7B7FAD0D"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All patients who have received prior immunotherapy / ICI must be discussed with the sponsor regarding eligibility to enrol on this translational study</w:t>
            </w:r>
          </w:p>
        </w:tc>
      </w:tr>
      <w:tr w:rsidR="00E97E4E" w:rsidRPr="0097216D" w14:paraId="0D64E5F3" w14:textId="77777777" w:rsidTr="00EA568D">
        <w:trPr>
          <w:trHeight w:val="1826"/>
        </w:trPr>
        <w:tc>
          <w:tcPr>
            <w:tcW w:w="846" w:type="dxa"/>
            <w:tcBorders>
              <w:top w:val="nil"/>
              <w:left w:val="single" w:sz="4" w:space="0" w:color="auto"/>
              <w:bottom w:val="single" w:sz="4" w:space="0" w:color="auto"/>
              <w:right w:val="single" w:sz="4" w:space="0" w:color="auto"/>
            </w:tcBorders>
            <w:shd w:val="clear" w:color="auto" w:fill="auto"/>
            <w:noWrap/>
            <w:hideMark/>
          </w:tcPr>
          <w:p w14:paraId="7376C0F2"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c)</w:t>
            </w:r>
          </w:p>
        </w:tc>
        <w:tc>
          <w:tcPr>
            <w:tcW w:w="3647" w:type="dxa"/>
            <w:tcBorders>
              <w:top w:val="nil"/>
              <w:left w:val="nil"/>
              <w:bottom w:val="single" w:sz="4" w:space="0" w:color="auto"/>
              <w:right w:val="single" w:sz="4" w:space="0" w:color="auto"/>
            </w:tcBorders>
            <w:shd w:val="clear" w:color="auto" w:fill="auto"/>
            <w:hideMark/>
          </w:tcPr>
          <w:p w14:paraId="2DD4EAF1"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Measurable disease (clinical or radiological)</w:t>
            </w:r>
          </w:p>
        </w:tc>
        <w:tc>
          <w:tcPr>
            <w:tcW w:w="726" w:type="dxa"/>
            <w:tcBorders>
              <w:top w:val="nil"/>
              <w:left w:val="nil"/>
              <w:bottom w:val="single" w:sz="4" w:space="0" w:color="auto"/>
              <w:right w:val="single" w:sz="4" w:space="0" w:color="auto"/>
            </w:tcBorders>
            <w:shd w:val="clear" w:color="auto" w:fill="auto"/>
            <w:noWrap/>
            <w:hideMark/>
          </w:tcPr>
          <w:p w14:paraId="5C45F019"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proofErr w:type="spellStart"/>
            <w:r w:rsidRPr="0097216D">
              <w:rPr>
                <w:rFonts w:ascii="Times New Roman" w:eastAsia="Aptos" w:hAnsi="Times New Roman" w:cs="Times New Roman"/>
                <w:lang w:val="en-GB"/>
              </w:rPr>
              <w:t>i</w:t>
            </w:r>
            <w:proofErr w:type="spellEnd"/>
            <w:r w:rsidRPr="0097216D">
              <w:rPr>
                <w:rFonts w:ascii="Times New Roman" w:eastAsia="Aptos" w:hAnsi="Times New Roman" w:cs="Times New Roman"/>
                <w:lang w:val="en-GB"/>
              </w:rPr>
              <w:t xml:space="preserve">)   </w:t>
            </w:r>
          </w:p>
        </w:tc>
        <w:tc>
          <w:tcPr>
            <w:tcW w:w="4406" w:type="dxa"/>
            <w:tcBorders>
              <w:top w:val="nil"/>
              <w:left w:val="nil"/>
              <w:bottom w:val="single" w:sz="4" w:space="0" w:color="auto"/>
              <w:right w:val="single" w:sz="4" w:space="0" w:color="auto"/>
            </w:tcBorders>
            <w:shd w:val="clear" w:color="auto" w:fill="auto"/>
            <w:hideMark/>
          </w:tcPr>
          <w:p w14:paraId="0218D30A"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Diagnosis of immunodeficiency or receiving systemic steroid therapy or any other form of immunosuppressive therapy within 7 days before enrolling in the research study. The use of physiologic doses of corticosteroids may be approved after consultation with the chief investigator.</w:t>
            </w:r>
          </w:p>
        </w:tc>
      </w:tr>
      <w:tr w:rsidR="00E97E4E" w:rsidRPr="0097216D" w14:paraId="2F1CBE2D" w14:textId="77777777" w:rsidTr="00EA568D">
        <w:trPr>
          <w:trHeight w:val="1826"/>
        </w:trPr>
        <w:tc>
          <w:tcPr>
            <w:tcW w:w="846" w:type="dxa"/>
            <w:tcBorders>
              <w:top w:val="nil"/>
              <w:left w:val="single" w:sz="4" w:space="0" w:color="auto"/>
              <w:bottom w:val="single" w:sz="4" w:space="0" w:color="auto"/>
              <w:right w:val="single" w:sz="4" w:space="0" w:color="auto"/>
            </w:tcBorders>
            <w:shd w:val="clear" w:color="auto" w:fill="auto"/>
            <w:noWrap/>
            <w:hideMark/>
          </w:tcPr>
          <w:p w14:paraId="72D66169"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d)</w:t>
            </w:r>
          </w:p>
        </w:tc>
        <w:tc>
          <w:tcPr>
            <w:tcW w:w="3647" w:type="dxa"/>
            <w:tcBorders>
              <w:top w:val="nil"/>
              <w:left w:val="nil"/>
              <w:bottom w:val="single" w:sz="4" w:space="0" w:color="auto"/>
              <w:right w:val="single" w:sz="4" w:space="0" w:color="auto"/>
            </w:tcBorders>
            <w:shd w:val="clear" w:color="auto" w:fill="auto"/>
            <w:hideMark/>
          </w:tcPr>
          <w:p w14:paraId="2563EA97"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Life expectancy greater than 3 months</w:t>
            </w:r>
          </w:p>
        </w:tc>
        <w:tc>
          <w:tcPr>
            <w:tcW w:w="726" w:type="dxa"/>
            <w:tcBorders>
              <w:top w:val="nil"/>
              <w:left w:val="nil"/>
              <w:bottom w:val="single" w:sz="4" w:space="0" w:color="auto"/>
              <w:right w:val="single" w:sz="4" w:space="0" w:color="auto"/>
            </w:tcBorders>
            <w:shd w:val="clear" w:color="auto" w:fill="auto"/>
            <w:noWrap/>
            <w:hideMark/>
          </w:tcPr>
          <w:p w14:paraId="052B56A3"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j)   </w:t>
            </w:r>
          </w:p>
        </w:tc>
        <w:tc>
          <w:tcPr>
            <w:tcW w:w="4406" w:type="dxa"/>
            <w:tcBorders>
              <w:top w:val="nil"/>
              <w:left w:val="nil"/>
              <w:bottom w:val="single" w:sz="4" w:space="0" w:color="auto"/>
              <w:right w:val="single" w:sz="4" w:space="0" w:color="auto"/>
            </w:tcBorders>
            <w:shd w:val="clear" w:color="auto" w:fill="auto"/>
            <w:hideMark/>
          </w:tcPr>
          <w:p w14:paraId="6AA74C08"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No known history of human immunodeficiency virus (HIV) (known HIV1 / 2 antibodies positive), no known active hepatitis B (defined as known positive HBsAg) or hepatitis C (defined as known positive Hep C Ab and known quantitative HCV RNA results &gt; lower limits of detection of assay)</w:t>
            </w:r>
          </w:p>
        </w:tc>
      </w:tr>
      <w:tr w:rsidR="00E97E4E" w:rsidRPr="0097216D" w14:paraId="08279AF7" w14:textId="77777777" w:rsidTr="00EA568D">
        <w:trPr>
          <w:trHeight w:val="2435"/>
        </w:trPr>
        <w:tc>
          <w:tcPr>
            <w:tcW w:w="846" w:type="dxa"/>
            <w:tcBorders>
              <w:top w:val="nil"/>
              <w:left w:val="single" w:sz="4" w:space="0" w:color="auto"/>
              <w:bottom w:val="single" w:sz="4" w:space="0" w:color="auto"/>
              <w:right w:val="single" w:sz="4" w:space="0" w:color="auto"/>
            </w:tcBorders>
            <w:shd w:val="clear" w:color="auto" w:fill="auto"/>
            <w:noWrap/>
            <w:hideMark/>
          </w:tcPr>
          <w:p w14:paraId="7CB89411"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e)</w:t>
            </w:r>
          </w:p>
        </w:tc>
        <w:tc>
          <w:tcPr>
            <w:tcW w:w="3647" w:type="dxa"/>
            <w:tcBorders>
              <w:top w:val="nil"/>
              <w:left w:val="nil"/>
              <w:bottom w:val="single" w:sz="4" w:space="0" w:color="auto"/>
              <w:right w:val="single" w:sz="4" w:space="0" w:color="auto"/>
            </w:tcBorders>
            <w:shd w:val="clear" w:color="auto" w:fill="auto"/>
            <w:hideMark/>
          </w:tcPr>
          <w:p w14:paraId="50155A91"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Age ≥18 years</w:t>
            </w:r>
          </w:p>
        </w:tc>
        <w:tc>
          <w:tcPr>
            <w:tcW w:w="726" w:type="dxa"/>
            <w:tcBorders>
              <w:top w:val="nil"/>
              <w:left w:val="nil"/>
              <w:bottom w:val="single" w:sz="4" w:space="0" w:color="auto"/>
              <w:right w:val="single" w:sz="4" w:space="0" w:color="auto"/>
            </w:tcBorders>
            <w:shd w:val="clear" w:color="auto" w:fill="auto"/>
            <w:noWrap/>
            <w:hideMark/>
          </w:tcPr>
          <w:p w14:paraId="5E405965"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k)   </w:t>
            </w:r>
          </w:p>
        </w:tc>
        <w:tc>
          <w:tcPr>
            <w:tcW w:w="4406" w:type="dxa"/>
            <w:tcBorders>
              <w:top w:val="nil"/>
              <w:left w:val="nil"/>
              <w:bottom w:val="single" w:sz="4" w:space="0" w:color="auto"/>
              <w:right w:val="single" w:sz="4" w:space="0" w:color="auto"/>
            </w:tcBorders>
            <w:shd w:val="clear" w:color="auto" w:fill="auto"/>
            <w:hideMark/>
          </w:tcPr>
          <w:p w14:paraId="65B26708"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Active autoimmune disease that has required systemic immunosuppressive treatment in the past 2 years (i.e. with the use of disease modifying agents, corticosteroids or other immunosuppressive drugs). Replacement therapy (e.g. thyroxine, insulin, or physiologic corticosteroid replacement therapy for adrenal or pituitary insufficiency, etc.) is not considered a form of systemic treatment.</w:t>
            </w:r>
          </w:p>
        </w:tc>
      </w:tr>
      <w:tr w:rsidR="00E97E4E" w:rsidRPr="0097216D" w14:paraId="22AD54C0" w14:textId="77777777" w:rsidTr="00EA568D">
        <w:trPr>
          <w:trHeight w:val="304"/>
        </w:trPr>
        <w:tc>
          <w:tcPr>
            <w:tcW w:w="846" w:type="dxa"/>
            <w:tcBorders>
              <w:top w:val="nil"/>
              <w:left w:val="single" w:sz="4" w:space="0" w:color="auto"/>
              <w:bottom w:val="single" w:sz="4" w:space="0" w:color="auto"/>
              <w:right w:val="single" w:sz="4" w:space="0" w:color="auto"/>
            </w:tcBorders>
            <w:shd w:val="clear" w:color="auto" w:fill="auto"/>
            <w:noWrap/>
            <w:hideMark/>
          </w:tcPr>
          <w:p w14:paraId="7270AF46"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f)</w:t>
            </w:r>
          </w:p>
        </w:tc>
        <w:tc>
          <w:tcPr>
            <w:tcW w:w="3647" w:type="dxa"/>
            <w:tcBorders>
              <w:top w:val="nil"/>
              <w:left w:val="nil"/>
              <w:bottom w:val="nil"/>
              <w:right w:val="single" w:sz="4" w:space="0" w:color="auto"/>
            </w:tcBorders>
            <w:shd w:val="clear" w:color="auto" w:fill="auto"/>
            <w:hideMark/>
          </w:tcPr>
          <w:p w14:paraId="6800FD73"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Signed informed consent</w:t>
            </w:r>
          </w:p>
        </w:tc>
        <w:tc>
          <w:tcPr>
            <w:tcW w:w="726" w:type="dxa"/>
            <w:tcBorders>
              <w:top w:val="nil"/>
              <w:left w:val="nil"/>
              <w:bottom w:val="single" w:sz="4" w:space="0" w:color="auto"/>
              <w:right w:val="single" w:sz="4" w:space="0" w:color="auto"/>
            </w:tcBorders>
            <w:shd w:val="clear" w:color="auto" w:fill="auto"/>
            <w:noWrap/>
            <w:hideMark/>
          </w:tcPr>
          <w:p w14:paraId="090809B6"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l)    </w:t>
            </w:r>
          </w:p>
        </w:tc>
        <w:tc>
          <w:tcPr>
            <w:tcW w:w="4406" w:type="dxa"/>
            <w:tcBorders>
              <w:top w:val="nil"/>
              <w:left w:val="nil"/>
              <w:bottom w:val="single" w:sz="4" w:space="0" w:color="auto"/>
              <w:right w:val="single" w:sz="4" w:space="0" w:color="auto"/>
            </w:tcBorders>
            <w:shd w:val="clear" w:color="auto" w:fill="auto"/>
            <w:hideMark/>
          </w:tcPr>
          <w:p w14:paraId="146931EF"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Active infection requiring systemic therapy</w:t>
            </w:r>
          </w:p>
        </w:tc>
      </w:tr>
      <w:tr w:rsidR="00E97E4E" w:rsidRPr="0097216D" w14:paraId="7F8414BE" w14:textId="77777777" w:rsidTr="00EA568D">
        <w:trPr>
          <w:trHeight w:val="304"/>
        </w:trPr>
        <w:tc>
          <w:tcPr>
            <w:tcW w:w="846" w:type="dxa"/>
            <w:tcBorders>
              <w:top w:val="nil"/>
              <w:left w:val="single" w:sz="4" w:space="0" w:color="auto"/>
              <w:bottom w:val="single" w:sz="4" w:space="0" w:color="auto"/>
              <w:right w:val="single" w:sz="4" w:space="0" w:color="auto"/>
            </w:tcBorders>
            <w:shd w:val="clear" w:color="auto" w:fill="auto"/>
            <w:noWrap/>
            <w:hideMark/>
          </w:tcPr>
          <w:p w14:paraId="6E9902B1"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c>
          <w:tcPr>
            <w:tcW w:w="3647" w:type="dxa"/>
            <w:tcBorders>
              <w:top w:val="nil"/>
              <w:left w:val="nil"/>
              <w:bottom w:val="single" w:sz="4" w:space="0" w:color="auto"/>
              <w:right w:val="single" w:sz="4" w:space="0" w:color="auto"/>
            </w:tcBorders>
            <w:shd w:val="clear" w:color="auto" w:fill="auto"/>
            <w:noWrap/>
            <w:hideMark/>
          </w:tcPr>
          <w:p w14:paraId="7F09424C"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c>
          <w:tcPr>
            <w:tcW w:w="726" w:type="dxa"/>
            <w:tcBorders>
              <w:top w:val="nil"/>
              <w:left w:val="nil"/>
              <w:bottom w:val="single" w:sz="4" w:space="0" w:color="auto"/>
              <w:right w:val="single" w:sz="4" w:space="0" w:color="auto"/>
            </w:tcBorders>
            <w:shd w:val="clear" w:color="auto" w:fill="auto"/>
            <w:noWrap/>
            <w:hideMark/>
          </w:tcPr>
          <w:p w14:paraId="21416382"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m)  </w:t>
            </w:r>
          </w:p>
        </w:tc>
        <w:tc>
          <w:tcPr>
            <w:tcW w:w="4406" w:type="dxa"/>
            <w:tcBorders>
              <w:top w:val="nil"/>
              <w:left w:val="nil"/>
              <w:bottom w:val="single" w:sz="4" w:space="0" w:color="auto"/>
              <w:right w:val="single" w:sz="4" w:space="0" w:color="auto"/>
            </w:tcBorders>
            <w:shd w:val="clear" w:color="auto" w:fill="auto"/>
            <w:hideMark/>
          </w:tcPr>
          <w:p w14:paraId="64933C7B"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No previous allogeneic tissue / solid organ transplant</w:t>
            </w:r>
          </w:p>
        </w:tc>
      </w:tr>
      <w:tr w:rsidR="00E97E4E" w:rsidRPr="0097216D" w14:paraId="3F4875FB" w14:textId="77777777" w:rsidTr="00EA568D">
        <w:trPr>
          <w:trHeight w:val="289"/>
        </w:trPr>
        <w:tc>
          <w:tcPr>
            <w:tcW w:w="846" w:type="dxa"/>
            <w:tcBorders>
              <w:top w:val="nil"/>
              <w:left w:val="nil"/>
              <w:bottom w:val="nil"/>
              <w:right w:val="nil"/>
            </w:tcBorders>
            <w:shd w:val="clear" w:color="auto" w:fill="auto"/>
            <w:noWrap/>
            <w:vAlign w:val="bottom"/>
            <w:hideMark/>
          </w:tcPr>
          <w:p w14:paraId="091CC9F8"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p>
        </w:tc>
        <w:tc>
          <w:tcPr>
            <w:tcW w:w="3647" w:type="dxa"/>
            <w:tcBorders>
              <w:top w:val="nil"/>
              <w:left w:val="nil"/>
              <w:bottom w:val="nil"/>
              <w:right w:val="nil"/>
            </w:tcBorders>
            <w:shd w:val="clear" w:color="auto" w:fill="auto"/>
            <w:noWrap/>
            <w:vAlign w:val="bottom"/>
            <w:hideMark/>
          </w:tcPr>
          <w:p w14:paraId="307CD5D5"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p>
        </w:tc>
        <w:tc>
          <w:tcPr>
            <w:tcW w:w="726" w:type="dxa"/>
            <w:tcBorders>
              <w:top w:val="nil"/>
              <w:left w:val="nil"/>
              <w:bottom w:val="nil"/>
              <w:right w:val="nil"/>
            </w:tcBorders>
            <w:shd w:val="clear" w:color="auto" w:fill="auto"/>
            <w:noWrap/>
            <w:vAlign w:val="bottom"/>
            <w:hideMark/>
          </w:tcPr>
          <w:p w14:paraId="402422B2"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p>
        </w:tc>
        <w:tc>
          <w:tcPr>
            <w:tcW w:w="4406" w:type="dxa"/>
            <w:tcBorders>
              <w:top w:val="nil"/>
              <w:left w:val="nil"/>
              <w:bottom w:val="nil"/>
              <w:right w:val="nil"/>
            </w:tcBorders>
            <w:shd w:val="clear" w:color="auto" w:fill="auto"/>
            <w:noWrap/>
            <w:vAlign w:val="bottom"/>
            <w:hideMark/>
          </w:tcPr>
          <w:p w14:paraId="4553EA18"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p>
        </w:tc>
      </w:tr>
      <w:tr w:rsidR="00E97E4E" w:rsidRPr="0097216D" w14:paraId="74B08012" w14:textId="77777777" w:rsidTr="00EA568D">
        <w:trPr>
          <w:trHeight w:val="304"/>
        </w:trPr>
        <w:tc>
          <w:tcPr>
            <w:tcW w:w="9625" w:type="dxa"/>
            <w:gridSpan w:val="4"/>
            <w:tcBorders>
              <w:top w:val="nil"/>
              <w:left w:val="nil"/>
              <w:bottom w:val="nil"/>
              <w:right w:val="nil"/>
            </w:tcBorders>
            <w:shd w:val="clear" w:color="auto" w:fill="auto"/>
            <w:noWrap/>
            <w:vAlign w:val="bottom"/>
            <w:hideMark/>
          </w:tcPr>
          <w:p w14:paraId="59E3012A" w14:textId="77777777" w:rsidR="00E97E4E" w:rsidRPr="0097216D" w:rsidRDefault="00E97E4E" w:rsidP="00EA568D">
            <w:pPr>
              <w:spacing w:after="0" w:line="240" w:lineRule="auto"/>
              <w:contextualSpacing/>
              <w:jc w:val="both"/>
              <w:rPr>
                <w:rFonts w:ascii="Times New Roman" w:eastAsia="Aptos" w:hAnsi="Times New Roman" w:cs="Times New Roman"/>
                <w:b/>
                <w:bCs/>
                <w:lang w:val="en-GB"/>
              </w:rPr>
            </w:pPr>
            <w:r w:rsidRPr="0097216D">
              <w:rPr>
                <w:rFonts w:ascii="Times New Roman" w:eastAsia="Aptos" w:hAnsi="Times New Roman" w:cs="Times New Roman"/>
                <w:b/>
                <w:bCs/>
                <w:lang w:val="en-GB"/>
              </w:rPr>
              <w:t>Site B</w:t>
            </w:r>
          </w:p>
        </w:tc>
      </w:tr>
      <w:tr w:rsidR="00E97E4E" w:rsidRPr="0097216D" w14:paraId="10D4B87D" w14:textId="77777777" w:rsidTr="00EA568D">
        <w:trPr>
          <w:trHeight w:val="304"/>
        </w:trPr>
        <w:tc>
          <w:tcPr>
            <w:tcW w:w="4493" w:type="dxa"/>
            <w:gridSpan w:val="2"/>
            <w:tcBorders>
              <w:top w:val="nil"/>
              <w:left w:val="nil"/>
              <w:bottom w:val="nil"/>
              <w:right w:val="nil"/>
            </w:tcBorders>
            <w:shd w:val="clear" w:color="auto" w:fill="auto"/>
            <w:noWrap/>
            <w:vAlign w:val="center"/>
            <w:hideMark/>
          </w:tcPr>
          <w:p w14:paraId="322E2E3F" w14:textId="77777777" w:rsidR="00E97E4E" w:rsidRPr="0097216D" w:rsidRDefault="00E97E4E" w:rsidP="00EA568D">
            <w:pPr>
              <w:spacing w:after="0" w:line="240" w:lineRule="auto"/>
              <w:contextualSpacing/>
              <w:jc w:val="both"/>
              <w:rPr>
                <w:rFonts w:ascii="Times New Roman" w:eastAsia="Aptos" w:hAnsi="Times New Roman" w:cs="Times New Roman"/>
                <w:b/>
                <w:bCs/>
                <w:lang w:val="en-GB"/>
              </w:rPr>
            </w:pPr>
            <w:r w:rsidRPr="0097216D">
              <w:rPr>
                <w:rFonts w:ascii="Times New Roman" w:eastAsia="Aptos" w:hAnsi="Times New Roman" w:cs="Times New Roman"/>
                <w:b/>
                <w:bCs/>
                <w:lang w:val="en-GB"/>
              </w:rPr>
              <w:t xml:space="preserve">Inclusion Criteria </w:t>
            </w:r>
          </w:p>
        </w:tc>
        <w:tc>
          <w:tcPr>
            <w:tcW w:w="5132" w:type="dxa"/>
            <w:gridSpan w:val="2"/>
            <w:tcBorders>
              <w:top w:val="nil"/>
              <w:left w:val="nil"/>
              <w:bottom w:val="nil"/>
              <w:right w:val="nil"/>
            </w:tcBorders>
            <w:shd w:val="clear" w:color="auto" w:fill="auto"/>
            <w:noWrap/>
            <w:vAlign w:val="bottom"/>
            <w:hideMark/>
          </w:tcPr>
          <w:p w14:paraId="30B0FC88" w14:textId="77777777" w:rsidR="00E97E4E" w:rsidRPr="0097216D" w:rsidRDefault="00E97E4E" w:rsidP="00EA568D">
            <w:pPr>
              <w:spacing w:after="0" w:line="240" w:lineRule="auto"/>
              <w:contextualSpacing/>
              <w:jc w:val="both"/>
              <w:rPr>
                <w:rFonts w:ascii="Times New Roman" w:eastAsia="Aptos" w:hAnsi="Times New Roman" w:cs="Times New Roman"/>
                <w:b/>
                <w:bCs/>
                <w:lang w:val="en-GB"/>
              </w:rPr>
            </w:pPr>
            <w:r w:rsidRPr="0097216D">
              <w:rPr>
                <w:rFonts w:ascii="Times New Roman" w:eastAsia="Aptos" w:hAnsi="Times New Roman" w:cs="Times New Roman"/>
                <w:b/>
                <w:bCs/>
                <w:lang w:val="en-GB"/>
              </w:rPr>
              <w:t xml:space="preserve">Exclusion Criteria </w:t>
            </w:r>
          </w:p>
        </w:tc>
      </w:tr>
      <w:tr w:rsidR="00E97E4E" w:rsidRPr="0097216D" w14:paraId="69CB31C2" w14:textId="77777777" w:rsidTr="00EA568D">
        <w:trPr>
          <w:trHeight w:val="1739"/>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64709"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lastRenderedPageBreak/>
              <w:t>a)</w:t>
            </w:r>
          </w:p>
        </w:tc>
        <w:tc>
          <w:tcPr>
            <w:tcW w:w="3647" w:type="dxa"/>
            <w:tcBorders>
              <w:top w:val="single" w:sz="4" w:space="0" w:color="auto"/>
              <w:left w:val="nil"/>
              <w:bottom w:val="single" w:sz="4" w:space="0" w:color="auto"/>
              <w:right w:val="single" w:sz="4" w:space="0" w:color="auto"/>
            </w:tcBorders>
            <w:shd w:val="clear" w:color="auto" w:fill="auto"/>
            <w:vAlign w:val="bottom"/>
            <w:hideMark/>
          </w:tcPr>
          <w:p w14:paraId="2AD003E1"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Patients due to commence neoadjuvant chemotherapy or chemoradiation for documented histologically confirmed early-stage locally advanced breast cancer or early-stage locally advanced GI cancers diagnoses. Including: </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09319FE4"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h)   </w:t>
            </w:r>
          </w:p>
        </w:tc>
        <w:tc>
          <w:tcPr>
            <w:tcW w:w="4406" w:type="dxa"/>
            <w:tcBorders>
              <w:top w:val="single" w:sz="4" w:space="0" w:color="auto"/>
              <w:left w:val="nil"/>
              <w:bottom w:val="single" w:sz="4" w:space="0" w:color="auto"/>
              <w:right w:val="single" w:sz="4" w:space="0" w:color="auto"/>
            </w:tcBorders>
            <w:shd w:val="clear" w:color="auto" w:fill="auto"/>
            <w:hideMark/>
          </w:tcPr>
          <w:p w14:paraId="4FCF9670"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Previous diagnosis of cancer that was treated with chemotherapy, radiation therapy, chemoradiation combination therapy or immunotherapy before or any other anticancer treatment. </w:t>
            </w:r>
          </w:p>
        </w:tc>
      </w:tr>
      <w:tr w:rsidR="00E97E4E" w:rsidRPr="0097216D" w14:paraId="68EE5277" w14:textId="77777777" w:rsidTr="00EA568D">
        <w:trPr>
          <w:trHeight w:val="115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340CEF9"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b)</w:t>
            </w:r>
          </w:p>
        </w:tc>
        <w:tc>
          <w:tcPr>
            <w:tcW w:w="3647" w:type="dxa"/>
            <w:tcBorders>
              <w:top w:val="nil"/>
              <w:left w:val="nil"/>
              <w:bottom w:val="single" w:sz="4" w:space="0" w:color="auto"/>
              <w:right w:val="single" w:sz="4" w:space="0" w:color="auto"/>
            </w:tcBorders>
            <w:shd w:val="clear" w:color="auto" w:fill="auto"/>
            <w:vAlign w:val="bottom"/>
            <w:hideMark/>
          </w:tcPr>
          <w:p w14:paraId="5850E4B9"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Breast Cancer – all HER-2 positive, ER and PR positive subtypes and TNBC treated with neoadjuvant treatment, including monoclonal antibodies</w:t>
            </w:r>
          </w:p>
        </w:tc>
        <w:tc>
          <w:tcPr>
            <w:tcW w:w="726" w:type="dxa"/>
            <w:tcBorders>
              <w:top w:val="nil"/>
              <w:left w:val="nil"/>
              <w:bottom w:val="single" w:sz="4" w:space="0" w:color="auto"/>
              <w:right w:val="single" w:sz="4" w:space="0" w:color="auto"/>
            </w:tcBorders>
            <w:shd w:val="clear" w:color="auto" w:fill="auto"/>
            <w:noWrap/>
            <w:vAlign w:val="bottom"/>
            <w:hideMark/>
          </w:tcPr>
          <w:p w14:paraId="326364E0"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proofErr w:type="spellStart"/>
            <w:r w:rsidRPr="0097216D">
              <w:rPr>
                <w:rFonts w:ascii="Times New Roman" w:eastAsia="Aptos" w:hAnsi="Times New Roman" w:cs="Times New Roman"/>
                <w:lang w:val="en-GB"/>
              </w:rPr>
              <w:t>i</w:t>
            </w:r>
            <w:proofErr w:type="spellEnd"/>
            <w:r w:rsidRPr="0097216D">
              <w:rPr>
                <w:rFonts w:ascii="Times New Roman" w:eastAsia="Aptos" w:hAnsi="Times New Roman" w:cs="Times New Roman"/>
                <w:lang w:val="en-GB"/>
              </w:rPr>
              <w:t xml:space="preserve">)   </w:t>
            </w:r>
          </w:p>
        </w:tc>
        <w:tc>
          <w:tcPr>
            <w:tcW w:w="4406" w:type="dxa"/>
            <w:tcBorders>
              <w:top w:val="nil"/>
              <w:left w:val="nil"/>
              <w:bottom w:val="single" w:sz="4" w:space="0" w:color="auto"/>
              <w:right w:val="single" w:sz="4" w:space="0" w:color="auto"/>
            </w:tcBorders>
            <w:shd w:val="clear" w:color="auto" w:fill="auto"/>
            <w:hideMark/>
          </w:tcPr>
          <w:p w14:paraId="2A21ACC9"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Active infection requiring systemic antibiotic therapy </w:t>
            </w:r>
          </w:p>
        </w:tc>
      </w:tr>
      <w:tr w:rsidR="00E97E4E" w:rsidRPr="0097216D" w14:paraId="1A1DBE9F" w14:textId="77777777" w:rsidTr="00EA568D">
        <w:trPr>
          <w:trHeight w:val="57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DE88F5"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c)</w:t>
            </w:r>
          </w:p>
        </w:tc>
        <w:tc>
          <w:tcPr>
            <w:tcW w:w="3647" w:type="dxa"/>
            <w:tcBorders>
              <w:top w:val="nil"/>
              <w:left w:val="nil"/>
              <w:bottom w:val="single" w:sz="4" w:space="0" w:color="auto"/>
              <w:right w:val="single" w:sz="4" w:space="0" w:color="auto"/>
            </w:tcBorders>
            <w:shd w:val="clear" w:color="auto" w:fill="auto"/>
            <w:vAlign w:val="bottom"/>
            <w:hideMark/>
          </w:tcPr>
          <w:p w14:paraId="0938DDCC"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Rectal Cancer treated with neoadjuvant therapy</w:t>
            </w:r>
          </w:p>
        </w:tc>
        <w:tc>
          <w:tcPr>
            <w:tcW w:w="726" w:type="dxa"/>
            <w:tcBorders>
              <w:top w:val="nil"/>
              <w:left w:val="nil"/>
              <w:bottom w:val="single" w:sz="4" w:space="0" w:color="auto"/>
              <w:right w:val="single" w:sz="4" w:space="0" w:color="auto"/>
            </w:tcBorders>
            <w:shd w:val="clear" w:color="auto" w:fill="auto"/>
            <w:noWrap/>
            <w:vAlign w:val="bottom"/>
            <w:hideMark/>
          </w:tcPr>
          <w:p w14:paraId="65A196D3"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j)   </w:t>
            </w:r>
          </w:p>
        </w:tc>
        <w:tc>
          <w:tcPr>
            <w:tcW w:w="4406" w:type="dxa"/>
            <w:tcBorders>
              <w:top w:val="nil"/>
              <w:left w:val="nil"/>
              <w:bottom w:val="single" w:sz="4" w:space="0" w:color="auto"/>
              <w:right w:val="single" w:sz="4" w:space="0" w:color="auto"/>
            </w:tcBorders>
            <w:shd w:val="clear" w:color="auto" w:fill="auto"/>
            <w:hideMark/>
          </w:tcPr>
          <w:p w14:paraId="032413F1"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Previous allogenic tissue/solid organ transplant</w:t>
            </w:r>
          </w:p>
        </w:tc>
      </w:tr>
      <w:tr w:rsidR="00E97E4E" w:rsidRPr="0097216D" w14:paraId="14E41DCD" w14:textId="77777777" w:rsidTr="00EA568D">
        <w:trPr>
          <w:trHeight w:val="86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26AAD7"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d)</w:t>
            </w:r>
          </w:p>
        </w:tc>
        <w:tc>
          <w:tcPr>
            <w:tcW w:w="3647" w:type="dxa"/>
            <w:tcBorders>
              <w:top w:val="nil"/>
              <w:left w:val="nil"/>
              <w:bottom w:val="single" w:sz="4" w:space="0" w:color="auto"/>
              <w:right w:val="single" w:sz="4" w:space="0" w:color="auto"/>
            </w:tcBorders>
            <w:shd w:val="clear" w:color="auto" w:fill="auto"/>
            <w:vAlign w:val="bottom"/>
            <w:hideMark/>
          </w:tcPr>
          <w:p w14:paraId="2074B2C1"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Oesophageal Cancer treated with a neoadjuvant approach including gastro-oesophageal junctional carcinoma </w:t>
            </w:r>
          </w:p>
        </w:tc>
        <w:tc>
          <w:tcPr>
            <w:tcW w:w="726" w:type="dxa"/>
            <w:tcBorders>
              <w:top w:val="nil"/>
              <w:left w:val="nil"/>
              <w:bottom w:val="nil"/>
              <w:right w:val="single" w:sz="4" w:space="0" w:color="auto"/>
            </w:tcBorders>
            <w:shd w:val="clear" w:color="auto" w:fill="auto"/>
            <w:noWrap/>
            <w:vAlign w:val="bottom"/>
            <w:hideMark/>
          </w:tcPr>
          <w:p w14:paraId="37FA55E1"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c>
          <w:tcPr>
            <w:tcW w:w="4406" w:type="dxa"/>
            <w:tcBorders>
              <w:top w:val="nil"/>
              <w:left w:val="nil"/>
              <w:bottom w:val="nil"/>
              <w:right w:val="single" w:sz="4" w:space="0" w:color="auto"/>
            </w:tcBorders>
            <w:shd w:val="clear" w:color="auto" w:fill="auto"/>
            <w:noWrap/>
            <w:vAlign w:val="bottom"/>
            <w:hideMark/>
          </w:tcPr>
          <w:p w14:paraId="19BD7953"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r>
      <w:tr w:rsidR="00E97E4E" w:rsidRPr="0097216D" w14:paraId="589B0699" w14:textId="77777777" w:rsidTr="00EA568D">
        <w:trPr>
          <w:trHeight w:val="30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E58013D"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e)</w:t>
            </w:r>
          </w:p>
        </w:tc>
        <w:tc>
          <w:tcPr>
            <w:tcW w:w="3647" w:type="dxa"/>
            <w:tcBorders>
              <w:top w:val="nil"/>
              <w:left w:val="nil"/>
              <w:bottom w:val="single" w:sz="4" w:space="0" w:color="auto"/>
              <w:right w:val="single" w:sz="4" w:space="0" w:color="auto"/>
            </w:tcBorders>
            <w:shd w:val="clear" w:color="auto" w:fill="auto"/>
            <w:vAlign w:val="bottom"/>
            <w:hideMark/>
          </w:tcPr>
          <w:p w14:paraId="61344ABD"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ECOG Performance Status 0-2 </w:t>
            </w:r>
          </w:p>
        </w:tc>
        <w:tc>
          <w:tcPr>
            <w:tcW w:w="726" w:type="dxa"/>
            <w:tcBorders>
              <w:top w:val="nil"/>
              <w:left w:val="nil"/>
              <w:bottom w:val="nil"/>
              <w:right w:val="single" w:sz="4" w:space="0" w:color="auto"/>
            </w:tcBorders>
            <w:shd w:val="clear" w:color="auto" w:fill="auto"/>
            <w:noWrap/>
            <w:vAlign w:val="bottom"/>
            <w:hideMark/>
          </w:tcPr>
          <w:p w14:paraId="2E241CBD"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c>
          <w:tcPr>
            <w:tcW w:w="4406" w:type="dxa"/>
            <w:tcBorders>
              <w:top w:val="nil"/>
              <w:left w:val="nil"/>
              <w:bottom w:val="nil"/>
              <w:right w:val="single" w:sz="4" w:space="0" w:color="auto"/>
            </w:tcBorders>
            <w:shd w:val="clear" w:color="auto" w:fill="auto"/>
            <w:noWrap/>
            <w:vAlign w:val="bottom"/>
            <w:hideMark/>
          </w:tcPr>
          <w:p w14:paraId="3A6F3D9A"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r>
      <w:tr w:rsidR="00E97E4E" w:rsidRPr="0097216D" w14:paraId="3901354C" w14:textId="77777777" w:rsidTr="00EA568D">
        <w:trPr>
          <w:trHeight w:val="304"/>
        </w:trPr>
        <w:tc>
          <w:tcPr>
            <w:tcW w:w="846" w:type="dxa"/>
            <w:tcBorders>
              <w:top w:val="nil"/>
              <w:left w:val="single" w:sz="4" w:space="0" w:color="auto"/>
              <w:bottom w:val="nil"/>
              <w:right w:val="single" w:sz="4" w:space="0" w:color="auto"/>
            </w:tcBorders>
            <w:shd w:val="clear" w:color="auto" w:fill="auto"/>
            <w:noWrap/>
            <w:vAlign w:val="center"/>
            <w:hideMark/>
          </w:tcPr>
          <w:p w14:paraId="4E590AA0"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f)</w:t>
            </w:r>
          </w:p>
        </w:tc>
        <w:tc>
          <w:tcPr>
            <w:tcW w:w="3647" w:type="dxa"/>
            <w:tcBorders>
              <w:top w:val="nil"/>
              <w:left w:val="nil"/>
              <w:bottom w:val="single" w:sz="4" w:space="0" w:color="auto"/>
              <w:right w:val="single" w:sz="4" w:space="0" w:color="auto"/>
            </w:tcBorders>
            <w:shd w:val="clear" w:color="auto" w:fill="auto"/>
            <w:vAlign w:val="bottom"/>
            <w:hideMark/>
          </w:tcPr>
          <w:p w14:paraId="48F97D4F"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Age≥ 18 years old </w:t>
            </w:r>
          </w:p>
        </w:tc>
        <w:tc>
          <w:tcPr>
            <w:tcW w:w="726" w:type="dxa"/>
            <w:tcBorders>
              <w:top w:val="nil"/>
              <w:left w:val="nil"/>
              <w:bottom w:val="nil"/>
              <w:right w:val="single" w:sz="4" w:space="0" w:color="auto"/>
            </w:tcBorders>
            <w:shd w:val="clear" w:color="auto" w:fill="auto"/>
            <w:noWrap/>
            <w:vAlign w:val="bottom"/>
            <w:hideMark/>
          </w:tcPr>
          <w:p w14:paraId="264909BB"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c>
          <w:tcPr>
            <w:tcW w:w="4406" w:type="dxa"/>
            <w:tcBorders>
              <w:top w:val="nil"/>
              <w:left w:val="nil"/>
              <w:bottom w:val="nil"/>
              <w:right w:val="single" w:sz="4" w:space="0" w:color="auto"/>
            </w:tcBorders>
            <w:shd w:val="clear" w:color="auto" w:fill="auto"/>
            <w:noWrap/>
            <w:vAlign w:val="bottom"/>
            <w:hideMark/>
          </w:tcPr>
          <w:p w14:paraId="5B071017"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r>
      <w:tr w:rsidR="00E97E4E" w:rsidRPr="0097216D" w14:paraId="0DE554F4" w14:textId="77777777" w:rsidTr="00EA568D">
        <w:trPr>
          <w:trHeight w:val="869"/>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67082"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g)</w:t>
            </w:r>
          </w:p>
        </w:tc>
        <w:tc>
          <w:tcPr>
            <w:tcW w:w="3647" w:type="dxa"/>
            <w:tcBorders>
              <w:top w:val="nil"/>
              <w:left w:val="nil"/>
              <w:bottom w:val="single" w:sz="4" w:space="0" w:color="auto"/>
              <w:right w:val="single" w:sz="4" w:space="0" w:color="auto"/>
            </w:tcBorders>
            <w:shd w:val="clear" w:color="auto" w:fill="auto"/>
            <w:vAlign w:val="bottom"/>
            <w:hideMark/>
          </w:tcPr>
          <w:p w14:paraId="3AF72B81"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Willingness and consent to comply with study protocol with signed informed consent obtained</w:t>
            </w:r>
          </w:p>
        </w:tc>
        <w:tc>
          <w:tcPr>
            <w:tcW w:w="726" w:type="dxa"/>
            <w:tcBorders>
              <w:top w:val="nil"/>
              <w:left w:val="nil"/>
              <w:bottom w:val="single" w:sz="4" w:space="0" w:color="auto"/>
              <w:right w:val="single" w:sz="4" w:space="0" w:color="auto"/>
            </w:tcBorders>
            <w:shd w:val="clear" w:color="auto" w:fill="auto"/>
            <w:noWrap/>
            <w:vAlign w:val="bottom"/>
            <w:hideMark/>
          </w:tcPr>
          <w:p w14:paraId="374CCC81"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c>
          <w:tcPr>
            <w:tcW w:w="4406" w:type="dxa"/>
            <w:tcBorders>
              <w:top w:val="nil"/>
              <w:left w:val="nil"/>
              <w:bottom w:val="single" w:sz="4" w:space="0" w:color="auto"/>
              <w:right w:val="single" w:sz="4" w:space="0" w:color="auto"/>
            </w:tcBorders>
            <w:shd w:val="clear" w:color="auto" w:fill="auto"/>
            <w:noWrap/>
            <w:vAlign w:val="bottom"/>
            <w:hideMark/>
          </w:tcPr>
          <w:p w14:paraId="184E4622" w14:textId="77777777" w:rsidR="00E97E4E" w:rsidRPr="0097216D" w:rsidRDefault="00E97E4E" w:rsidP="00EA568D">
            <w:pPr>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r>
    </w:tbl>
    <w:p w14:paraId="31F8DCDF" w14:textId="77777777" w:rsidR="00E97E4E" w:rsidRPr="0097216D" w:rsidRDefault="00E97E4E" w:rsidP="00E97E4E">
      <w:pPr>
        <w:spacing w:before="240" w:after="240" w:line="360" w:lineRule="auto"/>
        <w:jc w:val="both"/>
        <w:rPr>
          <w:rFonts w:ascii="Times New Roman" w:eastAsia="Aptos" w:hAnsi="Times New Roman" w:cs="Times New Roman"/>
          <w:lang w:val="en-GB"/>
        </w:rPr>
      </w:pPr>
      <w:r w:rsidRPr="0097216D">
        <w:rPr>
          <w:rFonts w:ascii="Times New Roman" w:eastAsia="Aptos" w:hAnsi="Times New Roman" w:cs="Times New Roman"/>
          <w:lang w:val="en-GB"/>
        </w:rPr>
        <w:br w:type="page"/>
      </w:r>
    </w:p>
    <w:tbl>
      <w:tblPr>
        <w:tblW w:w="9625" w:type="dxa"/>
        <w:tblLook w:val="04A0" w:firstRow="1" w:lastRow="0" w:firstColumn="1" w:lastColumn="0" w:noHBand="0" w:noVBand="1"/>
      </w:tblPr>
      <w:tblGrid>
        <w:gridCol w:w="846"/>
        <w:gridCol w:w="3647"/>
        <w:gridCol w:w="726"/>
        <w:gridCol w:w="4406"/>
      </w:tblGrid>
      <w:tr w:rsidR="00E97E4E" w:rsidRPr="0097216D" w14:paraId="747A6624" w14:textId="77777777" w:rsidTr="00EA568D">
        <w:trPr>
          <w:trHeight w:val="304"/>
        </w:trPr>
        <w:tc>
          <w:tcPr>
            <w:tcW w:w="9625" w:type="dxa"/>
            <w:gridSpan w:val="4"/>
            <w:tcBorders>
              <w:top w:val="nil"/>
              <w:left w:val="nil"/>
              <w:bottom w:val="nil"/>
              <w:right w:val="nil"/>
            </w:tcBorders>
            <w:shd w:val="clear" w:color="auto" w:fill="auto"/>
            <w:noWrap/>
            <w:vAlign w:val="bottom"/>
            <w:hideMark/>
          </w:tcPr>
          <w:p w14:paraId="333E34C0" w14:textId="77777777" w:rsidR="00E97E4E" w:rsidRPr="0097216D" w:rsidRDefault="00E97E4E" w:rsidP="00EA568D">
            <w:pPr>
              <w:snapToGrid w:val="0"/>
              <w:spacing w:after="0" w:line="240" w:lineRule="auto"/>
              <w:contextualSpacing/>
              <w:jc w:val="both"/>
              <w:rPr>
                <w:rFonts w:ascii="Times New Roman" w:eastAsia="Aptos" w:hAnsi="Times New Roman" w:cs="Times New Roman"/>
                <w:b/>
                <w:bCs/>
                <w:lang w:val="en-GB"/>
              </w:rPr>
            </w:pPr>
            <w:r w:rsidRPr="0097216D">
              <w:rPr>
                <w:rFonts w:ascii="Times New Roman" w:eastAsia="Aptos" w:hAnsi="Times New Roman" w:cs="Times New Roman"/>
                <w:b/>
                <w:bCs/>
                <w:lang w:val="en-GB"/>
              </w:rPr>
              <w:lastRenderedPageBreak/>
              <w:t>Site C</w:t>
            </w:r>
          </w:p>
        </w:tc>
      </w:tr>
      <w:tr w:rsidR="00E97E4E" w:rsidRPr="0097216D" w14:paraId="4CB085BB" w14:textId="77777777" w:rsidTr="00EA568D">
        <w:trPr>
          <w:trHeight w:val="304"/>
        </w:trPr>
        <w:tc>
          <w:tcPr>
            <w:tcW w:w="4493" w:type="dxa"/>
            <w:gridSpan w:val="2"/>
            <w:tcBorders>
              <w:top w:val="nil"/>
              <w:left w:val="nil"/>
              <w:bottom w:val="nil"/>
              <w:right w:val="nil"/>
            </w:tcBorders>
            <w:shd w:val="clear" w:color="auto" w:fill="auto"/>
            <w:noWrap/>
            <w:vAlign w:val="center"/>
            <w:hideMark/>
          </w:tcPr>
          <w:p w14:paraId="16AD5C5B" w14:textId="77777777" w:rsidR="00E97E4E" w:rsidRPr="0097216D" w:rsidRDefault="00E97E4E" w:rsidP="00EA568D">
            <w:pPr>
              <w:snapToGrid w:val="0"/>
              <w:spacing w:after="0" w:line="240" w:lineRule="auto"/>
              <w:contextualSpacing/>
              <w:jc w:val="both"/>
              <w:rPr>
                <w:rFonts w:ascii="Times New Roman" w:eastAsia="Aptos" w:hAnsi="Times New Roman" w:cs="Times New Roman"/>
                <w:b/>
                <w:bCs/>
                <w:lang w:val="en-GB"/>
              </w:rPr>
            </w:pPr>
            <w:r w:rsidRPr="0097216D">
              <w:rPr>
                <w:rFonts w:ascii="Times New Roman" w:eastAsia="Aptos" w:hAnsi="Times New Roman" w:cs="Times New Roman"/>
                <w:b/>
                <w:bCs/>
                <w:lang w:val="en-GB"/>
              </w:rPr>
              <w:t xml:space="preserve">Inclusion Criteria </w:t>
            </w:r>
          </w:p>
        </w:tc>
        <w:tc>
          <w:tcPr>
            <w:tcW w:w="5132" w:type="dxa"/>
            <w:gridSpan w:val="2"/>
            <w:tcBorders>
              <w:top w:val="nil"/>
              <w:left w:val="nil"/>
              <w:bottom w:val="nil"/>
              <w:right w:val="nil"/>
            </w:tcBorders>
            <w:shd w:val="clear" w:color="auto" w:fill="auto"/>
            <w:noWrap/>
            <w:vAlign w:val="bottom"/>
            <w:hideMark/>
          </w:tcPr>
          <w:p w14:paraId="13BCCA7B" w14:textId="77777777" w:rsidR="00E97E4E" w:rsidRPr="0097216D" w:rsidRDefault="00E97E4E" w:rsidP="00EA568D">
            <w:pPr>
              <w:snapToGrid w:val="0"/>
              <w:spacing w:after="0" w:line="240" w:lineRule="auto"/>
              <w:contextualSpacing/>
              <w:jc w:val="both"/>
              <w:rPr>
                <w:rFonts w:ascii="Times New Roman" w:eastAsia="Aptos" w:hAnsi="Times New Roman" w:cs="Times New Roman"/>
                <w:b/>
                <w:bCs/>
                <w:lang w:val="en-GB"/>
              </w:rPr>
            </w:pPr>
            <w:r w:rsidRPr="0097216D">
              <w:rPr>
                <w:rFonts w:ascii="Times New Roman" w:eastAsia="Aptos" w:hAnsi="Times New Roman" w:cs="Times New Roman"/>
                <w:b/>
                <w:bCs/>
                <w:lang w:val="en-GB"/>
              </w:rPr>
              <w:t xml:space="preserve">Exclusion Criteria </w:t>
            </w:r>
          </w:p>
        </w:tc>
      </w:tr>
      <w:tr w:rsidR="00E97E4E" w:rsidRPr="0097216D" w14:paraId="2B15E800" w14:textId="77777777" w:rsidTr="00EA568D">
        <w:trPr>
          <w:trHeight w:val="304"/>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747DA"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a)</w:t>
            </w:r>
          </w:p>
        </w:tc>
        <w:tc>
          <w:tcPr>
            <w:tcW w:w="3647" w:type="dxa"/>
            <w:tcBorders>
              <w:top w:val="single" w:sz="4" w:space="0" w:color="auto"/>
              <w:left w:val="nil"/>
              <w:bottom w:val="single" w:sz="4" w:space="0" w:color="auto"/>
              <w:right w:val="single" w:sz="4" w:space="0" w:color="auto"/>
            </w:tcBorders>
            <w:shd w:val="clear" w:color="auto" w:fill="auto"/>
            <w:vAlign w:val="bottom"/>
            <w:hideMark/>
          </w:tcPr>
          <w:p w14:paraId="515C45C5"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Able to give written informed consent</w:t>
            </w:r>
          </w:p>
        </w:tc>
        <w:tc>
          <w:tcPr>
            <w:tcW w:w="726" w:type="dxa"/>
            <w:tcBorders>
              <w:top w:val="single" w:sz="4" w:space="0" w:color="auto"/>
              <w:left w:val="nil"/>
              <w:bottom w:val="single" w:sz="4" w:space="0" w:color="auto"/>
              <w:right w:val="single" w:sz="4" w:space="0" w:color="auto"/>
            </w:tcBorders>
            <w:shd w:val="clear" w:color="auto" w:fill="auto"/>
            <w:noWrap/>
            <w:hideMark/>
          </w:tcPr>
          <w:p w14:paraId="5BED6CA8"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f)   </w:t>
            </w:r>
          </w:p>
        </w:tc>
        <w:tc>
          <w:tcPr>
            <w:tcW w:w="4406" w:type="dxa"/>
            <w:tcBorders>
              <w:top w:val="single" w:sz="4" w:space="0" w:color="auto"/>
              <w:left w:val="nil"/>
              <w:bottom w:val="single" w:sz="4" w:space="0" w:color="auto"/>
              <w:right w:val="single" w:sz="4" w:space="0" w:color="auto"/>
            </w:tcBorders>
            <w:shd w:val="clear" w:color="auto" w:fill="auto"/>
            <w:hideMark/>
          </w:tcPr>
          <w:p w14:paraId="3E6E5DEB"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Less than 18 years of age</w:t>
            </w:r>
          </w:p>
        </w:tc>
      </w:tr>
      <w:tr w:rsidR="00E97E4E" w:rsidRPr="0097216D" w14:paraId="60800FF3" w14:textId="77777777" w:rsidTr="00EA568D">
        <w:trPr>
          <w:trHeight w:val="913"/>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72037F"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b)</w:t>
            </w:r>
          </w:p>
        </w:tc>
        <w:tc>
          <w:tcPr>
            <w:tcW w:w="3647" w:type="dxa"/>
            <w:tcBorders>
              <w:top w:val="nil"/>
              <w:left w:val="nil"/>
              <w:bottom w:val="single" w:sz="4" w:space="0" w:color="auto"/>
              <w:right w:val="single" w:sz="4" w:space="0" w:color="auto"/>
            </w:tcBorders>
            <w:shd w:val="clear" w:color="auto" w:fill="auto"/>
            <w:vAlign w:val="bottom"/>
            <w:hideMark/>
          </w:tcPr>
          <w:p w14:paraId="6AFCDB27"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Be over 18 years of age.</w:t>
            </w:r>
          </w:p>
        </w:tc>
        <w:tc>
          <w:tcPr>
            <w:tcW w:w="726" w:type="dxa"/>
            <w:tcBorders>
              <w:top w:val="nil"/>
              <w:left w:val="nil"/>
              <w:bottom w:val="single" w:sz="4" w:space="0" w:color="auto"/>
              <w:right w:val="single" w:sz="4" w:space="0" w:color="auto"/>
            </w:tcBorders>
            <w:shd w:val="clear" w:color="auto" w:fill="auto"/>
            <w:noWrap/>
            <w:hideMark/>
          </w:tcPr>
          <w:p w14:paraId="017053F8"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g)   </w:t>
            </w:r>
          </w:p>
        </w:tc>
        <w:tc>
          <w:tcPr>
            <w:tcW w:w="4406" w:type="dxa"/>
            <w:tcBorders>
              <w:top w:val="nil"/>
              <w:left w:val="nil"/>
              <w:bottom w:val="single" w:sz="4" w:space="0" w:color="auto"/>
              <w:right w:val="single" w:sz="4" w:space="0" w:color="auto"/>
            </w:tcBorders>
            <w:shd w:val="clear" w:color="auto" w:fill="auto"/>
            <w:hideMark/>
          </w:tcPr>
          <w:p w14:paraId="4D5211C2"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Patients who, in the opinion of the clinician, would not be able to comply with the study requirements or who would be distressed by being invited to participate </w:t>
            </w:r>
          </w:p>
        </w:tc>
      </w:tr>
      <w:tr w:rsidR="00E97E4E" w:rsidRPr="0097216D" w14:paraId="28CAED25" w14:textId="77777777" w:rsidTr="00EA568D">
        <w:trPr>
          <w:trHeight w:val="30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F0C5BB"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c)</w:t>
            </w:r>
          </w:p>
        </w:tc>
        <w:tc>
          <w:tcPr>
            <w:tcW w:w="3647" w:type="dxa"/>
            <w:tcBorders>
              <w:top w:val="nil"/>
              <w:left w:val="nil"/>
              <w:bottom w:val="single" w:sz="4" w:space="0" w:color="auto"/>
              <w:right w:val="single" w:sz="4" w:space="0" w:color="auto"/>
            </w:tcBorders>
            <w:shd w:val="clear" w:color="auto" w:fill="auto"/>
            <w:vAlign w:val="bottom"/>
            <w:hideMark/>
          </w:tcPr>
          <w:p w14:paraId="4EDE525A"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Life expectancy greater than 3 months</w:t>
            </w:r>
          </w:p>
        </w:tc>
        <w:tc>
          <w:tcPr>
            <w:tcW w:w="726" w:type="dxa"/>
            <w:tcBorders>
              <w:top w:val="nil"/>
              <w:left w:val="nil"/>
              <w:bottom w:val="single" w:sz="4" w:space="0" w:color="auto"/>
              <w:right w:val="single" w:sz="4" w:space="0" w:color="auto"/>
            </w:tcBorders>
            <w:shd w:val="clear" w:color="auto" w:fill="auto"/>
            <w:noWrap/>
            <w:hideMark/>
          </w:tcPr>
          <w:p w14:paraId="420A221C"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xml:space="preserve">h)   </w:t>
            </w:r>
          </w:p>
        </w:tc>
        <w:tc>
          <w:tcPr>
            <w:tcW w:w="4406" w:type="dxa"/>
            <w:tcBorders>
              <w:top w:val="nil"/>
              <w:left w:val="nil"/>
              <w:bottom w:val="single" w:sz="4" w:space="0" w:color="auto"/>
              <w:right w:val="single" w:sz="4" w:space="0" w:color="auto"/>
            </w:tcBorders>
            <w:shd w:val="clear" w:color="auto" w:fill="auto"/>
            <w:hideMark/>
          </w:tcPr>
          <w:p w14:paraId="19CB56BA"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Previous ICI treatment</w:t>
            </w:r>
          </w:p>
        </w:tc>
      </w:tr>
      <w:tr w:rsidR="00E97E4E" w:rsidRPr="0097216D" w14:paraId="42984F08" w14:textId="77777777" w:rsidTr="00EA568D">
        <w:trPr>
          <w:trHeight w:val="115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F87A8A"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d)</w:t>
            </w:r>
          </w:p>
        </w:tc>
        <w:tc>
          <w:tcPr>
            <w:tcW w:w="3647" w:type="dxa"/>
            <w:tcBorders>
              <w:top w:val="nil"/>
              <w:left w:val="nil"/>
              <w:bottom w:val="single" w:sz="4" w:space="0" w:color="auto"/>
              <w:right w:val="single" w:sz="4" w:space="0" w:color="auto"/>
            </w:tcBorders>
            <w:shd w:val="clear" w:color="auto" w:fill="auto"/>
            <w:vAlign w:val="bottom"/>
            <w:hideMark/>
          </w:tcPr>
          <w:p w14:paraId="5681A84B"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Scheduled to receive any line of palliative ICI alone or in combination with Tyrosine Kinase Inhibitors (TKI) and/or cytotoxic chemotherapy</w:t>
            </w:r>
          </w:p>
        </w:tc>
        <w:tc>
          <w:tcPr>
            <w:tcW w:w="726" w:type="dxa"/>
            <w:tcBorders>
              <w:top w:val="nil"/>
              <w:left w:val="nil"/>
              <w:bottom w:val="nil"/>
              <w:right w:val="single" w:sz="4" w:space="0" w:color="auto"/>
            </w:tcBorders>
            <w:shd w:val="clear" w:color="auto" w:fill="auto"/>
            <w:noWrap/>
            <w:hideMark/>
          </w:tcPr>
          <w:p w14:paraId="47222CDF"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proofErr w:type="spellStart"/>
            <w:r w:rsidRPr="0097216D">
              <w:rPr>
                <w:rFonts w:ascii="Times New Roman" w:eastAsia="Aptos" w:hAnsi="Times New Roman" w:cs="Times New Roman"/>
                <w:lang w:val="en-GB"/>
              </w:rPr>
              <w:t>i</w:t>
            </w:r>
            <w:proofErr w:type="spellEnd"/>
            <w:r w:rsidRPr="0097216D">
              <w:rPr>
                <w:rFonts w:ascii="Times New Roman" w:eastAsia="Aptos" w:hAnsi="Times New Roman" w:cs="Times New Roman"/>
                <w:lang w:val="en-GB"/>
              </w:rPr>
              <w:t xml:space="preserve">)   </w:t>
            </w:r>
          </w:p>
        </w:tc>
        <w:tc>
          <w:tcPr>
            <w:tcW w:w="4406" w:type="dxa"/>
            <w:tcBorders>
              <w:top w:val="nil"/>
              <w:left w:val="nil"/>
              <w:bottom w:val="nil"/>
              <w:right w:val="single" w:sz="4" w:space="0" w:color="auto"/>
            </w:tcBorders>
            <w:shd w:val="clear" w:color="auto" w:fill="auto"/>
            <w:hideMark/>
          </w:tcPr>
          <w:p w14:paraId="052048DF"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Patients on clinical ICI trials (academic or commercial) are excluded unless the trial sponsor gives written permission</w:t>
            </w:r>
          </w:p>
        </w:tc>
      </w:tr>
      <w:tr w:rsidR="00E97E4E" w:rsidRPr="0097216D" w14:paraId="3B98CE10" w14:textId="77777777" w:rsidTr="00EA568D">
        <w:trPr>
          <w:trHeight w:val="86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1CAC56"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e)</w:t>
            </w:r>
          </w:p>
        </w:tc>
        <w:tc>
          <w:tcPr>
            <w:tcW w:w="3647" w:type="dxa"/>
            <w:tcBorders>
              <w:top w:val="nil"/>
              <w:left w:val="nil"/>
              <w:bottom w:val="single" w:sz="4" w:space="0" w:color="auto"/>
              <w:right w:val="nil"/>
            </w:tcBorders>
            <w:shd w:val="clear" w:color="auto" w:fill="auto"/>
            <w:vAlign w:val="bottom"/>
            <w:hideMark/>
          </w:tcPr>
          <w:p w14:paraId="2F0C558E"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Able to provide stool samples at home and post to the CR@UCC laboratory</w:t>
            </w:r>
          </w:p>
        </w:tc>
        <w:tc>
          <w:tcPr>
            <w:tcW w:w="726" w:type="dxa"/>
            <w:tcBorders>
              <w:top w:val="nil"/>
              <w:left w:val="single" w:sz="4" w:space="0" w:color="auto"/>
              <w:bottom w:val="single" w:sz="4" w:space="0" w:color="auto"/>
              <w:right w:val="single" w:sz="4" w:space="0" w:color="auto"/>
            </w:tcBorders>
            <w:shd w:val="clear" w:color="auto" w:fill="auto"/>
            <w:noWrap/>
            <w:vAlign w:val="bottom"/>
            <w:hideMark/>
          </w:tcPr>
          <w:p w14:paraId="073AFB29"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c>
          <w:tcPr>
            <w:tcW w:w="4406" w:type="dxa"/>
            <w:tcBorders>
              <w:top w:val="nil"/>
              <w:left w:val="nil"/>
              <w:bottom w:val="single" w:sz="4" w:space="0" w:color="auto"/>
              <w:right w:val="single" w:sz="4" w:space="0" w:color="auto"/>
            </w:tcBorders>
            <w:shd w:val="clear" w:color="auto" w:fill="auto"/>
            <w:noWrap/>
            <w:vAlign w:val="bottom"/>
            <w:hideMark/>
          </w:tcPr>
          <w:p w14:paraId="7CC20DD0" w14:textId="77777777" w:rsidR="00E97E4E" w:rsidRPr="0097216D" w:rsidRDefault="00E97E4E" w:rsidP="00EA568D">
            <w:pPr>
              <w:snapToGrid w:val="0"/>
              <w:spacing w:after="0" w:line="240" w:lineRule="auto"/>
              <w:contextualSpacing/>
              <w:jc w:val="both"/>
              <w:rPr>
                <w:rFonts w:ascii="Times New Roman" w:eastAsia="Aptos" w:hAnsi="Times New Roman" w:cs="Times New Roman"/>
                <w:lang w:val="en-GB"/>
              </w:rPr>
            </w:pPr>
            <w:r w:rsidRPr="0097216D">
              <w:rPr>
                <w:rFonts w:ascii="Times New Roman" w:eastAsia="Aptos" w:hAnsi="Times New Roman" w:cs="Times New Roman"/>
                <w:lang w:val="en-GB"/>
              </w:rPr>
              <w:t> </w:t>
            </w:r>
          </w:p>
        </w:tc>
      </w:tr>
    </w:tbl>
    <w:p w14:paraId="295AB405" w14:textId="77777777" w:rsidR="00E97E4E" w:rsidRDefault="00E97E4E">
      <w:pPr>
        <w:rPr>
          <w:lang w:val="en-US"/>
        </w:rPr>
      </w:pPr>
    </w:p>
    <w:p w14:paraId="22A21271" w14:textId="77777777" w:rsidR="00534C49" w:rsidRDefault="00534C49">
      <w:pPr>
        <w:rPr>
          <w:lang w:val="en-US"/>
        </w:rPr>
      </w:pPr>
    </w:p>
    <w:p w14:paraId="13D4B650" w14:textId="61A5BC10" w:rsidR="00534C49" w:rsidRDefault="00DA1BCF">
      <w:pPr>
        <w:rPr>
          <w:lang w:val="en-US"/>
        </w:rPr>
      </w:pPr>
      <w:r>
        <w:rPr>
          <w:noProof/>
          <w:lang w:val="en-US"/>
        </w:rPr>
        <w:lastRenderedPageBreak/>
        <w:drawing>
          <wp:inline distT="0" distB="0" distL="0" distR="0" wp14:anchorId="57A8273D" wp14:editId="0192391D">
            <wp:extent cx="5139690" cy="6938010"/>
            <wp:effectExtent l="0" t="0" r="3810" b="0"/>
            <wp:docPr id="366255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39690" cy="6938010"/>
                    </a:xfrm>
                    <a:prstGeom prst="rect">
                      <a:avLst/>
                    </a:prstGeom>
                    <a:noFill/>
                  </pic:spPr>
                </pic:pic>
              </a:graphicData>
            </a:graphic>
          </wp:inline>
        </w:drawing>
      </w:r>
    </w:p>
    <w:p w14:paraId="03247B1C" w14:textId="77777777" w:rsidR="00534C49" w:rsidRDefault="00534C49">
      <w:pPr>
        <w:rPr>
          <w:lang w:val="en-US"/>
        </w:rPr>
      </w:pPr>
    </w:p>
    <w:p w14:paraId="610234DB" w14:textId="77777777" w:rsidR="00BF18E7" w:rsidRPr="00DD2547" w:rsidRDefault="00BF18E7" w:rsidP="00BF18E7">
      <w:pPr>
        <w:rPr>
          <w:rFonts w:ascii="Times New Roman" w:eastAsia="Aptos" w:hAnsi="Times New Roman" w:cs="Times New Roman"/>
          <w:i/>
          <w:iCs/>
          <w:lang w:val="en-GB"/>
        </w:rPr>
      </w:pPr>
      <w:r w:rsidRPr="00BF18E7">
        <w:rPr>
          <w:rFonts w:ascii="Times New Roman" w:eastAsia="Aptos" w:hAnsi="Times New Roman" w:cs="Times New Roman"/>
          <w:b/>
          <w:bCs/>
          <w:i/>
          <w:iCs/>
          <w:lang w:val="en-GB"/>
        </w:rPr>
        <w:t xml:space="preserve">Supplementary Figure 1. Timeline for each translational microbiome-wide association study (MWAS), from the decision to initiate the study through to first participant consent or sample collection, highlighting key events. </w:t>
      </w:r>
      <w:r w:rsidRPr="00DD2547">
        <w:rPr>
          <w:rFonts w:ascii="Times New Roman" w:eastAsia="Aptos" w:hAnsi="Times New Roman" w:cs="Times New Roman"/>
          <w:i/>
          <w:iCs/>
          <w:lang w:val="en-GB"/>
        </w:rPr>
        <w:t>Events are shown in chronological order but are not to scale. a) Site A; b) Site B; c) Site C.</w:t>
      </w:r>
    </w:p>
    <w:p w14:paraId="1FFC3BFD" w14:textId="03AEB92A" w:rsidR="00534C49" w:rsidRPr="00BB232F" w:rsidRDefault="00534C49" w:rsidP="00BF18E7">
      <w:pPr>
        <w:rPr>
          <w:lang w:val="en-US"/>
        </w:rPr>
      </w:pPr>
    </w:p>
    <w:sectPr w:rsidR="00534C49" w:rsidRPr="00BB23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2F"/>
    <w:rsid w:val="001B677E"/>
    <w:rsid w:val="00277785"/>
    <w:rsid w:val="00534C49"/>
    <w:rsid w:val="008320FB"/>
    <w:rsid w:val="00A33DB7"/>
    <w:rsid w:val="00A81BD8"/>
    <w:rsid w:val="00BB232F"/>
    <w:rsid w:val="00BE53A9"/>
    <w:rsid w:val="00BF18E7"/>
    <w:rsid w:val="00C40EBB"/>
    <w:rsid w:val="00D81B3E"/>
    <w:rsid w:val="00DA1BCF"/>
    <w:rsid w:val="00DD2547"/>
    <w:rsid w:val="00E00362"/>
    <w:rsid w:val="00E97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3E9F"/>
  <w15:chartTrackingRefBased/>
  <w15:docId w15:val="{26FD5BD9-1EE0-432C-AD60-F1C724594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2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2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2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3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3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3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3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2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2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2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32F"/>
    <w:rPr>
      <w:rFonts w:eastAsiaTheme="majorEastAsia" w:cstheme="majorBidi"/>
      <w:color w:val="272727" w:themeColor="text1" w:themeTint="D8"/>
    </w:rPr>
  </w:style>
  <w:style w:type="paragraph" w:styleId="Title">
    <w:name w:val="Title"/>
    <w:basedOn w:val="Normal"/>
    <w:next w:val="Normal"/>
    <w:link w:val="TitleChar"/>
    <w:uiPriority w:val="10"/>
    <w:qFormat/>
    <w:rsid w:val="00BB2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32F"/>
    <w:pPr>
      <w:spacing w:before="160"/>
      <w:jc w:val="center"/>
    </w:pPr>
    <w:rPr>
      <w:i/>
      <w:iCs/>
      <w:color w:val="404040" w:themeColor="text1" w:themeTint="BF"/>
    </w:rPr>
  </w:style>
  <w:style w:type="character" w:customStyle="1" w:styleId="QuoteChar">
    <w:name w:val="Quote Char"/>
    <w:basedOn w:val="DefaultParagraphFont"/>
    <w:link w:val="Quote"/>
    <w:uiPriority w:val="29"/>
    <w:rsid w:val="00BB232F"/>
    <w:rPr>
      <w:i/>
      <w:iCs/>
      <w:color w:val="404040" w:themeColor="text1" w:themeTint="BF"/>
    </w:rPr>
  </w:style>
  <w:style w:type="paragraph" w:styleId="ListParagraph">
    <w:name w:val="List Paragraph"/>
    <w:basedOn w:val="Normal"/>
    <w:uiPriority w:val="34"/>
    <w:qFormat/>
    <w:rsid w:val="00BB232F"/>
    <w:pPr>
      <w:ind w:left="720"/>
      <w:contextualSpacing/>
    </w:pPr>
  </w:style>
  <w:style w:type="character" w:styleId="IntenseEmphasis">
    <w:name w:val="Intense Emphasis"/>
    <w:basedOn w:val="DefaultParagraphFont"/>
    <w:uiPriority w:val="21"/>
    <w:qFormat/>
    <w:rsid w:val="00BB232F"/>
    <w:rPr>
      <w:i/>
      <w:iCs/>
      <w:color w:val="0F4761" w:themeColor="accent1" w:themeShade="BF"/>
    </w:rPr>
  </w:style>
  <w:style w:type="paragraph" w:styleId="IntenseQuote">
    <w:name w:val="Intense Quote"/>
    <w:basedOn w:val="Normal"/>
    <w:next w:val="Normal"/>
    <w:link w:val="IntenseQuoteChar"/>
    <w:uiPriority w:val="30"/>
    <w:qFormat/>
    <w:rsid w:val="00BB2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32F"/>
    <w:rPr>
      <w:i/>
      <w:iCs/>
      <w:color w:val="0F4761" w:themeColor="accent1" w:themeShade="BF"/>
    </w:rPr>
  </w:style>
  <w:style w:type="character" w:styleId="IntenseReference">
    <w:name w:val="Intense Reference"/>
    <w:basedOn w:val="DefaultParagraphFont"/>
    <w:uiPriority w:val="32"/>
    <w:qFormat/>
    <w:rsid w:val="00BB23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Ciaran Devoy</dc:creator>
  <cp:keywords/>
  <dc:description/>
  <cp:lastModifiedBy>Ciaran Devoy</cp:lastModifiedBy>
  <cp:revision>2</cp:revision>
  <dcterms:created xsi:type="dcterms:W3CDTF">2025-05-26T12:22:00Z</dcterms:created>
  <dcterms:modified xsi:type="dcterms:W3CDTF">2025-05-26T12:22:00Z</dcterms:modified>
</cp:coreProperties>
</file>