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51C95" w14:textId="77777777" w:rsidR="00354F34" w:rsidRPr="00D943D8" w:rsidRDefault="00354F34" w:rsidP="00354F34">
      <w:pPr>
        <w:jc w:val="both"/>
      </w:pPr>
      <w:r w:rsidRPr="00D943D8">
        <w:rPr>
          <w:color w:val="000000"/>
        </w:rPr>
        <w:t>Table 1. Percent of MLOs by Organizational Type, with Data Definitions</w:t>
      </w:r>
    </w:p>
    <w:tbl>
      <w:tblPr>
        <w:tblStyle w:val="5"/>
        <w:tblW w:w="140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416"/>
        <w:gridCol w:w="2029"/>
        <w:gridCol w:w="4617"/>
      </w:tblGrid>
      <w:tr w:rsidR="00354F34" w14:paraId="291C8A5E" w14:textId="77777777" w:rsidTr="00F51648">
        <w:trPr>
          <w:trHeight w:val="315"/>
        </w:trPr>
        <w:tc>
          <w:tcPr>
            <w:tcW w:w="7416" w:type="dxa"/>
            <w:vMerge w:val="restart"/>
            <w:shd w:val="clear" w:color="auto" w:fill="FFFFFF"/>
          </w:tcPr>
          <w:p w14:paraId="0FF64D02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>
              <w:rPr>
                <w:noProof/>
              </w:rPr>
              <w:drawing>
                <wp:inline distT="0" distB="0" distL="0" distR="0" wp14:anchorId="0355C116" wp14:editId="0BDD0817">
                  <wp:extent cx="4572000" cy="5238750"/>
                  <wp:effectExtent l="0" t="0" r="0" b="0"/>
                  <wp:docPr id="2108837646" name="Chart 2108837646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"/>
                    </a:graphicData>
                  </a:graphic>
                </wp:inline>
              </w:drawing>
            </w:r>
          </w:p>
        </w:tc>
        <w:tc>
          <w:tcPr>
            <w:tcW w:w="2029" w:type="dxa"/>
            <w:shd w:val="clear" w:color="auto" w:fill="FFFFFF"/>
            <w:vAlign w:val="center"/>
          </w:tcPr>
          <w:p w14:paraId="76F50723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Local Non-Profit Organization (NPO)/ Community Based Organization (CBO)</w:t>
            </w:r>
          </w:p>
        </w:tc>
        <w:tc>
          <w:tcPr>
            <w:tcW w:w="4617" w:type="dxa"/>
            <w:shd w:val="clear" w:color="auto" w:fill="FFFFFF"/>
            <w:vAlign w:val="center"/>
          </w:tcPr>
          <w:p w14:paraId="311FB982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Specifies a local entity established for non-profit purposes</w:t>
            </w:r>
          </w:p>
        </w:tc>
      </w:tr>
      <w:tr w:rsidR="00354F34" w14:paraId="29513B0E" w14:textId="77777777" w:rsidTr="00F51648">
        <w:trPr>
          <w:trHeight w:val="315"/>
        </w:trPr>
        <w:tc>
          <w:tcPr>
            <w:tcW w:w="7416" w:type="dxa"/>
            <w:vMerge/>
            <w:shd w:val="clear" w:color="auto" w:fill="FFFFFF"/>
          </w:tcPr>
          <w:p w14:paraId="46F4FF55" w14:textId="77777777" w:rsidR="00354F34" w:rsidRDefault="00354F34" w:rsidP="00F51648">
            <w:pPr>
              <w:spacing w:after="0" w:line="240" w:lineRule="auto"/>
              <w:jc w:val="both"/>
              <w:rPr>
                <w:noProof/>
              </w:rPr>
            </w:pPr>
          </w:p>
        </w:tc>
        <w:tc>
          <w:tcPr>
            <w:tcW w:w="2029" w:type="dxa"/>
            <w:shd w:val="clear" w:color="auto" w:fill="FFFFFF"/>
            <w:vAlign w:val="center"/>
          </w:tcPr>
          <w:p w14:paraId="3FF428C9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 w:rsidRPr="00964375">
              <w:rPr>
                <w:color w:val="000000"/>
              </w:rPr>
              <w:t>International NPO</w:t>
            </w:r>
          </w:p>
        </w:tc>
        <w:tc>
          <w:tcPr>
            <w:tcW w:w="4617" w:type="dxa"/>
            <w:shd w:val="clear" w:color="auto" w:fill="FFFFFF"/>
            <w:vAlign w:val="center"/>
          </w:tcPr>
          <w:p w14:paraId="14CD76BF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 w:rsidRPr="00964375">
              <w:rPr>
                <w:color w:val="000000"/>
              </w:rPr>
              <w:t>Non-profit Profit Organization (NPO)/Non-Government Organization (NGO), which operates across various countries. This also includes philanthropy and/or foundations</w:t>
            </w:r>
          </w:p>
        </w:tc>
      </w:tr>
      <w:tr w:rsidR="00354F34" w14:paraId="4DD8884E" w14:textId="77777777" w:rsidTr="00F51648">
        <w:trPr>
          <w:trHeight w:val="315"/>
        </w:trPr>
        <w:tc>
          <w:tcPr>
            <w:tcW w:w="7416" w:type="dxa"/>
            <w:vMerge/>
            <w:shd w:val="clear" w:color="auto" w:fill="FFFFFF"/>
          </w:tcPr>
          <w:p w14:paraId="2C534E5F" w14:textId="77777777" w:rsidR="00354F34" w:rsidRDefault="00354F34" w:rsidP="00F516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color w:val="000000"/>
              </w:rPr>
            </w:pPr>
          </w:p>
        </w:tc>
        <w:tc>
          <w:tcPr>
            <w:tcW w:w="2029" w:type="dxa"/>
            <w:shd w:val="clear" w:color="auto" w:fill="FFFFFF"/>
            <w:vAlign w:val="center"/>
          </w:tcPr>
          <w:p w14:paraId="12F25487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 w:rsidRPr="002E6E76">
              <w:rPr>
                <w:color w:val="000000"/>
              </w:rPr>
              <w:t>Government</w:t>
            </w:r>
          </w:p>
        </w:tc>
        <w:tc>
          <w:tcPr>
            <w:tcW w:w="4617" w:type="dxa"/>
            <w:shd w:val="clear" w:color="auto" w:fill="FFFFFF"/>
            <w:vAlign w:val="center"/>
          </w:tcPr>
          <w:p w14:paraId="75A1737D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 w:rsidRPr="002E6E76">
              <w:rPr>
                <w:color w:val="000000"/>
              </w:rPr>
              <w:t>Specifies government departments, including line ministries, regional and national governments</w:t>
            </w:r>
          </w:p>
        </w:tc>
      </w:tr>
      <w:tr w:rsidR="00354F34" w14:paraId="1FD05C1F" w14:textId="77777777" w:rsidTr="00F51648">
        <w:trPr>
          <w:trHeight w:val="315"/>
        </w:trPr>
        <w:tc>
          <w:tcPr>
            <w:tcW w:w="7416" w:type="dxa"/>
            <w:vMerge/>
            <w:shd w:val="clear" w:color="auto" w:fill="FFFFFF"/>
          </w:tcPr>
          <w:p w14:paraId="06F208F5" w14:textId="77777777" w:rsidR="00354F34" w:rsidRDefault="00354F34" w:rsidP="00F516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color w:val="000000"/>
              </w:rPr>
            </w:pPr>
          </w:p>
        </w:tc>
        <w:tc>
          <w:tcPr>
            <w:tcW w:w="2029" w:type="dxa"/>
            <w:shd w:val="clear" w:color="auto" w:fill="FFFFFF"/>
            <w:vAlign w:val="center"/>
          </w:tcPr>
          <w:p w14:paraId="0E4E52B5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 w:rsidRPr="00630EEC">
              <w:rPr>
                <w:color w:val="000000"/>
              </w:rPr>
              <w:t>Private Sector</w:t>
            </w:r>
          </w:p>
        </w:tc>
        <w:tc>
          <w:tcPr>
            <w:tcW w:w="4617" w:type="dxa"/>
            <w:shd w:val="clear" w:color="auto" w:fill="FFFFFF"/>
            <w:vAlign w:val="center"/>
          </w:tcPr>
          <w:p w14:paraId="6DC7A9F7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 w:rsidRPr="00630EEC">
              <w:rPr>
                <w:color w:val="000000"/>
              </w:rPr>
              <w:t>This is generally an entity which seeks to generate profit</w:t>
            </w:r>
          </w:p>
        </w:tc>
      </w:tr>
      <w:tr w:rsidR="00354F34" w14:paraId="03A246CD" w14:textId="77777777" w:rsidTr="00F51648">
        <w:trPr>
          <w:trHeight w:val="315"/>
        </w:trPr>
        <w:tc>
          <w:tcPr>
            <w:tcW w:w="7416" w:type="dxa"/>
            <w:vMerge/>
            <w:shd w:val="clear" w:color="auto" w:fill="FFFFFF"/>
          </w:tcPr>
          <w:p w14:paraId="176AE09D" w14:textId="77777777" w:rsidR="00354F34" w:rsidRDefault="00354F34" w:rsidP="00F516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color w:val="000000"/>
              </w:rPr>
            </w:pPr>
          </w:p>
        </w:tc>
        <w:tc>
          <w:tcPr>
            <w:tcW w:w="2029" w:type="dxa"/>
            <w:shd w:val="clear" w:color="auto" w:fill="FFFFFF"/>
            <w:vAlign w:val="center"/>
          </w:tcPr>
          <w:p w14:paraId="7A37A838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 w:rsidRPr="002E6E76">
              <w:rPr>
                <w:color w:val="000000"/>
              </w:rPr>
              <w:t>Parastatal/State Owned Enterprise</w:t>
            </w:r>
          </w:p>
        </w:tc>
        <w:tc>
          <w:tcPr>
            <w:tcW w:w="4617" w:type="dxa"/>
            <w:shd w:val="clear" w:color="auto" w:fill="FFFFFF"/>
            <w:vAlign w:val="center"/>
          </w:tcPr>
          <w:p w14:paraId="443D6D98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 w:rsidRPr="002E6E76">
              <w:rPr>
                <w:color w:val="000000"/>
              </w:rPr>
              <w:t>Specifies an entity or organization which is owned by a country's government and often has some political power</w:t>
            </w:r>
          </w:p>
        </w:tc>
      </w:tr>
      <w:tr w:rsidR="00354F34" w14:paraId="7550C2AC" w14:textId="77777777" w:rsidTr="00F51648">
        <w:trPr>
          <w:trHeight w:val="315"/>
        </w:trPr>
        <w:tc>
          <w:tcPr>
            <w:tcW w:w="7416" w:type="dxa"/>
            <w:vMerge/>
            <w:shd w:val="clear" w:color="auto" w:fill="FFFFFF"/>
          </w:tcPr>
          <w:p w14:paraId="0382CD24" w14:textId="77777777" w:rsidR="00354F34" w:rsidRDefault="00354F34" w:rsidP="00F516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color w:val="000000"/>
              </w:rPr>
            </w:pPr>
          </w:p>
        </w:tc>
        <w:tc>
          <w:tcPr>
            <w:tcW w:w="2029" w:type="dxa"/>
            <w:shd w:val="clear" w:color="auto" w:fill="FFFFFF"/>
            <w:vAlign w:val="center"/>
          </w:tcPr>
          <w:p w14:paraId="4C048710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 w:rsidRPr="00630EEC">
              <w:rPr>
                <w:color w:val="000000"/>
              </w:rPr>
              <w:t>University or Research</w:t>
            </w:r>
          </w:p>
        </w:tc>
        <w:tc>
          <w:tcPr>
            <w:tcW w:w="4617" w:type="dxa"/>
            <w:shd w:val="clear" w:color="auto" w:fill="FFFFFF"/>
            <w:vAlign w:val="center"/>
          </w:tcPr>
          <w:p w14:paraId="64BE585D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 w:rsidRPr="00630EEC">
              <w:rPr>
                <w:color w:val="000000"/>
              </w:rPr>
              <w:t>Specifies university or research institution</w:t>
            </w:r>
          </w:p>
        </w:tc>
      </w:tr>
      <w:tr w:rsidR="00354F34" w14:paraId="45F5897D" w14:textId="77777777" w:rsidTr="00F51648">
        <w:trPr>
          <w:trHeight w:val="315"/>
        </w:trPr>
        <w:tc>
          <w:tcPr>
            <w:tcW w:w="7416" w:type="dxa"/>
            <w:vMerge/>
            <w:shd w:val="clear" w:color="auto" w:fill="FFFFFF"/>
          </w:tcPr>
          <w:p w14:paraId="364926FD" w14:textId="77777777" w:rsidR="00354F34" w:rsidRDefault="00354F34" w:rsidP="00F516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color w:val="000000"/>
              </w:rPr>
            </w:pPr>
          </w:p>
        </w:tc>
        <w:tc>
          <w:tcPr>
            <w:tcW w:w="2029" w:type="dxa"/>
            <w:shd w:val="clear" w:color="auto" w:fill="FFFFFF"/>
            <w:vAlign w:val="center"/>
          </w:tcPr>
          <w:p w14:paraId="2F697DF8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 w:rsidRPr="002E6E76">
              <w:rPr>
                <w:color w:val="000000"/>
              </w:rPr>
              <w:t>International Multilateral</w:t>
            </w:r>
          </w:p>
        </w:tc>
        <w:tc>
          <w:tcPr>
            <w:tcW w:w="4617" w:type="dxa"/>
            <w:shd w:val="clear" w:color="auto" w:fill="FFFFFF"/>
            <w:vAlign w:val="center"/>
          </w:tcPr>
          <w:p w14:paraId="7D12668F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 w:rsidRPr="002E6E76">
              <w:rPr>
                <w:color w:val="000000"/>
              </w:rPr>
              <w:t>Institution formed by three or more parties for the purposes of common interest (e.g United Nations Development Program, World Bank, African Development Bank)</w:t>
            </w:r>
          </w:p>
        </w:tc>
      </w:tr>
      <w:tr w:rsidR="00354F34" w14:paraId="62346B6B" w14:textId="77777777" w:rsidTr="00F51648">
        <w:trPr>
          <w:trHeight w:val="315"/>
        </w:trPr>
        <w:tc>
          <w:tcPr>
            <w:tcW w:w="7416" w:type="dxa"/>
            <w:vMerge/>
            <w:shd w:val="clear" w:color="auto" w:fill="FFFFFF"/>
          </w:tcPr>
          <w:p w14:paraId="77A85EE4" w14:textId="77777777" w:rsidR="00354F34" w:rsidRDefault="00354F34" w:rsidP="00F516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color w:val="000000"/>
              </w:rPr>
            </w:pPr>
          </w:p>
        </w:tc>
        <w:tc>
          <w:tcPr>
            <w:tcW w:w="2029" w:type="dxa"/>
            <w:shd w:val="clear" w:color="auto" w:fill="FFFFFF"/>
            <w:vAlign w:val="center"/>
          </w:tcPr>
          <w:p w14:paraId="114D52E8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 w:rsidRPr="002E6E76">
              <w:rPr>
                <w:color w:val="000000"/>
              </w:rPr>
              <w:t>Bilateral</w:t>
            </w:r>
          </w:p>
        </w:tc>
        <w:tc>
          <w:tcPr>
            <w:tcW w:w="4617" w:type="dxa"/>
            <w:shd w:val="clear" w:color="auto" w:fill="FFFFFF"/>
            <w:vAlign w:val="center"/>
          </w:tcPr>
          <w:p w14:paraId="5E724E58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>
              <w:t xml:space="preserve"> </w:t>
            </w:r>
            <w:r w:rsidRPr="007F11F7">
              <w:rPr>
                <w:color w:val="000000"/>
              </w:rPr>
              <w:t>Specifies another country or its entity implementing CCA projects in another country</w:t>
            </w:r>
          </w:p>
        </w:tc>
      </w:tr>
      <w:tr w:rsidR="00354F34" w14:paraId="2C6535E4" w14:textId="77777777" w:rsidTr="00F51648">
        <w:trPr>
          <w:trHeight w:val="288"/>
        </w:trPr>
        <w:tc>
          <w:tcPr>
            <w:tcW w:w="7416" w:type="dxa"/>
            <w:vMerge/>
            <w:shd w:val="clear" w:color="auto" w:fill="FFFFFF"/>
          </w:tcPr>
          <w:p w14:paraId="1009E5D4" w14:textId="77777777" w:rsidR="00354F34" w:rsidRDefault="00354F34" w:rsidP="00F516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color w:val="000000"/>
              </w:rPr>
            </w:pPr>
          </w:p>
        </w:tc>
        <w:tc>
          <w:tcPr>
            <w:tcW w:w="2029" w:type="dxa"/>
            <w:shd w:val="clear" w:color="auto" w:fill="FFFFFF"/>
            <w:vAlign w:val="center"/>
          </w:tcPr>
          <w:p w14:paraId="66C2B674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Other</w:t>
            </w:r>
          </w:p>
        </w:tc>
        <w:tc>
          <w:tcPr>
            <w:tcW w:w="4617" w:type="dxa"/>
            <w:shd w:val="clear" w:color="auto" w:fill="FFFFFF"/>
            <w:vAlign w:val="center"/>
          </w:tcPr>
          <w:p w14:paraId="56DE6212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Specifies an organization other than the list mentioned</w:t>
            </w:r>
          </w:p>
        </w:tc>
      </w:tr>
      <w:tr w:rsidR="00354F34" w14:paraId="0207D047" w14:textId="77777777" w:rsidTr="00F51648">
        <w:trPr>
          <w:trHeight w:val="288"/>
        </w:trPr>
        <w:tc>
          <w:tcPr>
            <w:tcW w:w="7416" w:type="dxa"/>
            <w:vMerge/>
            <w:shd w:val="clear" w:color="auto" w:fill="FFFFFF"/>
          </w:tcPr>
          <w:p w14:paraId="41D12E24" w14:textId="77777777" w:rsidR="00354F34" w:rsidRDefault="00354F34" w:rsidP="00F516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color w:val="000000"/>
              </w:rPr>
            </w:pPr>
          </w:p>
        </w:tc>
        <w:tc>
          <w:tcPr>
            <w:tcW w:w="2029" w:type="dxa"/>
            <w:shd w:val="clear" w:color="auto" w:fill="FFFFFF"/>
            <w:vAlign w:val="center"/>
          </w:tcPr>
          <w:p w14:paraId="10E3EB68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</w:p>
        </w:tc>
        <w:tc>
          <w:tcPr>
            <w:tcW w:w="4617" w:type="dxa"/>
            <w:shd w:val="clear" w:color="auto" w:fill="FFFFFF"/>
            <w:vAlign w:val="center"/>
          </w:tcPr>
          <w:p w14:paraId="12CA9D78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</w:p>
        </w:tc>
      </w:tr>
    </w:tbl>
    <w:p w14:paraId="00CDD271" w14:textId="77777777" w:rsidR="00354F34" w:rsidRDefault="00354F34" w:rsidP="00354F34">
      <w:pPr>
        <w:jc w:val="both"/>
      </w:pPr>
    </w:p>
    <w:p w14:paraId="730EF7B1" w14:textId="77777777" w:rsidR="00354F34" w:rsidRPr="006B0558" w:rsidRDefault="00354F34" w:rsidP="00354F34">
      <w:pPr>
        <w:jc w:val="both"/>
      </w:pPr>
      <w:r w:rsidRPr="00491C07">
        <w:rPr>
          <w:color w:val="000000"/>
        </w:rPr>
        <w:t>Table 2. Extent of MLO Focus on Climate Change Adaptation by Country, with Data Definition</w:t>
      </w:r>
    </w:p>
    <w:tbl>
      <w:tblPr>
        <w:tblStyle w:val="4"/>
        <w:tblW w:w="136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416"/>
        <w:gridCol w:w="1129"/>
        <w:gridCol w:w="5112"/>
      </w:tblGrid>
      <w:tr w:rsidR="00354F34" w14:paraId="667E6A0B" w14:textId="77777777" w:rsidTr="00F51648">
        <w:trPr>
          <w:trHeight w:val="1106"/>
        </w:trPr>
        <w:tc>
          <w:tcPr>
            <w:tcW w:w="7416" w:type="dxa"/>
            <w:vMerge w:val="restart"/>
            <w:shd w:val="clear" w:color="auto" w:fill="FFFFFF"/>
          </w:tcPr>
          <w:p w14:paraId="20412C72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bookmarkStart w:id="0" w:name="_Hlk197695137"/>
            <w:r>
              <w:rPr>
                <w:noProof/>
              </w:rPr>
              <w:drawing>
                <wp:inline distT="0" distB="0" distL="0" distR="0" wp14:anchorId="398C1C71" wp14:editId="4F2BFCD5">
                  <wp:extent cx="4572000" cy="2762250"/>
                  <wp:effectExtent l="0" t="0" r="0" b="0"/>
                  <wp:docPr id="2108837645" name="Chart 2108837645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"/>
                    </a:graphicData>
                  </a:graphic>
                </wp:inline>
              </w:drawing>
            </w:r>
          </w:p>
        </w:tc>
        <w:tc>
          <w:tcPr>
            <w:tcW w:w="1129" w:type="dxa"/>
            <w:shd w:val="clear" w:color="auto" w:fill="FFFFFF"/>
            <w:vAlign w:val="center"/>
          </w:tcPr>
          <w:p w14:paraId="7F52CE7A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Limited CCA Focus</w:t>
            </w:r>
          </w:p>
        </w:tc>
        <w:tc>
          <w:tcPr>
            <w:tcW w:w="5112" w:type="dxa"/>
            <w:shd w:val="clear" w:color="auto" w:fill="FFFFFF"/>
            <w:vAlign w:val="center"/>
          </w:tcPr>
          <w:p w14:paraId="26C81FF3" w14:textId="77777777" w:rsidR="00354F34" w:rsidRDefault="00354F34" w:rsidP="00F51648">
            <w:pPr>
              <w:spacing w:after="0" w:line="240" w:lineRule="auto"/>
              <w:jc w:val="both"/>
            </w:pPr>
            <w:r>
              <w:t>Less than 30% of the MLO’s activities are dedicated to climate change adaptation</w:t>
            </w:r>
          </w:p>
        </w:tc>
      </w:tr>
      <w:tr w:rsidR="00354F34" w14:paraId="6CF74504" w14:textId="77777777" w:rsidTr="00F51648">
        <w:trPr>
          <w:trHeight w:val="1070"/>
        </w:trPr>
        <w:tc>
          <w:tcPr>
            <w:tcW w:w="7416" w:type="dxa"/>
            <w:vMerge/>
            <w:shd w:val="clear" w:color="auto" w:fill="FFFFFF"/>
          </w:tcPr>
          <w:p w14:paraId="1AB70DC0" w14:textId="77777777" w:rsidR="00354F34" w:rsidRDefault="00354F34" w:rsidP="00F516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</w:pPr>
          </w:p>
        </w:tc>
        <w:tc>
          <w:tcPr>
            <w:tcW w:w="1129" w:type="dxa"/>
            <w:shd w:val="clear" w:color="auto" w:fill="FFFFFF"/>
            <w:vAlign w:val="center"/>
          </w:tcPr>
          <w:p w14:paraId="7B974BD9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Moderate CCA Focus</w:t>
            </w:r>
          </w:p>
        </w:tc>
        <w:tc>
          <w:tcPr>
            <w:tcW w:w="5112" w:type="dxa"/>
            <w:shd w:val="clear" w:color="auto" w:fill="FFFFFF"/>
            <w:vAlign w:val="center"/>
          </w:tcPr>
          <w:p w14:paraId="7645C082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>
              <w:t>Between 30% and 50% of activities involve climate change adaptation</w:t>
            </w:r>
          </w:p>
        </w:tc>
      </w:tr>
      <w:tr w:rsidR="00354F34" w14:paraId="45D37ED4" w14:textId="77777777" w:rsidTr="00F51648">
        <w:trPr>
          <w:trHeight w:val="1160"/>
        </w:trPr>
        <w:tc>
          <w:tcPr>
            <w:tcW w:w="7416" w:type="dxa"/>
            <w:vMerge/>
            <w:shd w:val="clear" w:color="auto" w:fill="FFFFFF"/>
          </w:tcPr>
          <w:p w14:paraId="651FAC27" w14:textId="77777777" w:rsidR="00354F34" w:rsidRDefault="00354F34" w:rsidP="00F516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color w:val="000000"/>
              </w:rPr>
            </w:pPr>
          </w:p>
        </w:tc>
        <w:tc>
          <w:tcPr>
            <w:tcW w:w="1129" w:type="dxa"/>
            <w:shd w:val="clear" w:color="auto" w:fill="FFFFFF"/>
            <w:vAlign w:val="center"/>
          </w:tcPr>
          <w:p w14:paraId="0B1C3E32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Strong CCA Focus</w:t>
            </w:r>
          </w:p>
        </w:tc>
        <w:tc>
          <w:tcPr>
            <w:tcW w:w="5112" w:type="dxa"/>
            <w:shd w:val="clear" w:color="auto" w:fill="FFFFFF"/>
            <w:vAlign w:val="center"/>
          </w:tcPr>
          <w:p w14:paraId="558AB877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>
              <w:t xml:space="preserve">Between 50% and 74% of activities involve climate change adaptation </w:t>
            </w:r>
          </w:p>
        </w:tc>
      </w:tr>
      <w:tr w:rsidR="00354F34" w14:paraId="7F8147CD" w14:textId="77777777" w:rsidTr="00F51648">
        <w:trPr>
          <w:trHeight w:val="1061"/>
        </w:trPr>
        <w:tc>
          <w:tcPr>
            <w:tcW w:w="7416" w:type="dxa"/>
            <w:vMerge/>
            <w:shd w:val="clear" w:color="auto" w:fill="FFFFFF"/>
          </w:tcPr>
          <w:p w14:paraId="5DB55D6F" w14:textId="77777777" w:rsidR="00354F34" w:rsidRDefault="00354F34" w:rsidP="00F516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color w:val="000000"/>
              </w:rPr>
            </w:pPr>
          </w:p>
        </w:tc>
        <w:tc>
          <w:tcPr>
            <w:tcW w:w="1129" w:type="dxa"/>
            <w:shd w:val="clear" w:color="auto" w:fill="FFFFFF"/>
            <w:vAlign w:val="center"/>
          </w:tcPr>
          <w:p w14:paraId="11CE6409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Core CCA Focus</w:t>
            </w:r>
          </w:p>
        </w:tc>
        <w:tc>
          <w:tcPr>
            <w:tcW w:w="5112" w:type="dxa"/>
            <w:shd w:val="clear" w:color="auto" w:fill="FFFFFF"/>
            <w:vAlign w:val="center"/>
          </w:tcPr>
          <w:p w14:paraId="35E078A6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>
              <w:t>75% or more of the MLO activities and programs involve climate change adaptation</w:t>
            </w:r>
          </w:p>
        </w:tc>
      </w:tr>
      <w:bookmarkEnd w:id="0"/>
    </w:tbl>
    <w:p w14:paraId="1DAC78F6" w14:textId="77777777" w:rsidR="00354F34" w:rsidRDefault="00354F34" w:rsidP="00354F34">
      <w:pPr>
        <w:jc w:val="both"/>
      </w:pPr>
    </w:p>
    <w:p w14:paraId="7CA94802" w14:textId="77777777" w:rsidR="00354F34" w:rsidRDefault="00354F34" w:rsidP="00354F34">
      <w:pPr>
        <w:jc w:val="both"/>
      </w:pPr>
    </w:p>
    <w:p w14:paraId="053C8258" w14:textId="77777777" w:rsidR="00354F34" w:rsidRDefault="00354F34" w:rsidP="00354F34">
      <w:pPr>
        <w:jc w:val="both"/>
      </w:pPr>
      <w:r>
        <w:br w:type="page"/>
      </w:r>
    </w:p>
    <w:p w14:paraId="7D612921" w14:textId="77777777" w:rsidR="00354F34" w:rsidRDefault="00354F34" w:rsidP="00354F34">
      <w:pPr>
        <w:jc w:val="both"/>
      </w:pPr>
    </w:p>
    <w:p w14:paraId="1373DBEA" w14:textId="77777777" w:rsidR="00354F34" w:rsidRPr="006B0558" w:rsidRDefault="00354F34" w:rsidP="00354F34">
      <w:pPr>
        <w:jc w:val="both"/>
      </w:pPr>
      <w:r w:rsidRPr="006B0558">
        <w:t xml:space="preserve">Table 3: </w:t>
      </w:r>
      <w:r w:rsidRPr="00491C07">
        <w:rPr>
          <w:color w:val="000000"/>
        </w:rPr>
        <w:t>Climate Change Adaptation Activities Conducted by MLOs, with Data Definitions</w:t>
      </w:r>
    </w:p>
    <w:tbl>
      <w:tblPr>
        <w:tblStyle w:val="3"/>
        <w:tblW w:w="137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416"/>
        <w:gridCol w:w="1550"/>
        <w:gridCol w:w="4770"/>
      </w:tblGrid>
      <w:tr w:rsidR="00354F34" w14:paraId="5C49555A" w14:textId="77777777" w:rsidTr="00F51648">
        <w:trPr>
          <w:trHeight w:val="740"/>
        </w:trPr>
        <w:tc>
          <w:tcPr>
            <w:tcW w:w="7416" w:type="dxa"/>
            <w:vMerge w:val="restart"/>
            <w:shd w:val="clear" w:color="auto" w:fill="FFFFFF"/>
          </w:tcPr>
          <w:p w14:paraId="5EC85C79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bookmarkStart w:id="1" w:name="_Hlk197694640"/>
            <w:r>
              <w:rPr>
                <w:noProof/>
              </w:rPr>
              <w:drawing>
                <wp:inline distT="0" distB="0" distL="0" distR="0" wp14:anchorId="658F52CA" wp14:editId="4668004D">
                  <wp:extent cx="4572000" cy="4053840"/>
                  <wp:effectExtent l="0" t="0" r="0" b="3810"/>
                  <wp:docPr id="2108837648" name="Chart 2108837648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6"/>
                    </a:graphicData>
                  </a:graphic>
                </wp:inline>
              </w:drawing>
            </w:r>
          </w:p>
        </w:tc>
        <w:tc>
          <w:tcPr>
            <w:tcW w:w="1550" w:type="dxa"/>
            <w:shd w:val="clear" w:color="auto" w:fill="FFFFFF"/>
            <w:vAlign w:val="center"/>
          </w:tcPr>
          <w:p w14:paraId="47907E33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 w:rsidRPr="00573FF9">
              <w:rPr>
                <w:color w:val="000000"/>
              </w:rPr>
              <w:t>Awareness and Education in CC</w:t>
            </w:r>
          </w:p>
        </w:tc>
        <w:tc>
          <w:tcPr>
            <w:tcW w:w="4770" w:type="dxa"/>
            <w:shd w:val="clear" w:color="auto" w:fill="FFFFFF"/>
            <w:vAlign w:val="center"/>
          </w:tcPr>
          <w:p w14:paraId="0D46481E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 w:rsidRPr="00573FF9">
              <w:rPr>
                <w:color w:val="000000"/>
              </w:rPr>
              <w:t>MLO involvement in awareness raising about CC or about specific impacts and response options. This differs from training on specific practices.</w:t>
            </w:r>
          </w:p>
        </w:tc>
      </w:tr>
      <w:tr w:rsidR="00354F34" w14:paraId="3B7B595A" w14:textId="77777777" w:rsidTr="00F51648">
        <w:trPr>
          <w:trHeight w:val="740"/>
        </w:trPr>
        <w:tc>
          <w:tcPr>
            <w:tcW w:w="7416" w:type="dxa"/>
            <w:vMerge/>
            <w:shd w:val="clear" w:color="auto" w:fill="FFFFFF"/>
          </w:tcPr>
          <w:p w14:paraId="045C4F37" w14:textId="77777777" w:rsidR="00354F34" w:rsidRDefault="00354F34" w:rsidP="00F516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color w:val="000000"/>
              </w:rPr>
            </w:pPr>
          </w:p>
        </w:tc>
        <w:tc>
          <w:tcPr>
            <w:tcW w:w="1550" w:type="dxa"/>
            <w:shd w:val="clear" w:color="auto" w:fill="FFFFFF"/>
            <w:vAlign w:val="center"/>
          </w:tcPr>
          <w:p w14:paraId="6457AB93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 w:rsidRPr="00573FF9">
              <w:rPr>
                <w:color w:val="000000"/>
              </w:rPr>
              <w:t>Policy/ Institutional Advocacy</w:t>
            </w:r>
          </w:p>
        </w:tc>
        <w:tc>
          <w:tcPr>
            <w:tcW w:w="4770" w:type="dxa"/>
            <w:shd w:val="clear" w:color="auto" w:fill="FFFFFF"/>
            <w:vAlign w:val="center"/>
          </w:tcPr>
          <w:p w14:paraId="125E01E5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 w:rsidRPr="00573FF9">
              <w:rPr>
                <w:color w:val="000000"/>
              </w:rPr>
              <w:t>MLO involvement in activities to lobbying and advocating for policy change related to climate change action</w:t>
            </w:r>
          </w:p>
        </w:tc>
      </w:tr>
      <w:tr w:rsidR="00354F34" w14:paraId="077D7659" w14:textId="77777777" w:rsidTr="00F51648">
        <w:trPr>
          <w:trHeight w:val="740"/>
        </w:trPr>
        <w:tc>
          <w:tcPr>
            <w:tcW w:w="7416" w:type="dxa"/>
            <w:vMerge/>
            <w:shd w:val="clear" w:color="auto" w:fill="FFFFFF"/>
          </w:tcPr>
          <w:p w14:paraId="061F9D27" w14:textId="77777777" w:rsidR="00354F34" w:rsidRDefault="00354F34" w:rsidP="00F516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color w:val="000000"/>
              </w:rPr>
            </w:pPr>
          </w:p>
        </w:tc>
        <w:tc>
          <w:tcPr>
            <w:tcW w:w="1550" w:type="dxa"/>
            <w:shd w:val="clear" w:color="auto" w:fill="FFFFFF"/>
            <w:vAlign w:val="center"/>
          </w:tcPr>
          <w:p w14:paraId="05DC9147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 w:rsidRPr="00003095">
              <w:rPr>
                <w:color w:val="000000"/>
              </w:rPr>
              <w:t>Climate Smart Agriculture Practice</w:t>
            </w:r>
          </w:p>
        </w:tc>
        <w:tc>
          <w:tcPr>
            <w:tcW w:w="4770" w:type="dxa"/>
            <w:shd w:val="clear" w:color="auto" w:fill="FFFFFF"/>
            <w:vAlign w:val="center"/>
          </w:tcPr>
          <w:p w14:paraId="79BDF56E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 w:rsidRPr="00003095">
              <w:rPr>
                <w:color w:val="000000"/>
              </w:rPr>
              <w:t>MLO involvement in practices to improve crop and livestock resistance, disaster preparation practices, etc.</w:t>
            </w:r>
          </w:p>
        </w:tc>
      </w:tr>
      <w:tr w:rsidR="00354F34" w14:paraId="0A3C9527" w14:textId="77777777" w:rsidTr="00F51648">
        <w:trPr>
          <w:trHeight w:val="740"/>
        </w:trPr>
        <w:tc>
          <w:tcPr>
            <w:tcW w:w="7416" w:type="dxa"/>
            <w:vMerge/>
            <w:shd w:val="clear" w:color="auto" w:fill="FFFFFF"/>
          </w:tcPr>
          <w:p w14:paraId="7331F1B2" w14:textId="77777777" w:rsidR="00354F34" w:rsidRDefault="00354F34" w:rsidP="00F516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color w:val="000000"/>
              </w:rPr>
            </w:pPr>
          </w:p>
        </w:tc>
        <w:tc>
          <w:tcPr>
            <w:tcW w:w="1550" w:type="dxa"/>
            <w:shd w:val="clear" w:color="auto" w:fill="FFFFFF"/>
            <w:vAlign w:val="center"/>
          </w:tcPr>
          <w:p w14:paraId="5E1230CC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Carbon Sequestration/ Mitigation</w:t>
            </w:r>
          </w:p>
        </w:tc>
        <w:tc>
          <w:tcPr>
            <w:tcW w:w="4770" w:type="dxa"/>
            <w:shd w:val="clear" w:color="auto" w:fill="FFFFFF"/>
            <w:vAlign w:val="center"/>
          </w:tcPr>
          <w:p w14:paraId="7AE6FB1E" w14:textId="77777777" w:rsidR="00354F34" w:rsidRDefault="00354F34" w:rsidP="00F51648">
            <w:pPr>
              <w:spacing w:line="24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MLO involvement in activities such as tree planting, REDD+, GHG mitigation</w:t>
            </w:r>
          </w:p>
        </w:tc>
      </w:tr>
      <w:tr w:rsidR="00354F34" w14:paraId="0D8B6275" w14:textId="77777777" w:rsidTr="00F51648">
        <w:trPr>
          <w:trHeight w:val="557"/>
        </w:trPr>
        <w:tc>
          <w:tcPr>
            <w:tcW w:w="7416" w:type="dxa"/>
            <w:vMerge/>
            <w:shd w:val="clear" w:color="auto" w:fill="FFFFFF"/>
          </w:tcPr>
          <w:p w14:paraId="5132B855" w14:textId="77777777" w:rsidR="00354F34" w:rsidRDefault="00354F34" w:rsidP="00F516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color w:val="000000"/>
              </w:rPr>
            </w:pPr>
          </w:p>
        </w:tc>
        <w:tc>
          <w:tcPr>
            <w:tcW w:w="1550" w:type="dxa"/>
            <w:shd w:val="clear" w:color="auto" w:fill="FFFFFF"/>
            <w:vAlign w:val="center"/>
          </w:tcPr>
          <w:p w14:paraId="21D67371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 w:rsidRPr="00190484">
              <w:rPr>
                <w:color w:val="000000"/>
              </w:rPr>
              <w:t>Agroecology</w:t>
            </w:r>
          </w:p>
        </w:tc>
        <w:tc>
          <w:tcPr>
            <w:tcW w:w="4770" w:type="dxa"/>
            <w:shd w:val="clear" w:color="auto" w:fill="FFFFFF"/>
            <w:vAlign w:val="center"/>
          </w:tcPr>
          <w:p w14:paraId="3B17725E" w14:textId="77777777" w:rsidR="00354F34" w:rsidRDefault="00354F34" w:rsidP="00F51648">
            <w:pPr>
              <w:spacing w:line="240" w:lineRule="auto"/>
              <w:jc w:val="both"/>
              <w:rPr>
                <w:color w:val="000000"/>
              </w:rPr>
            </w:pPr>
            <w:r w:rsidRPr="00190484">
              <w:rPr>
                <w:color w:val="000000"/>
              </w:rPr>
              <w:t>MLO involvement in activities related to use of local inputs, revitalization of traditional practices and indigenous knowledge and land management practices.</w:t>
            </w:r>
          </w:p>
        </w:tc>
      </w:tr>
      <w:tr w:rsidR="00354F34" w14:paraId="236CA1F2" w14:textId="77777777" w:rsidTr="00F51648">
        <w:trPr>
          <w:trHeight w:val="740"/>
        </w:trPr>
        <w:tc>
          <w:tcPr>
            <w:tcW w:w="7416" w:type="dxa"/>
            <w:vMerge/>
            <w:shd w:val="clear" w:color="auto" w:fill="FFFFFF"/>
          </w:tcPr>
          <w:p w14:paraId="374CE1F8" w14:textId="77777777" w:rsidR="00354F34" w:rsidRDefault="00354F34" w:rsidP="00F516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color w:val="000000"/>
              </w:rPr>
            </w:pPr>
          </w:p>
        </w:tc>
        <w:tc>
          <w:tcPr>
            <w:tcW w:w="1550" w:type="dxa"/>
            <w:shd w:val="clear" w:color="auto" w:fill="FFFFFF"/>
            <w:vAlign w:val="center"/>
          </w:tcPr>
          <w:p w14:paraId="1B85BB2A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Climate Information Systems</w:t>
            </w:r>
          </w:p>
        </w:tc>
        <w:tc>
          <w:tcPr>
            <w:tcW w:w="4770" w:type="dxa"/>
            <w:shd w:val="clear" w:color="auto" w:fill="FFFFFF"/>
            <w:vAlign w:val="center"/>
          </w:tcPr>
          <w:p w14:paraId="746A0C74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MLO is involved in activities related to producing, translating or disseminating CIS.</w:t>
            </w:r>
          </w:p>
        </w:tc>
      </w:tr>
      <w:tr w:rsidR="00354F34" w14:paraId="339243B1" w14:textId="77777777" w:rsidTr="00F51648">
        <w:trPr>
          <w:trHeight w:val="740"/>
        </w:trPr>
        <w:tc>
          <w:tcPr>
            <w:tcW w:w="7416" w:type="dxa"/>
            <w:vMerge/>
            <w:shd w:val="clear" w:color="auto" w:fill="FFFFFF"/>
          </w:tcPr>
          <w:p w14:paraId="198D98A8" w14:textId="77777777" w:rsidR="00354F34" w:rsidRDefault="00354F34" w:rsidP="00F516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color w:val="000000"/>
              </w:rPr>
            </w:pPr>
          </w:p>
        </w:tc>
        <w:tc>
          <w:tcPr>
            <w:tcW w:w="1550" w:type="dxa"/>
            <w:shd w:val="clear" w:color="auto" w:fill="FFFFFF"/>
            <w:vAlign w:val="center"/>
          </w:tcPr>
          <w:p w14:paraId="68263367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Infrastructure for Climate Change Adaptation</w:t>
            </w:r>
          </w:p>
        </w:tc>
        <w:tc>
          <w:tcPr>
            <w:tcW w:w="4770" w:type="dxa"/>
            <w:shd w:val="clear" w:color="auto" w:fill="FFFFFF"/>
            <w:vAlign w:val="center"/>
          </w:tcPr>
          <w:p w14:paraId="1C8EF679" w14:textId="77777777" w:rsidR="00354F34" w:rsidRDefault="00354F34" w:rsidP="00F5164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MLO involvement in providing infrastructure for CCA such as irrigation, cold storage, dams, etc.</w:t>
            </w:r>
          </w:p>
        </w:tc>
      </w:tr>
      <w:bookmarkEnd w:id="1"/>
    </w:tbl>
    <w:p w14:paraId="0D3BBEF0" w14:textId="77777777" w:rsidR="00354F34" w:rsidRDefault="00354F34" w:rsidP="00354F34">
      <w:pPr>
        <w:jc w:val="both"/>
      </w:pPr>
    </w:p>
    <w:p w14:paraId="4818A44D" w14:textId="77777777" w:rsidR="00354F34" w:rsidRDefault="00354F34" w:rsidP="00354F34">
      <w:pPr>
        <w:jc w:val="both"/>
      </w:pPr>
    </w:p>
    <w:p w14:paraId="7463F0C4" w14:textId="77777777" w:rsidR="00354F34" w:rsidRDefault="00354F34" w:rsidP="00354F34">
      <w:pPr>
        <w:jc w:val="both"/>
      </w:pPr>
    </w:p>
    <w:p w14:paraId="39188464" w14:textId="77777777" w:rsidR="00354F34" w:rsidRDefault="00354F34" w:rsidP="00354F34">
      <w:pPr>
        <w:jc w:val="both"/>
      </w:pPr>
    </w:p>
    <w:p w14:paraId="7C9BCD76" w14:textId="77777777" w:rsidR="00354F34" w:rsidRDefault="00354F34" w:rsidP="00354F34">
      <w:pPr>
        <w:jc w:val="both"/>
      </w:pPr>
      <w:r>
        <w:t xml:space="preserve">Table 4: </w:t>
      </w:r>
      <w:r w:rsidRPr="0022457E">
        <w:rPr>
          <w:color w:val="000000"/>
        </w:rPr>
        <w:t xml:space="preserve">Percent MLOs </w:t>
      </w:r>
      <w:r>
        <w:rPr>
          <w:color w:val="000000"/>
        </w:rPr>
        <w:t>with Specific Capacities</w:t>
      </w:r>
      <w:r w:rsidRPr="0022457E">
        <w:rPr>
          <w:color w:val="000000"/>
        </w:rPr>
        <w:t>, with Data Definitions</w:t>
      </w:r>
    </w:p>
    <w:tbl>
      <w:tblPr>
        <w:tblStyle w:val="2"/>
        <w:tblW w:w="137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416"/>
        <w:gridCol w:w="2389"/>
        <w:gridCol w:w="3910"/>
      </w:tblGrid>
      <w:tr w:rsidR="00354F34" w14:paraId="6CED8F34" w14:textId="77777777" w:rsidTr="00F51648">
        <w:trPr>
          <w:trHeight w:val="926"/>
        </w:trPr>
        <w:tc>
          <w:tcPr>
            <w:tcW w:w="7416" w:type="dxa"/>
            <w:vMerge w:val="restart"/>
            <w:shd w:val="clear" w:color="auto" w:fill="FFFFFF"/>
          </w:tcPr>
          <w:p w14:paraId="00261F9B" w14:textId="77777777" w:rsidR="00354F34" w:rsidRDefault="00354F34" w:rsidP="00F51648">
            <w:pPr>
              <w:spacing w:after="0" w:line="240" w:lineRule="auto"/>
              <w:jc w:val="both"/>
            </w:pPr>
            <w:r>
              <w:rPr>
                <w:noProof/>
              </w:rPr>
              <w:drawing>
                <wp:inline distT="0" distB="0" distL="0" distR="0" wp14:anchorId="1EE0598D" wp14:editId="1FD825F4">
                  <wp:extent cx="4572000" cy="5257800"/>
                  <wp:effectExtent l="0" t="0" r="0" b="0"/>
                  <wp:docPr id="2108837647" name="Chart 2108837647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7"/>
                    </a:graphicData>
                  </a:graphic>
                </wp:inline>
              </w:drawing>
            </w:r>
          </w:p>
        </w:tc>
        <w:tc>
          <w:tcPr>
            <w:tcW w:w="2389" w:type="dxa"/>
            <w:shd w:val="clear" w:color="auto" w:fill="FFFFFF"/>
            <w:vAlign w:val="center"/>
          </w:tcPr>
          <w:p w14:paraId="51973AF9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 w:rsidRPr="00D47F59">
              <w:rPr>
                <w:color w:val="000000"/>
              </w:rPr>
              <w:t>Agriculture Development (AgDev) Expertise</w:t>
            </w:r>
          </w:p>
        </w:tc>
        <w:tc>
          <w:tcPr>
            <w:tcW w:w="3910" w:type="dxa"/>
            <w:shd w:val="clear" w:color="auto" w:fill="FFFFFF"/>
            <w:vAlign w:val="center"/>
          </w:tcPr>
          <w:p w14:paraId="31BE4F1B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 w:rsidRPr="00D47F59">
              <w:rPr>
                <w:color w:val="000000"/>
              </w:rPr>
              <w:t>MLO has AgDev expertise, such as agronomist, livestock experts etc.</w:t>
            </w:r>
          </w:p>
        </w:tc>
      </w:tr>
      <w:tr w:rsidR="00354F34" w14:paraId="5B519799" w14:textId="77777777" w:rsidTr="00F51648">
        <w:trPr>
          <w:trHeight w:val="737"/>
        </w:trPr>
        <w:tc>
          <w:tcPr>
            <w:tcW w:w="7416" w:type="dxa"/>
            <w:vMerge/>
            <w:shd w:val="clear" w:color="auto" w:fill="FFFFFF"/>
          </w:tcPr>
          <w:p w14:paraId="709BBA45" w14:textId="77777777" w:rsidR="00354F34" w:rsidRDefault="00354F34" w:rsidP="00F51648">
            <w:pPr>
              <w:spacing w:after="0" w:line="240" w:lineRule="auto"/>
              <w:jc w:val="both"/>
              <w:rPr>
                <w:noProof/>
              </w:rPr>
            </w:pPr>
          </w:p>
        </w:tc>
        <w:tc>
          <w:tcPr>
            <w:tcW w:w="2389" w:type="dxa"/>
            <w:shd w:val="clear" w:color="auto" w:fill="FFFFFF"/>
            <w:vAlign w:val="center"/>
          </w:tcPr>
          <w:p w14:paraId="2145D6FD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 w:rsidRPr="009B5BC3">
              <w:rPr>
                <w:color w:val="000000"/>
              </w:rPr>
              <w:t>In-house Gender expertise</w:t>
            </w:r>
          </w:p>
        </w:tc>
        <w:tc>
          <w:tcPr>
            <w:tcW w:w="3910" w:type="dxa"/>
            <w:shd w:val="clear" w:color="auto" w:fill="FFFFFF"/>
            <w:vAlign w:val="center"/>
          </w:tcPr>
          <w:p w14:paraId="0F556D5F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 w:rsidRPr="009B5BC3">
              <w:rPr>
                <w:color w:val="000000"/>
              </w:rPr>
              <w:t>MLO has in-house gender expertise</w:t>
            </w:r>
          </w:p>
        </w:tc>
      </w:tr>
      <w:tr w:rsidR="00354F34" w14:paraId="5EA6FD34" w14:textId="77777777" w:rsidTr="00F51648">
        <w:trPr>
          <w:trHeight w:val="629"/>
        </w:trPr>
        <w:tc>
          <w:tcPr>
            <w:tcW w:w="7416" w:type="dxa"/>
            <w:vMerge/>
            <w:shd w:val="clear" w:color="auto" w:fill="FFFFFF"/>
          </w:tcPr>
          <w:p w14:paraId="6431AA5D" w14:textId="77777777" w:rsidR="00354F34" w:rsidRDefault="00354F34" w:rsidP="00F516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color w:val="000000"/>
              </w:rPr>
            </w:pPr>
          </w:p>
        </w:tc>
        <w:tc>
          <w:tcPr>
            <w:tcW w:w="2389" w:type="dxa"/>
            <w:shd w:val="clear" w:color="auto" w:fill="FFFFFF"/>
            <w:vAlign w:val="center"/>
          </w:tcPr>
          <w:p w14:paraId="60618D32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 w:rsidRPr="00E03D75">
              <w:rPr>
                <w:color w:val="000000"/>
              </w:rPr>
              <w:t>Gender policy or strategy</w:t>
            </w:r>
          </w:p>
        </w:tc>
        <w:tc>
          <w:tcPr>
            <w:tcW w:w="3910" w:type="dxa"/>
            <w:shd w:val="clear" w:color="auto" w:fill="FFFFFF"/>
            <w:vAlign w:val="center"/>
          </w:tcPr>
          <w:p w14:paraId="1972A815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 w:rsidRPr="00E03D75">
              <w:rPr>
                <w:color w:val="000000"/>
              </w:rPr>
              <w:t>MLO has gender policy or strategy in place</w:t>
            </w:r>
          </w:p>
        </w:tc>
      </w:tr>
      <w:tr w:rsidR="00354F34" w14:paraId="799F6E1C" w14:textId="77777777" w:rsidTr="00F51648">
        <w:trPr>
          <w:trHeight w:val="575"/>
        </w:trPr>
        <w:tc>
          <w:tcPr>
            <w:tcW w:w="7416" w:type="dxa"/>
            <w:vMerge/>
            <w:shd w:val="clear" w:color="auto" w:fill="FFFFFF"/>
          </w:tcPr>
          <w:p w14:paraId="474C89FC" w14:textId="77777777" w:rsidR="00354F34" w:rsidRDefault="00354F34" w:rsidP="00F516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color w:val="000000"/>
              </w:rPr>
            </w:pPr>
          </w:p>
        </w:tc>
        <w:tc>
          <w:tcPr>
            <w:tcW w:w="2389" w:type="dxa"/>
            <w:shd w:val="clear" w:color="auto" w:fill="FFFFFF"/>
            <w:vAlign w:val="center"/>
          </w:tcPr>
          <w:p w14:paraId="5E565712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 w:rsidRPr="00724DA3">
              <w:rPr>
                <w:color w:val="000000"/>
              </w:rPr>
              <w:t>Has infrastructure capacity</w:t>
            </w:r>
          </w:p>
        </w:tc>
        <w:tc>
          <w:tcPr>
            <w:tcW w:w="3910" w:type="dxa"/>
            <w:shd w:val="clear" w:color="auto" w:fill="FFFFFF"/>
            <w:vAlign w:val="center"/>
          </w:tcPr>
          <w:p w14:paraId="3157352B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 w:rsidRPr="00814140">
              <w:rPr>
                <w:color w:val="000000"/>
              </w:rPr>
              <w:t>MLO has available necessary infrastructure capacity which include physical assert such as CIS equipment</w:t>
            </w:r>
          </w:p>
        </w:tc>
      </w:tr>
      <w:tr w:rsidR="00354F34" w14:paraId="68AE065A" w14:textId="77777777" w:rsidTr="00F51648">
        <w:trPr>
          <w:trHeight w:val="629"/>
        </w:trPr>
        <w:tc>
          <w:tcPr>
            <w:tcW w:w="7416" w:type="dxa"/>
            <w:vMerge/>
            <w:shd w:val="clear" w:color="auto" w:fill="FFFFFF"/>
          </w:tcPr>
          <w:p w14:paraId="745030EA" w14:textId="77777777" w:rsidR="00354F34" w:rsidRDefault="00354F34" w:rsidP="00F516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color w:val="000000"/>
              </w:rPr>
            </w:pPr>
          </w:p>
        </w:tc>
        <w:tc>
          <w:tcPr>
            <w:tcW w:w="2389" w:type="dxa"/>
            <w:shd w:val="clear" w:color="auto" w:fill="FFFFFF"/>
            <w:vAlign w:val="center"/>
          </w:tcPr>
          <w:p w14:paraId="43716DE1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 w:rsidRPr="00E8243E">
              <w:rPr>
                <w:color w:val="000000"/>
              </w:rPr>
              <w:t>Network Capacity</w:t>
            </w:r>
          </w:p>
        </w:tc>
        <w:tc>
          <w:tcPr>
            <w:tcW w:w="3910" w:type="dxa"/>
            <w:shd w:val="clear" w:color="auto" w:fill="FFFFFF"/>
            <w:vAlign w:val="center"/>
          </w:tcPr>
          <w:p w14:paraId="719127BA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 w:rsidRPr="00E8243E">
              <w:rPr>
                <w:color w:val="000000"/>
              </w:rPr>
              <w:t>MLO has network capacity</w:t>
            </w:r>
          </w:p>
        </w:tc>
      </w:tr>
      <w:tr w:rsidR="00354F34" w14:paraId="6174E151" w14:textId="77777777" w:rsidTr="00F51648">
        <w:trPr>
          <w:trHeight w:val="746"/>
        </w:trPr>
        <w:tc>
          <w:tcPr>
            <w:tcW w:w="7416" w:type="dxa"/>
            <w:vMerge/>
            <w:shd w:val="clear" w:color="auto" w:fill="FFFFFF"/>
          </w:tcPr>
          <w:p w14:paraId="7736873B" w14:textId="77777777" w:rsidR="00354F34" w:rsidRDefault="00354F34" w:rsidP="00F516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color w:val="000000"/>
              </w:rPr>
            </w:pPr>
          </w:p>
        </w:tc>
        <w:tc>
          <w:tcPr>
            <w:tcW w:w="2389" w:type="dxa"/>
            <w:shd w:val="clear" w:color="auto" w:fill="FFFFFF"/>
            <w:vAlign w:val="center"/>
          </w:tcPr>
          <w:p w14:paraId="01EEC8CA" w14:textId="77777777" w:rsidR="00354F34" w:rsidRPr="00E8243E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 w:rsidRPr="00AB1120">
              <w:rPr>
                <w:color w:val="000000"/>
              </w:rPr>
              <w:t>Has financ</w:t>
            </w:r>
            <w:r>
              <w:rPr>
                <w:color w:val="000000"/>
              </w:rPr>
              <w:t>e capacity</w:t>
            </w:r>
          </w:p>
        </w:tc>
        <w:tc>
          <w:tcPr>
            <w:tcW w:w="3910" w:type="dxa"/>
            <w:shd w:val="clear" w:color="auto" w:fill="FFFFFF"/>
            <w:vAlign w:val="center"/>
          </w:tcPr>
          <w:p w14:paraId="4099A5A7" w14:textId="77777777" w:rsidR="00354F34" w:rsidRPr="00E8243E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 w:rsidRPr="009E4657">
              <w:rPr>
                <w:color w:val="000000"/>
              </w:rPr>
              <w:t>MLO has finance expertise, such as accounting or finance staff</w:t>
            </w:r>
          </w:p>
        </w:tc>
      </w:tr>
      <w:tr w:rsidR="00354F34" w14:paraId="3D5458F0" w14:textId="77777777" w:rsidTr="00F51648">
        <w:trPr>
          <w:trHeight w:val="710"/>
        </w:trPr>
        <w:tc>
          <w:tcPr>
            <w:tcW w:w="7416" w:type="dxa"/>
            <w:vMerge/>
            <w:shd w:val="clear" w:color="auto" w:fill="FFFFFF"/>
          </w:tcPr>
          <w:p w14:paraId="5BF4D59D" w14:textId="77777777" w:rsidR="00354F34" w:rsidRDefault="00354F34" w:rsidP="00F516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color w:val="000000"/>
              </w:rPr>
            </w:pPr>
          </w:p>
        </w:tc>
        <w:tc>
          <w:tcPr>
            <w:tcW w:w="2389" w:type="dxa"/>
            <w:shd w:val="clear" w:color="auto" w:fill="FFFFFF"/>
            <w:vAlign w:val="center"/>
          </w:tcPr>
          <w:p w14:paraId="5AB3C52B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Staff gender sensitivity training</w:t>
            </w:r>
          </w:p>
        </w:tc>
        <w:tc>
          <w:tcPr>
            <w:tcW w:w="3910" w:type="dxa"/>
            <w:shd w:val="clear" w:color="auto" w:fill="FFFFFF"/>
            <w:vAlign w:val="center"/>
          </w:tcPr>
          <w:p w14:paraId="3D9FFA5B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MLO offers staff with gender sensitivity training</w:t>
            </w:r>
          </w:p>
        </w:tc>
      </w:tr>
      <w:tr w:rsidR="00354F34" w14:paraId="75D7FDEA" w14:textId="77777777" w:rsidTr="00F51648">
        <w:trPr>
          <w:trHeight w:val="530"/>
        </w:trPr>
        <w:tc>
          <w:tcPr>
            <w:tcW w:w="7416" w:type="dxa"/>
            <w:vMerge/>
            <w:shd w:val="clear" w:color="auto" w:fill="FFFFFF"/>
          </w:tcPr>
          <w:p w14:paraId="67E4CDE5" w14:textId="77777777" w:rsidR="00354F34" w:rsidRDefault="00354F34" w:rsidP="00F516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color w:val="000000"/>
              </w:rPr>
            </w:pPr>
          </w:p>
        </w:tc>
        <w:tc>
          <w:tcPr>
            <w:tcW w:w="2389" w:type="dxa"/>
            <w:shd w:val="clear" w:color="auto" w:fill="FFFFFF"/>
            <w:vAlign w:val="center"/>
          </w:tcPr>
          <w:p w14:paraId="4FBBBACF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 w:rsidRPr="00AA141E">
              <w:rPr>
                <w:color w:val="000000"/>
              </w:rPr>
              <w:t>M&amp;E System</w:t>
            </w:r>
          </w:p>
        </w:tc>
        <w:tc>
          <w:tcPr>
            <w:tcW w:w="3910" w:type="dxa"/>
            <w:shd w:val="clear" w:color="auto" w:fill="FFFFFF"/>
            <w:vAlign w:val="center"/>
          </w:tcPr>
          <w:p w14:paraId="6FFA7143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 w:rsidRPr="00AA141E">
              <w:rPr>
                <w:color w:val="000000"/>
              </w:rPr>
              <w:t>MLO has M&amp;E system in place</w:t>
            </w:r>
          </w:p>
        </w:tc>
      </w:tr>
      <w:tr w:rsidR="00354F34" w14:paraId="1CCE55F3" w14:textId="77777777" w:rsidTr="00F51648">
        <w:trPr>
          <w:trHeight w:val="620"/>
        </w:trPr>
        <w:tc>
          <w:tcPr>
            <w:tcW w:w="7416" w:type="dxa"/>
            <w:vMerge/>
            <w:shd w:val="clear" w:color="auto" w:fill="FFFFFF"/>
          </w:tcPr>
          <w:p w14:paraId="7A34ED78" w14:textId="77777777" w:rsidR="00354F34" w:rsidRDefault="00354F34" w:rsidP="00F516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color w:val="000000"/>
              </w:rPr>
            </w:pPr>
          </w:p>
        </w:tc>
        <w:tc>
          <w:tcPr>
            <w:tcW w:w="2389" w:type="dxa"/>
            <w:shd w:val="clear" w:color="auto" w:fill="FFFFFF"/>
            <w:vAlign w:val="center"/>
          </w:tcPr>
          <w:p w14:paraId="5B871159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 w:rsidRPr="00E66B98">
              <w:rPr>
                <w:color w:val="000000"/>
              </w:rPr>
              <w:t xml:space="preserve">M&amp;E </w:t>
            </w:r>
            <w:r>
              <w:rPr>
                <w:color w:val="000000"/>
              </w:rPr>
              <w:t>Expertise</w:t>
            </w:r>
            <w:r w:rsidRPr="00E66B98">
              <w:rPr>
                <w:color w:val="000000"/>
              </w:rPr>
              <w:t xml:space="preserve"> in-house</w:t>
            </w:r>
          </w:p>
        </w:tc>
        <w:tc>
          <w:tcPr>
            <w:tcW w:w="3910" w:type="dxa"/>
            <w:shd w:val="clear" w:color="auto" w:fill="FFFFFF"/>
            <w:vAlign w:val="center"/>
          </w:tcPr>
          <w:p w14:paraId="67B16DCE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 w:rsidRPr="00E66B98">
              <w:rPr>
                <w:color w:val="000000"/>
              </w:rPr>
              <w:t>MLO has in-house Monitoring and Evaluation (M&amp;E) expertise</w:t>
            </w:r>
          </w:p>
        </w:tc>
      </w:tr>
      <w:tr w:rsidR="00354F34" w14:paraId="65918BF8" w14:textId="77777777" w:rsidTr="00F51648">
        <w:trPr>
          <w:trHeight w:val="719"/>
        </w:trPr>
        <w:tc>
          <w:tcPr>
            <w:tcW w:w="7416" w:type="dxa"/>
            <w:vMerge/>
            <w:shd w:val="clear" w:color="auto" w:fill="FFFFFF"/>
          </w:tcPr>
          <w:p w14:paraId="32C40426" w14:textId="77777777" w:rsidR="00354F34" w:rsidRDefault="00354F34" w:rsidP="00F516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color w:val="000000"/>
              </w:rPr>
            </w:pPr>
          </w:p>
        </w:tc>
        <w:tc>
          <w:tcPr>
            <w:tcW w:w="2389" w:type="dxa"/>
            <w:shd w:val="clear" w:color="auto" w:fill="FFFFFF"/>
            <w:vAlign w:val="center"/>
          </w:tcPr>
          <w:p w14:paraId="24DFFA7A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 w:rsidRPr="00AA141E">
              <w:rPr>
                <w:color w:val="000000"/>
              </w:rPr>
              <w:t>CIS expertise in-house</w:t>
            </w:r>
          </w:p>
        </w:tc>
        <w:tc>
          <w:tcPr>
            <w:tcW w:w="3910" w:type="dxa"/>
            <w:shd w:val="clear" w:color="auto" w:fill="FFFFFF"/>
            <w:vAlign w:val="center"/>
          </w:tcPr>
          <w:p w14:paraId="3F98D789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 w:rsidRPr="00AA141E">
              <w:rPr>
                <w:color w:val="000000"/>
              </w:rPr>
              <w:t>MLO has in-house climate information services expertise</w:t>
            </w:r>
          </w:p>
        </w:tc>
      </w:tr>
      <w:tr w:rsidR="00354F34" w14:paraId="658A44B3" w14:textId="77777777" w:rsidTr="00F51648">
        <w:trPr>
          <w:trHeight w:val="521"/>
        </w:trPr>
        <w:tc>
          <w:tcPr>
            <w:tcW w:w="7416" w:type="dxa"/>
            <w:vMerge/>
            <w:shd w:val="clear" w:color="auto" w:fill="FFFFFF"/>
          </w:tcPr>
          <w:p w14:paraId="1BB383D6" w14:textId="77777777" w:rsidR="00354F34" w:rsidRDefault="00354F34" w:rsidP="00F516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color w:val="000000"/>
              </w:rPr>
            </w:pPr>
          </w:p>
        </w:tc>
        <w:tc>
          <w:tcPr>
            <w:tcW w:w="2389" w:type="dxa"/>
            <w:shd w:val="clear" w:color="auto" w:fill="FFFFFF"/>
            <w:vAlign w:val="center"/>
          </w:tcPr>
          <w:p w14:paraId="50D55AF2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M&amp;E Staff training</w:t>
            </w:r>
          </w:p>
        </w:tc>
        <w:tc>
          <w:tcPr>
            <w:tcW w:w="3910" w:type="dxa"/>
            <w:shd w:val="clear" w:color="auto" w:fill="FFFFFF"/>
            <w:vAlign w:val="center"/>
          </w:tcPr>
          <w:p w14:paraId="240EC437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Staff received M&amp;E training</w:t>
            </w:r>
          </w:p>
        </w:tc>
      </w:tr>
      <w:tr w:rsidR="00354F34" w14:paraId="484DC717" w14:textId="77777777" w:rsidTr="00F51648">
        <w:trPr>
          <w:trHeight w:val="521"/>
        </w:trPr>
        <w:tc>
          <w:tcPr>
            <w:tcW w:w="7416" w:type="dxa"/>
            <w:vMerge/>
            <w:shd w:val="clear" w:color="auto" w:fill="FFFFFF"/>
          </w:tcPr>
          <w:p w14:paraId="047A7540" w14:textId="77777777" w:rsidR="00354F34" w:rsidRDefault="00354F34" w:rsidP="00F516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color w:val="000000"/>
              </w:rPr>
            </w:pPr>
          </w:p>
        </w:tc>
        <w:tc>
          <w:tcPr>
            <w:tcW w:w="2389" w:type="dxa"/>
            <w:shd w:val="clear" w:color="auto" w:fill="FFFFFF"/>
            <w:vAlign w:val="center"/>
          </w:tcPr>
          <w:p w14:paraId="68F0D324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</w:p>
        </w:tc>
        <w:tc>
          <w:tcPr>
            <w:tcW w:w="3910" w:type="dxa"/>
            <w:shd w:val="clear" w:color="auto" w:fill="FFFFFF"/>
            <w:vAlign w:val="center"/>
          </w:tcPr>
          <w:p w14:paraId="79E10370" w14:textId="77777777" w:rsidR="00354F34" w:rsidRDefault="00354F34" w:rsidP="00F51648">
            <w:pPr>
              <w:spacing w:after="0" w:line="240" w:lineRule="auto"/>
              <w:jc w:val="both"/>
              <w:rPr>
                <w:color w:val="000000"/>
              </w:rPr>
            </w:pPr>
          </w:p>
        </w:tc>
      </w:tr>
    </w:tbl>
    <w:p w14:paraId="6ADB8A4E" w14:textId="77777777" w:rsidR="00354F34" w:rsidRDefault="00354F34" w:rsidP="00354F34">
      <w:pPr>
        <w:jc w:val="both"/>
      </w:pPr>
    </w:p>
    <w:p w14:paraId="382174AC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F34"/>
    <w:rsid w:val="002E281E"/>
    <w:rsid w:val="003201BB"/>
    <w:rsid w:val="00354F34"/>
    <w:rsid w:val="003E2C47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7DEEB1"/>
  <w15:chartTrackingRefBased/>
  <w15:docId w15:val="{715118E7-138B-4429-9E7C-8E6580E08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4F34"/>
    <w:pPr>
      <w:spacing w:line="259" w:lineRule="auto"/>
    </w:pPr>
    <w:rPr>
      <w:rFonts w:ascii="Calibri" w:eastAsia="Calibri" w:hAnsi="Calibri" w:cs="Calibr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54F3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4F3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4F3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4F3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4F3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4F34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4F34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4F34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4F34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4F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4F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4F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4F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4F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4F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4F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4F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4F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4F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54F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4F34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54F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4F34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54F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4F34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54F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4F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4F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4F34"/>
    <w:rPr>
      <w:b/>
      <w:bCs/>
      <w:smallCaps/>
      <w:color w:val="0F4761" w:themeColor="accent1" w:themeShade="BF"/>
      <w:spacing w:val="5"/>
    </w:rPr>
  </w:style>
  <w:style w:type="table" w:customStyle="1" w:styleId="5">
    <w:name w:val="5"/>
    <w:basedOn w:val="TableNormal"/>
    <w:rsid w:val="00354F34"/>
    <w:pPr>
      <w:spacing w:line="259" w:lineRule="auto"/>
    </w:pPr>
    <w:rPr>
      <w:rFonts w:ascii="Calibri" w:eastAsia="Calibri" w:hAnsi="Calibri" w:cs="Calibri"/>
      <w:kern w:val="0"/>
      <w:sz w:val="22"/>
      <w:szCs w:val="22"/>
      <w14:ligatures w14:val="none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4">
    <w:name w:val="4"/>
    <w:basedOn w:val="TableNormal"/>
    <w:rsid w:val="00354F34"/>
    <w:pPr>
      <w:spacing w:line="259" w:lineRule="auto"/>
    </w:pPr>
    <w:rPr>
      <w:rFonts w:ascii="Calibri" w:eastAsia="Calibri" w:hAnsi="Calibri" w:cs="Calibri"/>
      <w:kern w:val="0"/>
      <w:sz w:val="22"/>
      <w:szCs w:val="22"/>
      <w14:ligatures w14:val="none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3">
    <w:name w:val="3"/>
    <w:basedOn w:val="TableNormal"/>
    <w:rsid w:val="00354F34"/>
    <w:pPr>
      <w:spacing w:line="259" w:lineRule="auto"/>
    </w:pPr>
    <w:rPr>
      <w:rFonts w:ascii="Calibri" w:eastAsia="Calibri" w:hAnsi="Calibri" w:cs="Calibri"/>
      <w:kern w:val="0"/>
      <w:sz w:val="22"/>
      <w:szCs w:val="22"/>
      <w14:ligatures w14:val="none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2">
    <w:name w:val="2"/>
    <w:basedOn w:val="TableNormal"/>
    <w:rsid w:val="00354F34"/>
    <w:pPr>
      <w:spacing w:line="259" w:lineRule="auto"/>
    </w:pPr>
    <w:rPr>
      <w:rFonts w:ascii="Calibri" w:eastAsia="Calibri" w:hAnsi="Calibri" w:cs="Calibri"/>
      <w:kern w:val="0"/>
      <w:sz w:val="22"/>
      <w:szCs w:val="22"/>
      <w14:ligatures w14:val="none"/>
    </w:rPr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'MLO Types'!$B$22:$B$30</c:f>
              <c:strCache>
                <c:ptCount val="9"/>
                <c:pt idx="0">
                  <c:v>Other</c:v>
                </c:pt>
                <c:pt idx="1">
                  <c:v>Bilateral</c:v>
                </c:pt>
                <c:pt idx="2">
                  <c:v>International Multilateral</c:v>
                </c:pt>
                <c:pt idx="3">
                  <c:v>University/Research</c:v>
                </c:pt>
                <c:pt idx="4">
                  <c:v>Parastatal</c:v>
                </c:pt>
                <c:pt idx="5">
                  <c:v>Private</c:v>
                </c:pt>
                <c:pt idx="6">
                  <c:v>Government</c:v>
                </c:pt>
                <c:pt idx="7">
                  <c:v>International NPO</c:v>
                </c:pt>
                <c:pt idx="8">
                  <c:v>Local NPO/CBO</c:v>
                </c:pt>
              </c:strCache>
            </c:strRef>
          </c:cat>
          <c:val>
            <c:numRef>
              <c:f>'MLO Types'!$C$22:$C$30</c:f>
              <c:numCache>
                <c:formatCode>0%</c:formatCode>
                <c:ptCount val="9"/>
                <c:pt idx="0">
                  <c:v>0.11</c:v>
                </c:pt>
                <c:pt idx="1">
                  <c:v>0.01</c:v>
                </c:pt>
                <c:pt idx="2">
                  <c:v>0.03</c:v>
                </c:pt>
                <c:pt idx="3">
                  <c:v>0.03</c:v>
                </c:pt>
                <c:pt idx="4">
                  <c:v>0.04</c:v>
                </c:pt>
                <c:pt idx="5">
                  <c:v>0.06</c:v>
                </c:pt>
                <c:pt idx="6">
                  <c:v>0.09</c:v>
                </c:pt>
                <c:pt idx="7">
                  <c:v>0.21</c:v>
                </c:pt>
                <c:pt idx="8">
                  <c:v>0.41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8B7-4AB9-AE86-16C23B249A3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549432392"/>
        <c:axId val="549428072"/>
      </c:barChart>
      <c:catAx>
        <c:axId val="54943239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9428072"/>
        <c:crosses val="autoZero"/>
        <c:auto val="1"/>
        <c:lblAlgn val="ctr"/>
        <c:lblOffset val="100"/>
        <c:noMultiLvlLbl val="0"/>
      </c:catAx>
      <c:valAx>
        <c:axId val="549428072"/>
        <c:scaling>
          <c:orientation val="minMax"/>
          <c:max val="0.4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9432392"/>
        <c:crosses val="autoZero"/>
        <c:crossBetween val="between"/>
        <c:majorUnit val="0.1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'CCA Focus by country%'!$M$90</c:f>
              <c:strCache>
                <c:ptCount val="1"/>
                <c:pt idx="0">
                  <c:v>CCAFocus_Limited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'CCA Focus by country%'!$L$91:$L$94</c:f>
              <c:strCache>
                <c:ptCount val="4"/>
                <c:pt idx="0">
                  <c:v>Ghana</c:v>
                </c:pt>
                <c:pt idx="1">
                  <c:v>Kenya</c:v>
                </c:pt>
                <c:pt idx="2">
                  <c:v>Malawi</c:v>
                </c:pt>
                <c:pt idx="3">
                  <c:v>South Africa</c:v>
                </c:pt>
              </c:strCache>
            </c:strRef>
          </c:cat>
          <c:val>
            <c:numRef>
              <c:f>'CCA Focus by country%'!$M$91:$M$94</c:f>
              <c:numCache>
                <c:formatCode>0%</c:formatCode>
                <c:ptCount val="4"/>
                <c:pt idx="0">
                  <c:v>0.15789473684210525</c:v>
                </c:pt>
                <c:pt idx="1">
                  <c:v>0.05</c:v>
                </c:pt>
                <c:pt idx="2">
                  <c:v>8.6956521739130432E-2</c:v>
                </c:pt>
                <c:pt idx="3">
                  <c:v>0.125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79A-4FA6-A558-3C715452E1C0}"/>
            </c:ext>
          </c:extLst>
        </c:ser>
        <c:ser>
          <c:idx val="1"/>
          <c:order val="1"/>
          <c:tx>
            <c:strRef>
              <c:f>'CCA Focus by country%'!$N$90</c:f>
              <c:strCache>
                <c:ptCount val="1"/>
                <c:pt idx="0">
                  <c:v>CCAFocus_Moderate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'CCA Focus by country%'!$L$91:$L$94</c:f>
              <c:strCache>
                <c:ptCount val="4"/>
                <c:pt idx="0">
                  <c:v>Ghana</c:v>
                </c:pt>
                <c:pt idx="1">
                  <c:v>Kenya</c:v>
                </c:pt>
                <c:pt idx="2">
                  <c:v>Malawi</c:v>
                </c:pt>
                <c:pt idx="3">
                  <c:v>South Africa</c:v>
                </c:pt>
              </c:strCache>
            </c:strRef>
          </c:cat>
          <c:val>
            <c:numRef>
              <c:f>'CCA Focus by country%'!$N$91:$N$94</c:f>
              <c:numCache>
                <c:formatCode>0%</c:formatCode>
                <c:ptCount val="4"/>
                <c:pt idx="0">
                  <c:v>0.36842105263157893</c:v>
                </c:pt>
                <c:pt idx="1">
                  <c:v>0.1</c:v>
                </c:pt>
                <c:pt idx="2">
                  <c:v>0.34782608695652173</c:v>
                </c:pt>
                <c:pt idx="3">
                  <c:v>0.125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79A-4FA6-A558-3C715452E1C0}"/>
            </c:ext>
          </c:extLst>
        </c:ser>
        <c:ser>
          <c:idx val="2"/>
          <c:order val="2"/>
          <c:tx>
            <c:strRef>
              <c:f>'CCA Focus by country%'!$O$90</c:f>
              <c:strCache>
                <c:ptCount val="1"/>
                <c:pt idx="0">
                  <c:v>CCAFocus_Strong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'CCA Focus by country%'!$L$91:$L$94</c:f>
              <c:strCache>
                <c:ptCount val="4"/>
                <c:pt idx="0">
                  <c:v>Ghana</c:v>
                </c:pt>
                <c:pt idx="1">
                  <c:v>Kenya</c:v>
                </c:pt>
                <c:pt idx="2">
                  <c:v>Malawi</c:v>
                </c:pt>
                <c:pt idx="3">
                  <c:v>South Africa</c:v>
                </c:pt>
              </c:strCache>
            </c:strRef>
          </c:cat>
          <c:val>
            <c:numRef>
              <c:f>'CCA Focus by country%'!$O$91:$O$94</c:f>
              <c:numCache>
                <c:formatCode>0%</c:formatCode>
                <c:ptCount val="4"/>
                <c:pt idx="0">
                  <c:v>0.21052631578947367</c:v>
                </c:pt>
                <c:pt idx="1">
                  <c:v>0.5</c:v>
                </c:pt>
                <c:pt idx="2">
                  <c:v>0.47826086956521741</c:v>
                </c:pt>
                <c:pt idx="3">
                  <c:v>0.25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79A-4FA6-A558-3C715452E1C0}"/>
            </c:ext>
          </c:extLst>
        </c:ser>
        <c:ser>
          <c:idx val="3"/>
          <c:order val="3"/>
          <c:tx>
            <c:strRef>
              <c:f>'CCA Focus by country%'!$P$90</c:f>
              <c:strCache>
                <c:ptCount val="1"/>
                <c:pt idx="0">
                  <c:v>CCAFocus_Core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'CCA Focus by country%'!$L$91:$L$94</c:f>
              <c:strCache>
                <c:ptCount val="4"/>
                <c:pt idx="0">
                  <c:v>Ghana</c:v>
                </c:pt>
                <c:pt idx="1">
                  <c:v>Kenya</c:v>
                </c:pt>
                <c:pt idx="2">
                  <c:v>Malawi</c:v>
                </c:pt>
                <c:pt idx="3">
                  <c:v>South Africa</c:v>
                </c:pt>
              </c:strCache>
            </c:strRef>
          </c:cat>
          <c:val>
            <c:numRef>
              <c:f>'CCA Focus by country%'!$P$91:$P$94</c:f>
              <c:numCache>
                <c:formatCode>0%</c:formatCode>
                <c:ptCount val="4"/>
                <c:pt idx="0">
                  <c:v>0.26315789473684209</c:v>
                </c:pt>
                <c:pt idx="1">
                  <c:v>0.35</c:v>
                </c:pt>
                <c:pt idx="2">
                  <c:v>8.6956521739130432E-2</c:v>
                </c:pt>
                <c:pt idx="3">
                  <c:v>0.375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79A-4FA6-A558-3C715452E1C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93999384"/>
        <c:axId val="794004424"/>
      </c:barChart>
      <c:catAx>
        <c:axId val="79399938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94004424"/>
        <c:crosses val="autoZero"/>
        <c:auto val="1"/>
        <c:lblAlgn val="ctr"/>
        <c:lblOffset val="100"/>
        <c:noMultiLvlLbl val="0"/>
      </c:catAx>
      <c:valAx>
        <c:axId val="7940044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939993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'CCA Activities'!$B$34:$B$40</c:f>
              <c:strCache>
                <c:ptCount val="7"/>
                <c:pt idx="0">
                  <c:v>Infrastructure for CCA</c:v>
                </c:pt>
                <c:pt idx="1">
                  <c:v>Climate Information Services</c:v>
                </c:pt>
                <c:pt idx="2">
                  <c:v>Agroecology</c:v>
                </c:pt>
                <c:pt idx="3">
                  <c:v>Carbon sequestration/Mitigation</c:v>
                </c:pt>
                <c:pt idx="4">
                  <c:v>Climate smart agriculture practice</c:v>
                </c:pt>
                <c:pt idx="5">
                  <c:v>Policy/Institutional/Advocacy</c:v>
                </c:pt>
                <c:pt idx="6">
                  <c:v>Awareness/Education on CCA</c:v>
                </c:pt>
              </c:strCache>
            </c:strRef>
          </c:cat>
          <c:val>
            <c:numRef>
              <c:f>'CCA Activities'!$C$34:$C$40</c:f>
              <c:numCache>
                <c:formatCode>0%</c:formatCode>
                <c:ptCount val="7"/>
                <c:pt idx="0">
                  <c:v>2.8985507246376812E-2</c:v>
                </c:pt>
                <c:pt idx="1">
                  <c:v>0.14492753623188406</c:v>
                </c:pt>
                <c:pt idx="2">
                  <c:v>0.14492753623188406</c:v>
                </c:pt>
                <c:pt idx="3">
                  <c:v>0.17391304347826086</c:v>
                </c:pt>
                <c:pt idx="4">
                  <c:v>0.21739130434782608</c:v>
                </c:pt>
                <c:pt idx="5">
                  <c:v>0.24637681159420291</c:v>
                </c:pt>
                <c:pt idx="6">
                  <c:v>0.30434782608695654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616-44A2-882C-DF1D53CF01C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426717008"/>
        <c:axId val="426717368"/>
      </c:barChart>
      <c:catAx>
        <c:axId val="42671700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26717368"/>
        <c:crosses val="autoZero"/>
        <c:auto val="1"/>
        <c:lblAlgn val="ctr"/>
        <c:lblOffset val="100"/>
        <c:noMultiLvlLbl val="0"/>
      </c:catAx>
      <c:valAx>
        <c:axId val="42671736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2671700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'MLO Capacities'!$C$55:$C$65</c:f>
              <c:strCache>
                <c:ptCount val="11"/>
                <c:pt idx="0">
                  <c:v>M&amp;E Staff Training</c:v>
                </c:pt>
                <c:pt idx="1">
                  <c:v>CIS Expertise_Inhouse</c:v>
                </c:pt>
                <c:pt idx="2">
                  <c:v>M&amp;E Expertise_Inhouse</c:v>
                </c:pt>
                <c:pt idx="3">
                  <c:v>M&amp;E_System</c:v>
                </c:pt>
                <c:pt idx="4">
                  <c:v>Staff Gender Sensitivity Training</c:v>
                </c:pt>
                <c:pt idx="5">
                  <c:v>Has Finance Capacity</c:v>
                </c:pt>
                <c:pt idx="6">
                  <c:v>Has Network Capacity </c:v>
                </c:pt>
                <c:pt idx="7">
                  <c:v>Has Infrastructure Capacity</c:v>
                </c:pt>
                <c:pt idx="8">
                  <c:v>Gender Policy/Strategy</c:v>
                </c:pt>
                <c:pt idx="9">
                  <c:v>Gender Expertise_Inhouse</c:v>
                </c:pt>
                <c:pt idx="10">
                  <c:v>Agriculture Development Expertise</c:v>
                </c:pt>
              </c:strCache>
            </c:strRef>
          </c:cat>
          <c:val>
            <c:numRef>
              <c:f>'MLO Capacities'!$D$55:$D$65</c:f>
              <c:numCache>
                <c:formatCode>0%</c:formatCode>
                <c:ptCount val="11"/>
                <c:pt idx="0">
                  <c:v>1.5384615384615385E-2</c:v>
                </c:pt>
                <c:pt idx="1">
                  <c:v>0.12307692307692308</c:v>
                </c:pt>
                <c:pt idx="2">
                  <c:v>0.12307692307692308</c:v>
                </c:pt>
                <c:pt idx="3">
                  <c:v>0.13846153846153847</c:v>
                </c:pt>
                <c:pt idx="4">
                  <c:v>0.15384615384615385</c:v>
                </c:pt>
                <c:pt idx="5">
                  <c:v>0.23076923076923078</c:v>
                </c:pt>
                <c:pt idx="6">
                  <c:v>0.24615384615384617</c:v>
                </c:pt>
                <c:pt idx="7">
                  <c:v>0.24615384615384617</c:v>
                </c:pt>
                <c:pt idx="8">
                  <c:v>0.26153846153846155</c:v>
                </c:pt>
                <c:pt idx="9">
                  <c:v>0.33846153846153848</c:v>
                </c:pt>
                <c:pt idx="10">
                  <c:v>0.38461538461538464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3E2-4277-9C5B-5689C9E128A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794023504"/>
        <c:axId val="794023144"/>
      </c:barChart>
      <c:catAx>
        <c:axId val="79402350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94023144"/>
        <c:crosses val="autoZero"/>
        <c:auto val="1"/>
        <c:lblAlgn val="ctr"/>
        <c:lblOffset val="100"/>
        <c:noMultiLvlLbl val="0"/>
      </c:catAx>
      <c:valAx>
        <c:axId val="794023144"/>
        <c:scaling>
          <c:orientation val="minMax"/>
          <c:max val="0.4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94023504"/>
        <c:crosses val="autoZero"/>
        <c:crossBetween val="between"/>
        <c:majorUnit val="0.1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543</Words>
  <Characters>3101</Characters>
  <Application>Microsoft Office Word</Application>
  <DocSecurity>0</DocSecurity>
  <Lines>25</Lines>
  <Paragraphs>7</Paragraphs>
  <ScaleCrop>false</ScaleCrop>
  <Company>Springer Nature</Company>
  <LinksUpToDate>false</LinksUpToDate>
  <CharactersWithSpaces>3637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2025-07-08T15:10:00Z</dcterms:created>
  <dcterms:modified xsi:type="dcterms:W3CDTF">2025-07-08T15:10:00Z</dcterms:modified>
</cp:coreProperties>
</file>