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rFonts w:ascii="Liberation Serif" w:hAnsi="Liberation Serif" w:eastAsia="Liberation Serif" w:cs="Liberation Serif"/>
          <w:color w:val="000000" w:themeColor="text1"/>
          <w:lang w:val="en-GB"/>
        </w:rPr>
      </w:pPr>
      <w:r>
        <w:rPr/>
        <w:drawing>
          <wp:inline distT="0" distB="0" distL="0" distR="0">
            <wp:extent cx="5731510" cy="3296285"/>
            <wp:effectExtent l="0" t="0" r="0" b="0"/>
            <wp:docPr id="1"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
                    <pic:cNvPicPr>
                      <a:picLocks noChangeAspect="1" noChangeArrowheads="1"/>
                    </pic:cNvPicPr>
                  </pic:nvPicPr>
                  <pic:blipFill>
                    <a:blip r:embed="rId2"/>
                    <a:stretch>
                      <a:fillRect/>
                    </a:stretch>
                  </pic:blipFill>
                  <pic:spPr bwMode="auto">
                    <a:xfrm>
                      <a:off x="0" y="0"/>
                      <a:ext cx="5731510" cy="3296285"/>
                    </a:xfrm>
                    <a:prstGeom prst="rect">
                      <a:avLst/>
                    </a:prstGeom>
                  </pic:spPr>
                </pic:pic>
              </a:graphicData>
            </a:graphic>
          </wp:inline>
        </w:drawing>
      </w:r>
      <w:r>
        <w:rPr>
          <w:rFonts w:eastAsia="Liberation Serif" w:cs="Liberation Serif" w:ascii="Liberation Serif" w:hAnsi="Liberation Serif"/>
          <w:b/>
          <w:bCs/>
          <w:lang w:val="en-GB"/>
        </w:rPr>
        <w:t xml:space="preserve"> </w:t>
      </w:r>
      <w:r>
        <w:rPr>
          <w:rFonts w:eastAsia="Liberation Serif" w:cs="Liberation Serif" w:ascii="Liberation Serif" w:hAnsi="Liberation Serif"/>
          <w:b/>
          <w:bCs/>
          <w:lang w:val="en-GB"/>
        </w:rPr>
        <w:t>Sup Figure S1</w:t>
      </w:r>
      <w:r>
        <w:rPr>
          <w:rFonts w:eastAsia="Liberation Serif" w:cs="Liberation Serif" w:ascii="Liberation Serif" w:hAnsi="Liberation Serif"/>
          <w:b/>
          <w:bCs/>
          <w:color w:val="000000" w:themeColor="text1"/>
          <w:lang w:val="en-GB"/>
        </w:rPr>
        <w:t xml:space="preserve">. </w:t>
      </w:r>
      <w:r>
        <w:rPr>
          <w:rFonts w:eastAsia="Liberation Serif" w:cs="Liberation Serif" w:ascii="Liberation Serif" w:hAnsi="Liberation Serif"/>
          <w:color w:val="000000" w:themeColor="text1"/>
          <w:lang w:val="en-GB"/>
        </w:rPr>
        <w:t>Forest plot of the association between diagnoses and long COVID correcting by COVID-19 hospitalisation. In the y-axis, the ICD-10 code and description, and in the x-axis the odds ratio. Colours represent ICD-10 chapters.</w:t>
      </w:r>
      <w:r>
        <w:br w:type="page"/>
      </w:r>
    </w:p>
    <w:p>
      <w:pPr>
        <w:pStyle w:val="Normal"/>
        <w:spacing w:lineRule="auto" w:line="360"/>
        <w:jc w:val="both"/>
        <w:rPr>
          <w:rFonts w:ascii="Liberation Serif" w:hAnsi="Liberation Serif" w:eastAsia="Liberation Serif" w:cs="Liberation Serif"/>
          <w:color w:val="000000" w:themeColor="text1"/>
          <w:lang w:val="en-GB"/>
        </w:rPr>
      </w:pPr>
      <w:r>
        <w:rPr/>
        <w:drawing>
          <wp:inline distT="0" distB="0" distL="0" distR="0">
            <wp:extent cx="5731510" cy="401193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5731510" cy="4011930"/>
                    </a:xfrm>
                    <a:prstGeom prst="rect">
                      <a:avLst/>
                    </a:prstGeom>
                  </pic:spPr>
                </pic:pic>
              </a:graphicData>
            </a:graphic>
          </wp:inline>
        </w:drawing>
      </w:r>
    </w:p>
    <w:p>
      <w:pPr>
        <w:pStyle w:val="Normal"/>
        <w:spacing w:lineRule="auto" w:line="360"/>
        <w:rPr>
          <w:rFonts w:ascii="Liberation Serif" w:hAnsi="Liberation Serif" w:eastAsia="Liberation Serif" w:cs="Liberation Serif"/>
          <w:color w:val="000000" w:themeColor="text1"/>
          <w:lang w:val="en-GB"/>
        </w:rPr>
      </w:pPr>
      <w:r>
        <w:rPr>
          <w:rFonts w:eastAsia="Liberation Serif" w:cs="Liberation Serif" w:ascii="Liberation Serif" w:hAnsi="Liberation Serif"/>
          <w:b/>
          <w:bCs/>
          <w:lang w:val="en-GB"/>
        </w:rPr>
        <w:t>Sup Figure S2</w:t>
      </w:r>
      <w:r>
        <w:rPr>
          <w:rFonts w:eastAsia="Liberation Serif" w:cs="Liberation Serif" w:ascii="Liberation Serif" w:hAnsi="Liberation Serif"/>
          <w:color w:val="000000" w:themeColor="text1"/>
          <w:lang w:val="en-GB"/>
        </w:rPr>
        <w:t>. Forest plot of the association between disease trajectories and long COVID correcting by COVID-19 severity. In the y-axis, the ICD-10 code and description of the trajectories, and in the x-axis the odds ratio. Colours represent trajectories clusters.</w:t>
      </w:r>
    </w:p>
    <w:p>
      <w:pPr>
        <w:pStyle w:val="Normal"/>
        <w:spacing w:lineRule="auto" w:line="360"/>
        <w:rPr>
          <w:rFonts w:ascii="Liberation Serif" w:hAnsi="Liberation Serif" w:eastAsia="Liberation Serif" w:cs="Liberation Serif"/>
          <w:color w:val="000000" w:themeColor="text1"/>
        </w:rPr>
      </w:pPr>
      <w:r>
        <w:rPr/>
      </w:r>
      <w:r>
        <w:br w:type="page"/>
      </w:r>
    </w:p>
    <w:p>
      <w:pPr>
        <w:pStyle w:val="Normal"/>
        <w:spacing w:lineRule="auto" w:line="360"/>
        <w:rPr>
          <w:rFonts w:ascii="Liberation Serif" w:hAnsi="Liberation Serif" w:eastAsia="Liberation Serif" w:cs="Liberation Serif"/>
          <w:color w:val="000000" w:themeColor="text1"/>
        </w:rPr>
      </w:pPr>
      <w:r>
        <w:rPr/>
        <w:drawing>
          <wp:inline distT="0" distB="0" distL="0" distR="0">
            <wp:extent cx="5731510" cy="3513455"/>
            <wp:effectExtent l="0" t="0" r="0" b="0"/>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4"/>
                    <a:stretch>
                      <a:fillRect/>
                    </a:stretch>
                  </pic:blipFill>
                  <pic:spPr bwMode="auto">
                    <a:xfrm>
                      <a:off x="0" y="0"/>
                      <a:ext cx="5731510" cy="3513455"/>
                    </a:xfrm>
                    <a:prstGeom prst="rect">
                      <a:avLst/>
                    </a:prstGeom>
                  </pic:spPr>
                </pic:pic>
              </a:graphicData>
            </a:graphic>
          </wp:inline>
        </w:drawing>
      </w:r>
    </w:p>
    <w:p>
      <w:pPr>
        <w:pStyle w:val="Normal"/>
        <w:spacing w:lineRule="auto" w:line="360"/>
        <w:jc w:val="both"/>
        <w:rPr>
          <w:rFonts w:ascii="Liberation Serif" w:hAnsi="Liberation Serif" w:eastAsia="Liberation Serif" w:cs="Liberation Serif"/>
          <w:i/>
          <w:i/>
          <w:iCs/>
          <w:color w:val="000000" w:themeColor="text1"/>
          <w:lang w:val="en-GB"/>
        </w:rPr>
      </w:pPr>
      <w:r>
        <w:rPr>
          <w:rFonts w:eastAsia="Liberation Serif" w:cs="Liberation Serif" w:ascii="Liberation Serif" w:hAnsi="Liberation Serif"/>
          <w:b/>
          <w:bCs/>
          <w:lang w:val="en-GB"/>
        </w:rPr>
        <w:t>Sup Figure S3</w:t>
      </w:r>
      <w:r>
        <w:rPr>
          <w:rFonts w:eastAsia="Liberation Serif" w:cs="Liberation Serif" w:ascii="Liberation Serif" w:hAnsi="Liberation Serif"/>
          <w:color w:val="000000" w:themeColor="text1"/>
          <w:lang w:val="en-GB"/>
        </w:rPr>
        <w:t>. Disease trajectories associated with long COVID corrected by COVID-19 severity, depicting the ICD-10 chapter of the first and second diagnosis for the aggregated analysis (left) and for women (right). The width of the lines represents the number of individuals with the trajectory and long COVID, and the colour the cluster of trajectories.</w:t>
      </w:r>
    </w:p>
    <w:p>
      <w:pPr>
        <w:pStyle w:val="Normal"/>
        <w:spacing w:lineRule="auto" w:line="360" w:before="240" w:after="160"/>
        <w:jc w:val="both"/>
        <w:rPr>
          <w:rFonts w:ascii="Liberation Serif" w:hAnsi="Liberation Serif" w:eastAsia="Liberation Serif" w:cs="Liberation Serif"/>
          <w:i/>
          <w:i/>
          <w:iCs/>
          <w:color w:val="000000" w:themeColor="text1"/>
          <w:lang w:val="en-GB"/>
        </w:rPr>
      </w:pPr>
      <w:r>
        <w:rPr/>
      </w:r>
      <w:r>
        <w:br w:type="page"/>
      </w:r>
    </w:p>
    <w:p>
      <w:pPr>
        <w:pStyle w:val="Normal"/>
        <w:spacing w:lineRule="auto" w:line="360" w:before="240" w:after="160"/>
        <w:jc w:val="both"/>
        <w:rPr>
          <w:rFonts w:ascii="Liberation Serif" w:hAnsi="Liberation Serif" w:eastAsia="Liberation Serif" w:cs="Liberation Serif"/>
          <w:i/>
          <w:i/>
          <w:iCs/>
          <w:color w:val="000000" w:themeColor="text1"/>
          <w:lang w:val="en-GB"/>
        </w:rPr>
      </w:pPr>
      <w:r>
        <w:rPr/>
        <w:drawing>
          <wp:inline distT="0" distB="0" distL="0" distR="0">
            <wp:extent cx="5715000" cy="2914650"/>
            <wp:effectExtent l="0" t="0" r="0" b="0"/>
            <wp:docPr id="4" name="Imagen 16270890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27089016" descr=""/>
                    <pic:cNvPicPr>
                      <a:picLocks noChangeAspect="1" noChangeArrowheads="1"/>
                    </pic:cNvPicPr>
                  </pic:nvPicPr>
                  <pic:blipFill>
                    <a:blip r:embed="rId5"/>
                    <a:stretch>
                      <a:fillRect/>
                    </a:stretch>
                  </pic:blipFill>
                  <pic:spPr bwMode="auto">
                    <a:xfrm>
                      <a:off x="0" y="0"/>
                      <a:ext cx="5715000" cy="2914650"/>
                    </a:xfrm>
                    <a:prstGeom prst="rect">
                      <a:avLst/>
                    </a:prstGeom>
                  </pic:spPr>
                </pic:pic>
              </a:graphicData>
            </a:graphic>
          </wp:inline>
        </w:drawing>
      </w:r>
      <w:r>
        <w:rPr>
          <w:rFonts w:eastAsia="Liberation Serif" w:cs="Liberation Serif" w:ascii="Liberation Serif" w:hAnsi="Liberation Serif"/>
          <w:b/>
          <w:bCs/>
          <w:lang w:val="en-GB"/>
        </w:rPr>
        <w:t xml:space="preserve"> </w:t>
      </w:r>
      <w:r>
        <w:rPr>
          <w:rFonts w:eastAsia="Liberation Serif" w:cs="Liberation Serif" w:ascii="Liberation Serif" w:hAnsi="Liberation Serif"/>
          <w:b/>
          <w:bCs/>
          <w:lang w:val="en-GB"/>
        </w:rPr>
        <w:t>Sup Figure S4</w:t>
      </w:r>
      <w:r>
        <w:rPr>
          <w:rFonts w:eastAsia="Liberation Serif" w:cs="Liberation Serif" w:ascii="Liberation Serif" w:hAnsi="Liberation Serif"/>
          <w:lang w:val="en-GB"/>
        </w:rPr>
        <w:t>. Distribution of the number of significantly associated disease trajectories across 10,000 iterations of random long COVID case and controls distribution, in the aggregated and sex-specific analysis. The solid blue line indicates the 99</w:t>
      </w:r>
      <w:r>
        <w:rPr>
          <w:rFonts w:eastAsia="Liberation Serif" w:cs="Liberation Serif" w:ascii="Liberation Serif" w:hAnsi="Liberation Serif"/>
          <w:vertAlign w:val="superscript"/>
          <w:lang w:val="en-GB"/>
        </w:rPr>
        <w:t>th</w:t>
      </w:r>
      <w:r>
        <w:rPr>
          <w:rFonts w:eastAsia="Liberation Serif" w:cs="Liberation Serif" w:ascii="Liberation Serif" w:hAnsi="Liberation Serif"/>
          <w:lang w:val="en-GB"/>
        </w:rPr>
        <w:t xml:space="preserve"> percentile. The red dashed line indicates the number of real associated disease trajectories for each analysis.</w:t>
      </w:r>
    </w:p>
    <w:p>
      <w:pPr>
        <w:pStyle w:val="Normal"/>
        <w:spacing w:lineRule="auto" w:line="360"/>
        <w:jc w:val="both"/>
        <w:rPr>
          <w:rFonts w:ascii="Liberation Serif" w:hAnsi="Liberation Serif" w:eastAsia="Liberation Serif" w:cs="Liberation Serif"/>
          <w:lang w:val="en-GB"/>
        </w:rPr>
      </w:pPr>
      <w:r>
        <w:rPr/>
        <w:drawing>
          <wp:inline distT="0" distB="0" distL="0" distR="0">
            <wp:extent cx="5715000" cy="4933950"/>
            <wp:effectExtent l="0" t="0" r="0" b="0"/>
            <wp:docPr id="5" name="Imagen 9700698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970069832" descr=""/>
                    <pic:cNvPicPr>
                      <a:picLocks noChangeAspect="1" noChangeArrowheads="1"/>
                    </pic:cNvPicPr>
                  </pic:nvPicPr>
                  <pic:blipFill>
                    <a:blip r:embed="rId6"/>
                    <a:stretch>
                      <a:fillRect/>
                    </a:stretch>
                  </pic:blipFill>
                  <pic:spPr bwMode="auto">
                    <a:xfrm>
                      <a:off x="0" y="0"/>
                      <a:ext cx="5715000" cy="4933950"/>
                    </a:xfrm>
                    <a:prstGeom prst="rect">
                      <a:avLst/>
                    </a:prstGeom>
                  </pic:spPr>
                </pic:pic>
              </a:graphicData>
            </a:graphic>
          </wp:inline>
        </w:drawing>
      </w:r>
      <w:r>
        <w:rPr>
          <w:rFonts w:eastAsia="Liberation Serif" w:cs="Liberation Serif" w:ascii="Liberation Serif" w:hAnsi="Liberation Serif"/>
          <w:b/>
          <w:bCs/>
          <w:lang w:val="en-GB"/>
        </w:rPr>
        <w:t xml:space="preserve"> </w:t>
      </w:r>
      <w:r>
        <w:rPr>
          <w:rFonts w:eastAsia="Liberation Serif" w:cs="Liberation Serif" w:ascii="Liberation Serif" w:hAnsi="Liberation Serif"/>
          <w:b/>
          <w:bCs/>
          <w:lang w:val="en-GB"/>
        </w:rPr>
        <w:t>Sup Figure S5</w:t>
      </w:r>
      <w:r>
        <w:rPr>
          <w:rFonts w:eastAsia="Liberation Serif" w:cs="Liberation Serif" w:ascii="Liberation Serif" w:hAnsi="Liberation Serif"/>
          <w:lang w:val="en-GB"/>
        </w:rPr>
        <w:t>. Heatmap of the genetic correlation among the selected diseases and long COVID. Colour gradient indicates correlation, and asterisk indicates a p-value &lt; 0.05.</w:t>
      </w:r>
    </w:p>
    <w:p>
      <w:pPr>
        <w:pStyle w:val="Normal"/>
        <w:spacing w:lineRule="auto" w:line="360"/>
        <w:jc w:val="both"/>
        <w:rPr>
          <w:rFonts w:ascii="Liberation Serif" w:hAnsi="Liberation Serif" w:eastAsia="Liberation Serif" w:cs="Liberation Serif"/>
          <w:color w:val="000000" w:themeColor="text1"/>
        </w:rPr>
      </w:pPr>
      <w:r>
        <w:rPr/>
        <w:drawing>
          <wp:inline distT="0" distB="0" distL="0" distR="0">
            <wp:extent cx="5715000" cy="2762250"/>
            <wp:effectExtent l="0" t="0" r="0" b="0"/>
            <wp:docPr id="6" name="Imagen 3898019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89801906" descr=""/>
                    <pic:cNvPicPr>
                      <a:picLocks noChangeAspect="1" noChangeArrowheads="1"/>
                    </pic:cNvPicPr>
                  </pic:nvPicPr>
                  <pic:blipFill>
                    <a:blip r:embed="rId7"/>
                    <a:stretch>
                      <a:fillRect/>
                    </a:stretch>
                  </pic:blipFill>
                  <pic:spPr bwMode="auto">
                    <a:xfrm>
                      <a:off x="0" y="0"/>
                      <a:ext cx="5715000" cy="2762250"/>
                    </a:xfrm>
                    <a:prstGeom prst="rect">
                      <a:avLst/>
                    </a:prstGeom>
                  </pic:spPr>
                </pic:pic>
              </a:graphicData>
            </a:graphic>
          </wp:inline>
        </w:drawing>
      </w:r>
      <w:r>
        <w:rPr>
          <w:lang w:val="en-GB"/>
        </w:rPr>
        <w:br/>
      </w:r>
      <w:r>
        <w:rPr>
          <w:rFonts w:eastAsia="Liberation Serif" w:cs="Liberation Serif" w:ascii="Liberation Serif" w:hAnsi="Liberation Serif"/>
          <w:b/>
          <w:bCs/>
          <w:lang w:val="en-GB"/>
        </w:rPr>
        <w:t>Sup Figure S6</w:t>
      </w:r>
      <w:r>
        <w:rPr>
          <w:rFonts w:eastAsia="Liberation Serif" w:cs="Liberation Serif" w:ascii="Liberation Serif" w:hAnsi="Liberation Serif"/>
          <w:color w:val="000000" w:themeColor="text1"/>
          <w:lang w:val="en-GB"/>
        </w:rPr>
        <w:t>. Forest plot of the significant association (adjusted p-value &lt; 0.05) between disease PRS and long COVID diagnosis. Aggregated and sex-stratified analysis.</w:t>
      </w:r>
    </w:p>
    <w:p>
      <w:pPr>
        <w:pStyle w:val="Normal"/>
        <w:widowControl/>
        <w:bidi w:val="0"/>
        <w:spacing w:lineRule="auto" w:line="278" w:before="0" w:after="160"/>
        <w:jc w:val="lef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0"/>
      <w:sz w:val="24"/>
      <w:szCs w:val="24"/>
      <w:lang w:val="es-E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LibreOffice/7.4.7.2$Linux_X86_64 LibreOffice_project/40$Build-2</Application>
  <AppVersion>15.0000</AppVersion>
  <Pages>6</Pages>
  <Words>233</Words>
  <Characters>1334</Characters>
  <CharactersWithSpaces>1565</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2025-04-23T08:42:00Z</dcterms:created>
  <dc:creator>Natalia Blay Magriña</dc:creator>
  <dc:description/>
  <dc:language>en-US</dc:language>
  <cp:lastModifiedBy/>
  <dcterms:modified xsi:type="dcterms:W3CDTF">2025-06-19T16:12:21Z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