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67" w:type="dxa"/>
        <w:jc w:val="right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993"/>
        <w:gridCol w:w="992"/>
        <w:gridCol w:w="992"/>
        <w:gridCol w:w="992"/>
      </w:tblGrid>
      <w:tr w:rsidR="00992B52" w:rsidRPr="00DE1261" w14:paraId="1B130B09" w14:textId="77777777" w:rsidTr="0071502F">
        <w:trPr>
          <w:trHeight w:val="756"/>
          <w:jc w:val="right"/>
        </w:trPr>
        <w:tc>
          <w:tcPr>
            <w:tcW w:w="3397" w:type="dxa"/>
            <w:vMerge w:val="restart"/>
          </w:tcPr>
          <w:p w14:paraId="5AB64C03" w14:textId="77777777" w:rsidR="00992B52" w:rsidRPr="00DE1261" w:rsidRDefault="00992B52" w:rsidP="0071502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1E8EF884" w14:textId="77777777" w:rsidR="00992B52" w:rsidRDefault="00992B52" w:rsidP="0071502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  <w:p w14:paraId="6DE0A93B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DE1261">
              <w:rPr>
                <w:rFonts w:cstheme="minorHAnsi"/>
                <w:b/>
                <w:sz w:val="24"/>
                <w:szCs w:val="24"/>
              </w:rPr>
              <w:t xml:space="preserve">Cut-point for mixed (DPG </w:t>
            </w:r>
            <w:r w:rsidRPr="00DE1261">
              <w:rPr>
                <w:rFonts w:cstheme="minorHAnsi"/>
                <w:b/>
                <w:sz w:val="24"/>
                <w:szCs w:val="24"/>
                <w:u w:val="single"/>
              </w:rPr>
              <w:t>&gt;</w:t>
            </w:r>
            <w:r w:rsidRPr="00DE1261">
              <w:rPr>
                <w:rFonts w:cstheme="minorHAnsi"/>
                <w:b/>
                <w:sz w:val="24"/>
                <w:szCs w:val="24"/>
              </w:rPr>
              <w:t xml:space="preserve"> 7 mmHg) pre/post</w:t>
            </w:r>
            <w:r>
              <w:rPr>
                <w:rFonts w:cstheme="minorHAnsi"/>
                <w:b/>
                <w:sz w:val="24"/>
                <w:szCs w:val="24"/>
              </w:rPr>
              <w:t>-</w:t>
            </w:r>
            <w:r w:rsidRPr="00DE1261">
              <w:rPr>
                <w:rFonts w:cstheme="minorHAnsi"/>
                <w:b/>
                <w:sz w:val="24"/>
                <w:szCs w:val="24"/>
              </w:rPr>
              <w:t>capillary PH diagnosis</w:t>
            </w:r>
          </w:p>
        </w:tc>
        <w:tc>
          <w:tcPr>
            <w:tcW w:w="1985" w:type="dxa"/>
            <w:gridSpan w:val="2"/>
          </w:tcPr>
          <w:p w14:paraId="5EC92EFF" w14:textId="77777777" w:rsidR="00992B52" w:rsidRDefault="00992B52" w:rsidP="0071502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71CE27F" w14:textId="77777777" w:rsidR="00992B52" w:rsidRPr="00DE1261" w:rsidRDefault="00992B52" w:rsidP="0071502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E1261">
              <w:rPr>
                <w:rFonts w:cstheme="minorHAnsi"/>
                <w:b/>
                <w:sz w:val="24"/>
                <w:szCs w:val="24"/>
              </w:rPr>
              <w:t xml:space="preserve">Likelihood ratio for </w:t>
            </w:r>
            <w:r>
              <w:rPr>
                <w:rFonts w:cstheme="minorHAnsi"/>
                <w:b/>
                <w:sz w:val="24"/>
                <w:szCs w:val="24"/>
              </w:rPr>
              <w:t>mixed pre/post-</w:t>
            </w:r>
            <w:r w:rsidRPr="00DE1261">
              <w:rPr>
                <w:rFonts w:cstheme="minorHAnsi"/>
                <w:b/>
                <w:sz w:val="24"/>
                <w:szCs w:val="24"/>
              </w:rPr>
              <w:t xml:space="preserve"> capillary PH diagnosis</w:t>
            </w:r>
          </w:p>
        </w:tc>
        <w:tc>
          <w:tcPr>
            <w:tcW w:w="992" w:type="dxa"/>
            <w:vMerge w:val="restart"/>
          </w:tcPr>
          <w:p w14:paraId="5A2A179F" w14:textId="77777777" w:rsidR="00992B52" w:rsidRDefault="00992B52" w:rsidP="0071502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BD927C6" w14:textId="77777777" w:rsidR="00992B52" w:rsidRPr="00DE1261" w:rsidRDefault="00992B52" w:rsidP="0071502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E1261">
              <w:rPr>
                <w:rFonts w:cstheme="minorHAnsi"/>
                <w:b/>
                <w:sz w:val="24"/>
                <w:szCs w:val="24"/>
              </w:rPr>
              <w:t>Sens</w:t>
            </w:r>
          </w:p>
        </w:tc>
        <w:tc>
          <w:tcPr>
            <w:tcW w:w="992" w:type="dxa"/>
            <w:vMerge w:val="restart"/>
          </w:tcPr>
          <w:p w14:paraId="74D797D1" w14:textId="77777777" w:rsidR="00992B52" w:rsidRDefault="00992B52" w:rsidP="0071502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DE8124F" w14:textId="77777777" w:rsidR="00992B52" w:rsidRPr="00DE1261" w:rsidRDefault="00992B52" w:rsidP="0071502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E1261">
              <w:rPr>
                <w:rFonts w:cstheme="minorHAnsi"/>
                <w:b/>
                <w:sz w:val="24"/>
                <w:szCs w:val="24"/>
              </w:rPr>
              <w:t>Spec</w:t>
            </w:r>
          </w:p>
        </w:tc>
      </w:tr>
      <w:tr w:rsidR="00992B52" w:rsidRPr="00DE1261" w14:paraId="6A08B95E" w14:textId="77777777" w:rsidTr="0071502F">
        <w:trPr>
          <w:trHeight w:val="72"/>
          <w:jc w:val="right"/>
        </w:trPr>
        <w:tc>
          <w:tcPr>
            <w:tcW w:w="3397" w:type="dxa"/>
            <w:vMerge/>
          </w:tcPr>
          <w:p w14:paraId="449B23CC" w14:textId="77777777" w:rsidR="00992B52" w:rsidRPr="00DE1261" w:rsidRDefault="00992B52" w:rsidP="0071502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EB9268C" w14:textId="77777777" w:rsidR="00992B52" w:rsidRPr="00DE1261" w:rsidRDefault="00992B52" w:rsidP="0071502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70088FBD" w14:textId="77777777" w:rsidR="00992B52" w:rsidRPr="00DE1261" w:rsidRDefault="00992B52" w:rsidP="0071502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E1261">
              <w:rPr>
                <w:rFonts w:cstheme="minorHAnsi"/>
                <w:b/>
                <w:sz w:val="24"/>
                <w:szCs w:val="24"/>
              </w:rPr>
              <w:t>+LR</w:t>
            </w:r>
          </w:p>
        </w:tc>
        <w:tc>
          <w:tcPr>
            <w:tcW w:w="992" w:type="dxa"/>
          </w:tcPr>
          <w:p w14:paraId="137F3F6C" w14:textId="77777777" w:rsidR="00992B52" w:rsidRPr="00DE1261" w:rsidRDefault="00992B52" w:rsidP="0071502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E1261">
              <w:rPr>
                <w:rFonts w:cstheme="minorHAnsi"/>
                <w:b/>
                <w:sz w:val="24"/>
                <w:szCs w:val="24"/>
              </w:rPr>
              <w:t>-LR</w:t>
            </w:r>
          </w:p>
        </w:tc>
        <w:tc>
          <w:tcPr>
            <w:tcW w:w="992" w:type="dxa"/>
            <w:vMerge/>
          </w:tcPr>
          <w:p w14:paraId="13B0CC28" w14:textId="77777777" w:rsidR="00992B52" w:rsidRPr="00DE1261" w:rsidRDefault="00992B52" w:rsidP="0071502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094DDAC" w14:textId="77777777" w:rsidR="00992B52" w:rsidRPr="00DE1261" w:rsidRDefault="00992B52" w:rsidP="0071502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92B52" w:rsidRPr="00DE1261" w14:paraId="2EFA577C" w14:textId="77777777" w:rsidTr="0071502F">
        <w:trPr>
          <w:trHeight w:val="375"/>
          <w:jc w:val="right"/>
        </w:trPr>
        <w:tc>
          <w:tcPr>
            <w:tcW w:w="9067" w:type="dxa"/>
            <w:gridSpan w:val="6"/>
          </w:tcPr>
          <w:p w14:paraId="6BBC3997" w14:textId="77777777" w:rsidR="00992B52" w:rsidRPr="00DE1261" w:rsidRDefault="00992B52" w:rsidP="0071502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E1261">
              <w:rPr>
                <w:rFonts w:cstheme="minorHAnsi"/>
                <w:b/>
                <w:sz w:val="24"/>
                <w:szCs w:val="24"/>
              </w:rPr>
              <w:t>TTE</w:t>
            </w:r>
          </w:p>
        </w:tc>
      </w:tr>
      <w:tr w:rsidR="00992B52" w:rsidRPr="00DE1261" w14:paraId="6BDB33A2" w14:textId="77777777" w:rsidTr="0071502F">
        <w:trPr>
          <w:trHeight w:val="379"/>
          <w:jc w:val="right"/>
        </w:trPr>
        <w:tc>
          <w:tcPr>
            <w:tcW w:w="3397" w:type="dxa"/>
          </w:tcPr>
          <w:p w14:paraId="54FAECD0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DE1261">
              <w:rPr>
                <w:rFonts w:cstheme="minorHAnsi"/>
                <w:b/>
                <w:sz w:val="24"/>
                <w:szCs w:val="24"/>
              </w:rPr>
              <w:t>ePLAR (E/medial e’)</w:t>
            </w:r>
          </w:p>
        </w:tc>
        <w:tc>
          <w:tcPr>
            <w:tcW w:w="1701" w:type="dxa"/>
            <w:shd w:val="clear" w:color="auto" w:fill="FFFFFF" w:themeFill="background1"/>
          </w:tcPr>
          <w:p w14:paraId="395BCD51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≤ 0.29</w:t>
            </w:r>
          </w:p>
        </w:tc>
        <w:tc>
          <w:tcPr>
            <w:tcW w:w="993" w:type="dxa"/>
            <w:shd w:val="clear" w:color="auto" w:fill="FFFFFF" w:themeFill="background1"/>
          </w:tcPr>
          <w:p w14:paraId="11E06988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3.1</w:t>
            </w:r>
          </w:p>
        </w:tc>
        <w:tc>
          <w:tcPr>
            <w:tcW w:w="992" w:type="dxa"/>
            <w:shd w:val="clear" w:color="auto" w:fill="FFFFFF" w:themeFill="background1"/>
          </w:tcPr>
          <w:p w14:paraId="693D365C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0.4</w:t>
            </w:r>
          </w:p>
        </w:tc>
        <w:tc>
          <w:tcPr>
            <w:tcW w:w="992" w:type="dxa"/>
            <w:shd w:val="clear" w:color="auto" w:fill="FFFFFF" w:themeFill="background1"/>
          </w:tcPr>
          <w:p w14:paraId="6C5B4AD9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70%</w:t>
            </w:r>
          </w:p>
        </w:tc>
        <w:tc>
          <w:tcPr>
            <w:tcW w:w="992" w:type="dxa"/>
            <w:shd w:val="clear" w:color="auto" w:fill="FFFFFF" w:themeFill="background1"/>
          </w:tcPr>
          <w:p w14:paraId="05536876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77%</w:t>
            </w:r>
          </w:p>
        </w:tc>
      </w:tr>
      <w:tr w:rsidR="00992B52" w:rsidRPr="00DE1261" w14:paraId="056016E8" w14:textId="77777777" w:rsidTr="0071502F">
        <w:trPr>
          <w:trHeight w:val="379"/>
          <w:jc w:val="right"/>
        </w:trPr>
        <w:tc>
          <w:tcPr>
            <w:tcW w:w="3397" w:type="dxa"/>
          </w:tcPr>
          <w:p w14:paraId="5358B39A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DE1261">
              <w:rPr>
                <w:rFonts w:cstheme="minorHAnsi"/>
                <w:b/>
                <w:sz w:val="24"/>
                <w:szCs w:val="24"/>
              </w:rPr>
              <w:t>Variant ePLAR (E/lateral e’)</w:t>
            </w:r>
          </w:p>
        </w:tc>
        <w:tc>
          <w:tcPr>
            <w:tcW w:w="1701" w:type="dxa"/>
            <w:shd w:val="clear" w:color="auto" w:fill="FFFFFF" w:themeFill="background1"/>
          </w:tcPr>
          <w:p w14:paraId="0CEF0E90" w14:textId="77777777" w:rsidR="00992B52" w:rsidRPr="0043197F" w:rsidRDefault="00992B52" w:rsidP="0071502F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3197F">
              <w:rPr>
                <w:rFonts w:cstheme="minorHAnsi"/>
                <w:b/>
                <w:bCs/>
                <w:sz w:val="24"/>
                <w:szCs w:val="24"/>
              </w:rPr>
              <w:t>≤ 0.38</w:t>
            </w:r>
          </w:p>
        </w:tc>
        <w:tc>
          <w:tcPr>
            <w:tcW w:w="993" w:type="dxa"/>
            <w:shd w:val="clear" w:color="auto" w:fill="FFFFFF" w:themeFill="background1"/>
          </w:tcPr>
          <w:p w14:paraId="4A0E6834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8.8</w:t>
            </w:r>
          </w:p>
        </w:tc>
        <w:tc>
          <w:tcPr>
            <w:tcW w:w="992" w:type="dxa"/>
            <w:shd w:val="clear" w:color="auto" w:fill="FFFFFF" w:themeFill="background1"/>
          </w:tcPr>
          <w:p w14:paraId="25C06E15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0.2</w:t>
            </w:r>
          </w:p>
        </w:tc>
        <w:tc>
          <w:tcPr>
            <w:tcW w:w="992" w:type="dxa"/>
            <w:shd w:val="clear" w:color="auto" w:fill="FFFFFF" w:themeFill="background1"/>
          </w:tcPr>
          <w:p w14:paraId="624BD147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80%</w:t>
            </w:r>
          </w:p>
        </w:tc>
        <w:tc>
          <w:tcPr>
            <w:tcW w:w="992" w:type="dxa"/>
            <w:shd w:val="clear" w:color="auto" w:fill="FFFFFF" w:themeFill="background1"/>
          </w:tcPr>
          <w:p w14:paraId="11A86CBC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91%</w:t>
            </w:r>
          </w:p>
        </w:tc>
      </w:tr>
      <w:tr w:rsidR="00992B52" w:rsidRPr="00DE1261" w14:paraId="7D6C8683" w14:textId="77777777" w:rsidTr="0071502F">
        <w:trPr>
          <w:trHeight w:val="379"/>
          <w:jc w:val="right"/>
        </w:trPr>
        <w:tc>
          <w:tcPr>
            <w:tcW w:w="3397" w:type="dxa"/>
          </w:tcPr>
          <w:p w14:paraId="525B7502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DE1261">
              <w:rPr>
                <w:rFonts w:cstheme="minorHAnsi"/>
                <w:b/>
                <w:sz w:val="24"/>
                <w:szCs w:val="24"/>
              </w:rPr>
              <w:t>Variant ePLAR (average E/e’)</w:t>
            </w:r>
          </w:p>
        </w:tc>
        <w:tc>
          <w:tcPr>
            <w:tcW w:w="1701" w:type="dxa"/>
            <w:shd w:val="clear" w:color="auto" w:fill="FFFFFF" w:themeFill="background1"/>
          </w:tcPr>
          <w:p w14:paraId="19A4A672" w14:textId="77777777" w:rsidR="00992B52" w:rsidRPr="0043197F" w:rsidRDefault="00992B52" w:rsidP="0071502F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3197F">
              <w:rPr>
                <w:rFonts w:cstheme="minorHAnsi"/>
                <w:b/>
                <w:bCs/>
                <w:sz w:val="24"/>
                <w:szCs w:val="24"/>
              </w:rPr>
              <w:t>≤ 0.36</w:t>
            </w:r>
          </w:p>
        </w:tc>
        <w:tc>
          <w:tcPr>
            <w:tcW w:w="993" w:type="dxa"/>
            <w:shd w:val="clear" w:color="auto" w:fill="FFFFFF" w:themeFill="background1"/>
          </w:tcPr>
          <w:p w14:paraId="5C921949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4.4</w:t>
            </w:r>
          </w:p>
        </w:tc>
        <w:tc>
          <w:tcPr>
            <w:tcW w:w="992" w:type="dxa"/>
            <w:shd w:val="clear" w:color="auto" w:fill="FFFFFF" w:themeFill="background1"/>
          </w:tcPr>
          <w:p w14:paraId="6BE0F65C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0.2</w:t>
            </w:r>
          </w:p>
        </w:tc>
        <w:tc>
          <w:tcPr>
            <w:tcW w:w="992" w:type="dxa"/>
            <w:shd w:val="clear" w:color="auto" w:fill="FFFFFF" w:themeFill="background1"/>
          </w:tcPr>
          <w:p w14:paraId="30581664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80%</w:t>
            </w:r>
          </w:p>
        </w:tc>
        <w:tc>
          <w:tcPr>
            <w:tcW w:w="992" w:type="dxa"/>
            <w:shd w:val="clear" w:color="auto" w:fill="FFFFFF" w:themeFill="background1"/>
          </w:tcPr>
          <w:p w14:paraId="3E5FD49E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82%</w:t>
            </w:r>
          </w:p>
        </w:tc>
      </w:tr>
      <w:tr w:rsidR="000D402B" w:rsidRPr="00DE1261" w14:paraId="05D3CD79" w14:textId="77777777" w:rsidTr="00BA1C85">
        <w:trPr>
          <w:trHeight w:val="379"/>
          <w:jc w:val="right"/>
        </w:trPr>
        <w:tc>
          <w:tcPr>
            <w:tcW w:w="3397" w:type="dxa"/>
            <w:shd w:val="clear" w:color="auto" w:fill="auto"/>
          </w:tcPr>
          <w:p w14:paraId="212BD304" w14:textId="45CC50D2" w:rsidR="000D402B" w:rsidRPr="00BA1C85" w:rsidRDefault="000D402B" w:rsidP="0071502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BA1C85">
              <w:rPr>
                <w:rFonts w:cstheme="minorHAnsi"/>
                <w:b/>
                <w:sz w:val="24"/>
                <w:szCs w:val="24"/>
              </w:rPr>
              <w:t>TTE LAVi (ml/m</w:t>
            </w:r>
            <w:r w:rsidRPr="00BA1C85">
              <w:rPr>
                <w:rFonts w:cstheme="minorHAnsi"/>
                <w:b/>
                <w:sz w:val="24"/>
                <w:szCs w:val="24"/>
                <w:vertAlign w:val="superscript"/>
              </w:rPr>
              <w:t>2</w:t>
            </w:r>
            <w:r w:rsidRPr="00BA1C85">
              <w:rPr>
                <w:rFonts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294AF727" w14:textId="16F6928A" w:rsidR="000D402B" w:rsidRPr="00BA1C85" w:rsidRDefault="000D402B" w:rsidP="000D402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1C85">
              <w:rPr>
                <w:rFonts w:cstheme="minorHAnsi"/>
                <w:sz w:val="24"/>
                <w:szCs w:val="24"/>
              </w:rPr>
              <w:t xml:space="preserve">&gt; </w:t>
            </w:r>
            <w:r w:rsidR="00FB15D2" w:rsidRPr="00BA1C85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14:paraId="3BF85D93" w14:textId="56F8DCB8" w:rsidR="000D402B" w:rsidRPr="00BA1C85" w:rsidRDefault="00FB15D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1C85">
              <w:rPr>
                <w:rFonts w:cstheme="minorHAnsi"/>
                <w:sz w:val="24"/>
                <w:szCs w:val="24"/>
              </w:rPr>
              <w:t>5.5</w:t>
            </w:r>
          </w:p>
        </w:tc>
        <w:tc>
          <w:tcPr>
            <w:tcW w:w="992" w:type="dxa"/>
            <w:shd w:val="clear" w:color="auto" w:fill="auto"/>
          </w:tcPr>
          <w:p w14:paraId="422A920A" w14:textId="1FBAAE3E" w:rsidR="000D402B" w:rsidRPr="00BA1C85" w:rsidRDefault="000D402B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1C85">
              <w:rPr>
                <w:rFonts w:cstheme="minorHAnsi"/>
                <w:sz w:val="24"/>
                <w:szCs w:val="24"/>
              </w:rPr>
              <w:t>0.</w:t>
            </w:r>
            <w:r w:rsidR="00FB15D2" w:rsidRPr="00BA1C85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63167F7" w14:textId="067B52AA" w:rsidR="000D402B" w:rsidRPr="00BA1C85" w:rsidRDefault="00FB15D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1C85">
              <w:rPr>
                <w:rFonts w:cstheme="minorHAnsi"/>
                <w:sz w:val="24"/>
                <w:szCs w:val="24"/>
              </w:rPr>
              <w:t>100</w:t>
            </w:r>
            <w:r w:rsidR="000D402B" w:rsidRPr="00BA1C85">
              <w:rPr>
                <w:rFonts w:cstheme="minorHAnsi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14:paraId="606E62DE" w14:textId="4734BEE7" w:rsidR="000D402B" w:rsidRPr="00BA1C85" w:rsidRDefault="000D402B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1C85">
              <w:rPr>
                <w:rFonts w:cstheme="minorHAnsi"/>
                <w:sz w:val="24"/>
                <w:szCs w:val="24"/>
              </w:rPr>
              <w:t>82%</w:t>
            </w:r>
          </w:p>
        </w:tc>
      </w:tr>
      <w:tr w:rsidR="00992B52" w:rsidRPr="00DE1261" w14:paraId="6308D9BB" w14:textId="77777777" w:rsidTr="0071502F">
        <w:trPr>
          <w:trHeight w:val="379"/>
          <w:jc w:val="right"/>
        </w:trPr>
        <w:tc>
          <w:tcPr>
            <w:tcW w:w="9067" w:type="dxa"/>
            <w:gridSpan w:val="6"/>
            <w:shd w:val="clear" w:color="auto" w:fill="FFFFFF" w:themeFill="background1"/>
          </w:tcPr>
          <w:p w14:paraId="47715CFB" w14:textId="77777777" w:rsidR="00992B52" w:rsidRPr="00DE1261" w:rsidRDefault="00992B52" w:rsidP="0071502F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E1261">
              <w:rPr>
                <w:rFonts w:cstheme="minorHAnsi"/>
                <w:b/>
                <w:bCs/>
                <w:sz w:val="24"/>
                <w:szCs w:val="24"/>
              </w:rPr>
              <w:t>CMR</w:t>
            </w:r>
          </w:p>
        </w:tc>
      </w:tr>
      <w:tr w:rsidR="00992B52" w:rsidRPr="00DE1261" w14:paraId="5521E46F" w14:textId="77777777" w:rsidTr="0071502F">
        <w:trPr>
          <w:trHeight w:val="379"/>
          <w:jc w:val="right"/>
        </w:trPr>
        <w:tc>
          <w:tcPr>
            <w:tcW w:w="3397" w:type="dxa"/>
          </w:tcPr>
          <w:p w14:paraId="6595BEE3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DE1261">
              <w:rPr>
                <w:rFonts w:cstheme="minorHAnsi"/>
                <w:b/>
                <w:sz w:val="24"/>
                <w:szCs w:val="24"/>
              </w:rPr>
              <w:t>Peak LA strain (%)</w:t>
            </w:r>
          </w:p>
        </w:tc>
        <w:tc>
          <w:tcPr>
            <w:tcW w:w="1701" w:type="dxa"/>
            <w:shd w:val="clear" w:color="auto" w:fill="FFFFFF" w:themeFill="background1"/>
          </w:tcPr>
          <w:p w14:paraId="3CC8F025" w14:textId="77777777" w:rsidR="00992B52" w:rsidRPr="0043197F" w:rsidRDefault="00992B52" w:rsidP="0071502F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3197F">
              <w:rPr>
                <w:rFonts w:cstheme="minorHAnsi"/>
                <w:b/>
                <w:bCs/>
                <w:sz w:val="24"/>
                <w:szCs w:val="24"/>
                <w:u w:val="single"/>
              </w:rPr>
              <w:t>&lt;</w:t>
            </w:r>
            <w:r w:rsidRPr="0043197F">
              <w:rPr>
                <w:rFonts w:cstheme="minorHAnsi"/>
                <w:b/>
                <w:bCs/>
                <w:sz w:val="24"/>
                <w:szCs w:val="24"/>
              </w:rPr>
              <w:t xml:space="preserve"> 12.7</w:t>
            </w:r>
          </w:p>
        </w:tc>
        <w:tc>
          <w:tcPr>
            <w:tcW w:w="993" w:type="dxa"/>
            <w:shd w:val="clear" w:color="auto" w:fill="FFFFFF" w:themeFill="background1"/>
          </w:tcPr>
          <w:p w14:paraId="03B18194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19.8</w:t>
            </w:r>
          </w:p>
        </w:tc>
        <w:tc>
          <w:tcPr>
            <w:tcW w:w="992" w:type="dxa"/>
            <w:shd w:val="clear" w:color="auto" w:fill="FFFFFF" w:themeFill="background1"/>
          </w:tcPr>
          <w:p w14:paraId="4BC4BED7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0.1</w:t>
            </w:r>
          </w:p>
        </w:tc>
        <w:tc>
          <w:tcPr>
            <w:tcW w:w="992" w:type="dxa"/>
            <w:shd w:val="clear" w:color="auto" w:fill="FFFFFF" w:themeFill="background1"/>
          </w:tcPr>
          <w:p w14:paraId="55DA2129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90%</w:t>
            </w:r>
          </w:p>
        </w:tc>
        <w:tc>
          <w:tcPr>
            <w:tcW w:w="992" w:type="dxa"/>
            <w:shd w:val="clear" w:color="auto" w:fill="FFFFFF" w:themeFill="background1"/>
          </w:tcPr>
          <w:p w14:paraId="2C3700AE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95%</w:t>
            </w:r>
          </w:p>
        </w:tc>
      </w:tr>
      <w:tr w:rsidR="00992B52" w:rsidRPr="00DE1261" w14:paraId="3154F477" w14:textId="77777777" w:rsidTr="0071502F">
        <w:trPr>
          <w:trHeight w:val="189"/>
          <w:jc w:val="right"/>
        </w:trPr>
        <w:tc>
          <w:tcPr>
            <w:tcW w:w="3397" w:type="dxa"/>
          </w:tcPr>
          <w:p w14:paraId="10454C45" w14:textId="5773C711" w:rsidR="00992B52" w:rsidRPr="00993052" w:rsidRDefault="000D402B" w:rsidP="0071502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CMR </w:t>
            </w:r>
            <w:r w:rsidR="00992B52" w:rsidRPr="00993052">
              <w:rPr>
                <w:rFonts w:cstheme="minorHAnsi"/>
                <w:b/>
                <w:sz w:val="24"/>
                <w:szCs w:val="24"/>
              </w:rPr>
              <w:t>LAVi (ml/m</w:t>
            </w:r>
            <w:r w:rsidR="00992B52" w:rsidRPr="00993052">
              <w:rPr>
                <w:rFonts w:cstheme="minorHAnsi"/>
                <w:b/>
                <w:sz w:val="24"/>
                <w:szCs w:val="24"/>
                <w:vertAlign w:val="superscript"/>
              </w:rPr>
              <w:t>2</w:t>
            </w:r>
            <w:r w:rsidR="00992B52" w:rsidRPr="00993052">
              <w:rPr>
                <w:rFonts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</w:tcPr>
          <w:p w14:paraId="4D8BB3A7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&gt; 39</w:t>
            </w:r>
          </w:p>
        </w:tc>
        <w:tc>
          <w:tcPr>
            <w:tcW w:w="993" w:type="dxa"/>
            <w:shd w:val="clear" w:color="auto" w:fill="FFFFFF" w:themeFill="background1"/>
          </w:tcPr>
          <w:p w14:paraId="0377FD8A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22.0</w:t>
            </w:r>
          </w:p>
        </w:tc>
        <w:tc>
          <w:tcPr>
            <w:tcW w:w="992" w:type="dxa"/>
            <w:shd w:val="clear" w:color="auto" w:fill="FFFFFF" w:themeFill="background1"/>
          </w:tcPr>
          <w:p w14:paraId="2D4651E1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0.0</w:t>
            </w:r>
          </w:p>
        </w:tc>
        <w:tc>
          <w:tcPr>
            <w:tcW w:w="992" w:type="dxa"/>
            <w:shd w:val="clear" w:color="auto" w:fill="FFFFFF" w:themeFill="background1"/>
          </w:tcPr>
          <w:p w14:paraId="7DBFE7CC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992" w:type="dxa"/>
            <w:shd w:val="clear" w:color="auto" w:fill="FFFFFF" w:themeFill="background1"/>
          </w:tcPr>
          <w:p w14:paraId="462C6CC1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95%</w:t>
            </w:r>
          </w:p>
        </w:tc>
      </w:tr>
      <w:tr w:rsidR="00992B52" w:rsidRPr="00DE1261" w14:paraId="56C47627" w14:textId="77777777" w:rsidTr="0071502F">
        <w:trPr>
          <w:trHeight w:val="375"/>
          <w:jc w:val="right"/>
        </w:trPr>
        <w:tc>
          <w:tcPr>
            <w:tcW w:w="3397" w:type="dxa"/>
          </w:tcPr>
          <w:p w14:paraId="23335698" w14:textId="77777777" w:rsidR="00992B52" w:rsidRPr="00993052" w:rsidRDefault="00992B52" w:rsidP="0071502F">
            <w:pPr>
              <w:spacing w:line="360" w:lineRule="auto"/>
              <w:rPr>
                <w:rFonts w:cstheme="minorHAnsi"/>
                <w:b/>
                <w:sz w:val="24"/>
                <w:szCs w:val="24"/>
                <w:lang w:val="fr-CH"/>
              </w:rPr>
            </w:pPr>
            <w:r w:rsidRPr="00993052">
              <w:rPr>
                <w:rFonts w:cstheme="minorHAnsi"/>
                <w:b/>
                <w:sz w:val="24"/>
                <w:szCs w:val="24"/>
                <w:lang w:val="fr-CH"/>
              </w:rPr>
              <w:t>LA/RA volume ratio</w:t>
            </w:r>
          </w:p>
        </w:tc>
        <w:tc>
          <w:tcPr>
            <w:tcW w:w="1701" w:type="dxa"/>
            <w:shd w:val="clear" w:color="auto" w:fill="FFFFFF" w:themeFill="background1"/>
          </w:tcPr>
          <w:p w14:paraId="038DC523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&gt; 0.72</w:t>
            </w:r>
          </w:p>
        </w:tc>
        <w:tc>
          <w:tcPr>
            <w:tcW w:w="993" w:type="dxa"/>
            <w:shd w:val="clear" w:color="auto" w:fill="FFFFFF" w:themeFill="background1"/>
          </w:tcPr>
          <w:p w14:paraId="70D080DD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5.0</w:t>
            </w:r>
          </w:p>
        </w:tc>
        <w:tc>
          <w:tcPr>
            <w:tcW w:w="992" w:type="dxa"/>
            <w:shd w:val="clear" w:color="auto" w:fill="FFFFFF" w:themeFill="background1"/>
          </w:tcPr>
          <w:p w14:paraId="09ECA47C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0.1</w:t>
            </w:r>
          </w:p>
        </w:tc>
        <w:tc>
          <w:tcPr>
            <w:tcW w:w="992" w:type="dxa"/>
            <w:shd w:val="clear" w:color="auto" w:fill="FFFFFF" w:themeFill="background1"/>
          </w:tcPr>
          <w:p w14:paraId="566EE8CF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90%</w:t>
            </w:r>
          </w:p>
        </w:tc>
        <w:tc>
          <w:tcPr>
            <w:tcW w:w="992" w:type="dxa"/>
            <w:shd w:val="clear" w:color="auto" w:fill="FFFFFF" w:themeFill="background1"/>
          </w:tcPr>
          <w:p w14:paraId="77E63D24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82%</w:t>
            </w:r>
          </w:p>
        </w:tc>
      </w:tr>
      <w:tr w:rsidR="00992B52" w:rsidRPr="00DE1261" w14:paraId="60A1A081" w14:textId="77777777" w:rsidTr="0071502F">
        <w:trPr>
          <w:trHeight w:val="570"/>
          <w:jc w:val="right"/>
        </w:trPr>
        <w:tc>
          <w:tcPr>
            <w:tcW w:w="3397" w:type="dxa"/>
          </w:tcPr>
          <w:p w14:paraId="49F59B8C" w14:textId="77777777" w:rsidR="00992B52" w:rsidRPr="00993052" w:rsidRDefault="00992B52" w:rsidP="0071502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993052">
              <w:rPr>
                <w:rFonts w:cstheme="minorHAnsi"/>
                <w:b/>
                <w:sz w:val="24"/>
                <w:szCs w:val="24"/>
              </w:rPr>
              <w:t>LVEDV/RVEDV ratio</w:t>
            </w:r>
          </w:p>
        </w:tc>
        <w:tc>
          <w:tcPr>
            <w:tcW w:w="1701" w:type="dxa"/>
            <w:shd w:val="clear" w:color="auto" w:fill="FFFFFF" w:themeFill="background1"/>
          </w:tcPr>
          <w:p w14:paraId="6E5D1A7B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&gt; 0.56</w:t>
            </w:r>
          </w:p>
        </w:tc>
        <w:tc>
          <w:tcPr>
            <w:tcW w:w="993" w:type="dxa"/>
            <w:shd w:val="clear" w:color="auto" w:fill="FFFFFF" w:themeFill="background1"/>
          </w:tcPr>
          <w:p w14:paraId="04CDCB9C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3.9</w:t>
            </w:r>
          </w:p>
        </w:tc>
        <w:tc>
          <w:tcPr>
            <w:tcW w:w="992" w:type="dxa"/>
            <w:shd w:val="clear" w:color="auto" w:fill="FFFFFF" w:themeFill="background1"/>
          </w:tcPr>
          <w:p w14:paraId="6608DAF0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0.4</w:t>
            </w:r>
          </w:p>
        </w:tc>
        <w:tc>
          <w:tcPr>
            <w:tcW w:w="992" w:type="dxa"/>
            <w:shd w:val="clear" w:color="auto" w:fill="FFFFFF" w:themeFill="background1"/>
          </w:tcPr>
          <w:p w14:paraId="7CC41D06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70%</w:t>
            </w:r>
          </w:p>
        </w:tc>
        <w:tc>
          <w:tcPr>
            <w:tcW w:w="992" w:type="dxa"/>
            <w:shd w:val="clear" w:color="auto" w:fill="FFFFFF" w:themeFill="background1"/>
          </w:tcPr>
          <w:p w14:paraId="0A9A6858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82%</w:t>
            </w:r>
          </w:p>
        </w:tc>
      </w:tr>
      <w:tr w:rsidR="00992B52" w:rsidRPr="00DE1261" w14:paraId="572ACCFC" w14:textId="77777777" w:rsidTr="0071502F">
        <w:trPr>
          <w:trHeight w:val="189"/>
          <w:jc w:val="right"/>
        </w:trPr>
        <w:tc>
          <w:tcPr>
            <w:tcW w:w="3397" w:type="dxa"/>
          </w:tcPr>
          <w:p w14:paraId="339758F8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DE1261">
              <w:rPr>
                <w:rFonts w:cstheme="minorHAnsi"/>
                <w:b/>
                <w:sz w:val="24"/>
                <w:szCs w:val="24"/>
              </w:rPr>
              <w:t>RV GLS (%)</w:t>
            </w:r>
          </w:p>
        </w:tc>
        <w:tc>
          <w:tcPr>
            <w:tcW w:w="1701" w:type="dxa"/>
            <w:shd w:val="clear" w:color="auto" w:fill="FFFFFF" w:themeFill="background1"/>
          </w:tcPr>
          <w:p w14:paraId="503CEF58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≤-10.4</w:t>
            </w:r>
          </w:p>
        </w:tc>
        <w:tc>
          <w:tcPr>
            <w:tcW w:w="993" w:type="dxa"/>
            <w:shd w:val="clear" w:color="auto" w:fill="FFFFFF" w:themeFill="background1"/>
          </w:tcPr>
          <w:p w14:paraId="4CB6E739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2.2</w:t>
            </w:r>
          </w:p>
        </w:tc>
        <w:tc>
          <w:tcPr>
            <w:tcW w:w="992" w:type="dxa"/>
            <w:shd w:val="clear" w:color="auto" w:fill="FFFFFF" w:themeFill="background1"/>
          </w:tcPr>
          <w:p w14:paraId="1FD150E6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0.2</w:t>
            </w:r>
          </w:p>
        </w:tc>
        <w:tc>
          <w:tcPr>
            <w:tcW w:w="992" w:type="dxa"/>
            <w:shd w:val="clear" w:color="auto" w:fill="FFFFFF" w:themeFill="background1"/>
          </w:tcPr>
          <w:p w14:paraId="3C193D34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90%</w:t>
            </w:r>
          </w:p>
        </w:tc>
        <w:tc>
          <w:tcPr>
            <w:tcW w:w="992" w:type="dxa"/>
            <w:shd w:val="clear" w:color="auto" w:fill="FFFFFF" w:themeFill="background1"/>
          </w:tcPr>
          <w:p w14:paraId="2F4DCFD4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59%</w:t>
            </w:r>
          </w:p>
        </w:tc>
      </w:tr>
      <w:tr w:rsidR="00992B52" w:rsidRPr="00DE1261" w14:paraId="28BB115F" w14:textId="77777777" w:rsidTr="0071502F">
        <w:trPr>
          <w:trHeight w:val="192"/>
          <w:jc w:val="right"/>
        </w:trPr>
        <w:tc>
          <w:tcPr>
            <w:tcW w:w="3397" w:type="dxa"/>
          </w:tcPr>
          <w:p w14:paraId="2006B8A4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DE1261">
              <w:rPr>
                <w:rFonts w:cstheme="minorHAnsi"/>
                <w:b/>
                <w:sz w:val="24"/>
                <w:szCs w:val="24"/>
              </w:rPr>
              <w:t>RVEF (%)</w:t>
            </w:r>
          </w:p>
        </w:tc>
        <w:tc>
          <w:tcPr>
            <w:tcW w:w="1701" w:type="dxa"/>
            <w:shd w:val="clear" w:color="auto" w:fill="FFFFFF" w:themeFill="background1"/>
          </w:tcPr>
          <w:p w14:paraId="3CE61DEE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&gt; 42</w:t>
            </w:r>
          </w:p>
        </w:tc>
        <w:tc>
          <w:tcPr>
            <w:tcW w:w="993" w:type="dxa"/>
            <w:shd w:val="clear" w:color="auto" w:fill="FFFFFF" w:themeFill="background1"/>
          </w:tcPr>
          <w:p w14:paraId="63170FB2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3.9</w:t>
            </w:r>
          </w:p>
        </w:tc>
        <w:tc>
          <w:tcPr>
            <w:tcW w:w="992" w:type="dxa"/>
            <w:shd w:val="clear" w:color="auto" w:fill="FFFFFF" w:themeFill="background1"/>
          </w:tcPr>
          <w:p w14:paraId="06C21083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0.4</w:t>
            </w:r>
          </w:p>
        </w:tc>
        <w:tc>
          <w:tcPr>
            <w:tcW w:w="992" w:type="dxa"/>
            <w:shd w:val="clear" w:color="auto" w:fill="FFFFFF" w:themeFill="background1"/>
          </w:tcPr>
          <w:p w14:paraId="5E0013D5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70%</w:t>
            </w:r>
          </w:p>
        </w:tc>
        <w:tc>
          <w:tcPr>
            <w:tcW w:w="992" w:type="dxa"/>
            <w:shd w:val="clear" w:color="auto" w:fill="FFFFFF" w:themeFill="background1"/>
          </w:tcPr>
          <w:p w14:paraId="4405AC98" w14:textId="77777777" w:rsidR="00992B52" w:rsidRPr="00DE1261" w:rsidRDefault="00992B52" w:rsidP="0071502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E1261">
              <w:rPr>
                <w:rFonts w:cstheme="minorHAnsi"/>
                <w:sz w:val="24"/>
                <w:szCs w:val="24"/>
              </w:rPr>
              <w:t>82%</w:t>
            </w:r>
          </w:p>
        </w:tc>
      </w:tr>
    </w:tbl>
    <w:p w14:paraId="13941959" w14:textId="3855E362" w:rsidR="00992B52" w:rsidRPr="00DE1261" w:rsidRDefault="00992B52" w:rsidP="00992B52">
      <w:pPr>
        <w:spacing w:line="360" w:lineRule="auto"/>
        <w:rPr>
          <w:rFonts w:cstheme="minorHAnsi"/>
          <w:sz w:val="24"/>
          <w:szCs w:val="24"/>
        </w:rPr>
      </w:pPr>
      <w:r>
        <w:rPr>
          <w:b/>
          <w:bCs/>
          <w:sz w:val="24"/>
          <w:szCs w:val="24"/>
        </w:rPr>
        <w:t>Supplementary Table 1</w:t>
      </w:r>
      <w:r>
        <w:rPr>
          <w:sz w:val="24"/>
          <w:szCs w:val="24"/>
        </w:rPr>
        <w:t xml:space="preserve"> – Discriminator cut-points for mixed pre/post-capillary (DPG </w:t>
      </w:r>
      <w:r w:rsidRPr="009639BA">
        <w:rPr>
          <w:sz w:val="24"/>
          <w:szCs w:val="24"/>
          <w:u w:val="single"/>
        </w:rPr>
        <w:t>&gt;</w:t>
      </w:r>
      <w:r>
        <w:rPr>
          <w:sz w:val="24"/>
          <w:szCs w:val="24"/>
        </w:rPr>
        <w:t xml:space="preserve"> 7 mmHg) PH diagnosis. Identical thresholds to those for (all) post-capillary PH diagnosis except for </w:t>
      </w:r>
      <w:proofErr w:type="spellStart"/>
      <w:r>
        <w:rPr>
          <w:sz w:val="24"/>
          <w:szCs w:val="24"/>
        </w:rPr>
        <w:t>ePLAR</w:t>
      </w:r>
      <w:proofErr w:type="spellEnd"/>
      <w:r w:rsidR="009204C7">
        <w:rPr>
          <w:sz w:val="24"/>
          <w:szCs w:val="24"/>
        </w:rPr>
        <w:t xml:space="preserve"> variants</w:t>
      </w:r>
      <w:r>
        <w:rPr>
          <w:sz w:val="24"/>
          <w:szCs w:val="24"/>
        </w:rPr>
        <w:t xml:space="preserve"> and peak LA strain (bolded values).</w:t>
      </w:r>
    </w:p>
    <w:p w14:paraId="6BD12D36" w14:textId="77777777" w:rsidR="00DF3D32" w:rsidRDefault="008E5949"/>
    <w:sectPr w:rsidR="00DF3D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9C6719"/>
    <w:multiLevelType w:val="hybridMultilevel"/>
    <w:tmpl w:val="7816672E"/>
    <w:lvl w:ilvl="0" w:tplc="F084A79C">
      <w:numFmt w:val="bullet"/>
      <w:lvlText w:val=""/>
      <w:lvlJc w:val="left"/>
      <w:pPr>
        <w:ind w:left="360" w:hanging="360"/>
      </w:pPr>
      <w:rPr>
        <w:rFonts w:ascii="Wingdings" w:eastAsiaTheme="minorHAnsi" w:hAnsi="Wingdings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B52"/>
    <w:rsid w:val="000D402B"/>
    <w:rsid w:val="00584CFF"/>
    <w:rsid w:val="00626926"/>
    <w:rsid w:val="007567C2"/>
    <w:rsid w:val="008E5949"/>
    <w:rsid w:val="009204C7"/>
    <w:rsid w:val="00992B52"/>
    <w:rsid w:val="00993052"/>
    <w:rsid w:val="00BA1C85"/>
    <w:rsid w:val="00FB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67540"/>
  <w15:chartTrackingRefBased/>
  <w15:docId w15:val="{3B20F720-2F69-48E1-B57D-42CEB4A9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B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2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4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Leong</dc:creator>
  <cp:keywords/>
  <dc:description/>
  <cp:lastModifiedBy>Kai Leong</cp:lastModifiedBy>
  <cp:revision>2</cp:revision>
  <dcterms:created xsi:type="dcterms:W3CDTF">2021-07-06T12:34:00Z</dcterms:created>
  <dcterms:modified xsi:type="dcterms:W3CDTF">2021-07-06T12:34:00Z</dcterms:modified>
</cp:coreProperties>
</file>