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0F18" w14:textId="7A34E68B" w:rsidR="00DF3D32" w:rsidRDefault="00445519">
      <w:r>
        <w:rPr>
          <w:noProof/>
        </w:rPr>
        <w:drawing>
          <wp:inline distT="0" distB="0" distL="0" distR="0" wp14:anchorId="527FF747" wp14:editId="1AC37170">
            <wp:extent cx="5725160" cy="400748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48D9" w14:textId="429E9BF6" w:rsidR="007513B7" w:rsidRPr="007513B7" w:rsidRDefault="007513B7">
      <w:pPr>
        <w:rPr>
          <w:b/>
          <w:bCs/>
          <w:sz w:val="30"/>
          <w:szCs w:val="30"/>
        </w:rPr>
      </w:pPr>
      <w:r w:rsidRPr="007513B7">
        <w:rPr>
          <w:b/>
          <w:bCs/>
          <w:sz w:val="30"/>
          <w:szCs w:val="30"/>
        </w:rPr>
        <w:t>Key points:</w:t>
      </w:r>
    </w:p>
    <w:p w14:paraId="59D1F6B2" w14:textId="0E48A8E8" w:rsidR="007513B7" w:rsidRDefault="007513B7" w:rsidP="007513B7">
      <w:pPr>
        <w:pStyle w:val="ListParagraph"/>
        <w:numPr>
          <w:ilvl w:val="0"/>
          <w:numId w:val="1"/>
        </w:numPr>
      </w:pPr>
      <w:r>
        <w:t>CMR feature tracking deformation assessment offers additional physiologic insights in pulmonary hypertension compared to sole volumetric evaluation</w:t>
      </w:r>
    </w:p>
    <w:p w14:paraId="148496B0" w14:textId="2CFDF1A8" w:rsidR="007513B7" w:rsidRDefault="007513B7" w:rsidP="007513B7">
      <w:pPr>
        <w:pStyle w:val="ListParagraph"/>
        <w:numPr>
          <w:ilvl w:val="0"/>
          <w:numId w:val="1"/>
        </w:numPr>
      </w:pPr>
      <w:r>
        <w:t xml:space="preserve">CMR feature tracking LA strain has excellent specificity for identifying post-capillary PH and may be helpful in situations of ambiguous invasive </w:t>
      </w:r>
      <w:proofErr w:type="spellStart"/>
      <w:r>
        <w:t>hemodynamics</w:t>
      </w:r>
      <w:proofErr w:type="spellEnd"/>
    </w:p>
    <w:p w14:paraId="252C7201" w14:textId="3F7BF80C" w:rsidR="007513B7" w:rsidRDefault="007513B7" w:rsidP="007513B7">
      <w:pPr>
        <w:pStyle w:val="ListParagraph"/>
        <w:numPr>
          <w:ilvl w:val="0"/>
          <w:numId w:val="1"/>
        </w:numPr>
      </w:pPr>
      <w:r>
        <w:t>Combined CMR LA volumetric and deformation assessment can highly accurately distinguish post- from pre-capillary PH and was superior to TTE</w:t>
      </w:r>
    </w:p>
    <w:sectPr w:rsidR="007513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169EB"/>
    <w:multiLevelType w:val="hybridMultilevel"/>
    <w:tmpl w:val="3634E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19"/>
    <w:rsid w:val="00445519"/>
    <w:rsid w:val="00584CFF"/>
    <w:rsid w:val="007513B7"/>
    <w:rsid w:val="0075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5C1E"/>
  <w15:chartTrackingRefBased/>
  <w15:docId w15:val="{7831C6A4-1482-4156-97FE-7E2ECEB5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Leong</dc:creator>
  <cp:keywords/>
  <dc:description/>
  <cp:lastModifiedBy>Kai Leong</cp:lastModifiedBy>
  <cp:revision>2</cp:revision>
  <dcterms:created xsi:type="dcterms:W3CDTF">2021-07-06T12:54:00Z</dcterms:created>
  <dcterms:modified xsi:type="dcterms:W3CDTF">2021-07-06T13:04:00Z</dcterms:modified>
</cp:coreProperties>
</file>