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Supplementary Figure 1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557713" cy="235567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7713" cy="23556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sz w:val="18"/>
          <w:szCs w:val="18"/>
          <w:rtl w:val="0"/>
        </w:rPr>
        <w:t xml:space="preserve">Fig. S1. Light micrograph of the previtellogenic oocyte of a</w:t>
      </w:r>
      <w:r w:rsidDel="00000000" w:rsidR="00000000" w:rsidRPr="00000000">
        <w:rPr>
          <w:i w:val="1"/>
          <w:sz w:val="18"/>
          <w:szCs w:val="18"/>
          <w:rtl w:val="0"/>
        </w:rPr>
        <w:t xml:space="preserve"> Pogonomyrmex barbatus</w:t>
      </w:r>
      <w:r w:rsidDel="00000000" w:rsidR="00000000" w:rsidRPr="00000000">
        <w:rPr>
          <w:sz w:val="18"/>
          <w:szCs w:val="18"/>
          <w:rtl w:val="0"/>
        </w:rPr>
        <w:t xml:space="preserve"> queen. No yolk granules were found. Intercellular spaces are not well delimited. (PVO) Previtellogenic oocyte, (FC) Follicular cells. Scale bars: 100µm.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