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C95" w:rsidRPr="00AA2F3F" w:rsidRDefault="00631C95" w:rsidP="00631C95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AA2F3F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AA2F3F">
        <w:rPr>
          <w:rFonts w:ascii="Times New Roman" w:hAnsi="Times New Roman" w:cs="Times New Roman"/>
          <w:b/>
          <w:bCs/>
          <w:sz w:val="28"/>
          <w:szCs w:val="28"/>
        </w:rPr>
        <w:t>upplementary information</w:t>
      </w:r>
    </w:p>
    <w:p w:rsidR="00631C95" w:rsidRPr="00B626E2" w:rsidRDefault="00631C95" w:rsidP="00631C95">
      <w:pPr>
        <w:snapToGrid w:val="0"/>
        <w:rPr>
          <w:rFonts w:ascii="Times New Roman" w:hAnsi="Times New Roman" w:cs="Times New Roman"/>
          <w:sz w:val="24"/>
          <w:szCs w:val="24"/>
        </w:rPr>
      </w:pPr>
      <w:r w:rsidRPr="00B626E2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</w:rPr>
        <w:t>Additional file 1:</w:t>
      </w:r>
      <w:r w:rsidRPr="00B626E2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Figure S1. Metronidazole treatment decreases mice susceptibility to DSS-induced colitis. </w:t>
      </w:r>
      <w:r w:rsidRPr="00B626E2">
        <w:rPr>
          <w:rFonts w:ascii="Times New Roman" w:hAnsi="Times New Roman" w:cs="Times New Roman"/>
          <w:sz w:val="24"/>
          <w:szCs w:val="24"/>
        </w:rPr>
        <w:t xml:space="preserve">(A) </w:t>
      </w:r>
      <w:r w:rsidRPr="00B626E2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Schematic diagram for the mouse model of DSS-induced acute colitis combined with antibiotic treatment. Changes in body weight (B) and disease activity index (C) post administration o</w:t>
      </w:r>
      <w:r w:rsidRPr="00B626E2">
        <w:rPr>
          <w:rFonts w:ascii="Times New Roman" w:hAnsi="Times New Roman" w:cs="Times New Roman"/>
          <w:sz w:val="24"/>
          <w:szCs w:val="24"/>
        </w:rPr>
        <w:t xml:space="preserve">f DSS were compared between the control, metronidazole-treated and neomycin-treated mice daily. (D) Photographs of representative colon and colon length. (E) Representative light microscopy images of H&amp;E staining distal colon tissue sections and histopathological scores of mice when euthanized. Scale bar, 400 and 100 µm, respectively. n = 12 (B to D), n = 10 (E) in each group. </w:t>
      </w:r>
      <w:r w:rsidRPr="00B626E2">
        <w:rPr>
          <w:rFonts w:ascii="Times New Roman" w:eastAsia="AdvPSA183" w:hAnsi="Times New Roman" w:cs="Times New Roman"/>
          <w:color w:val="000000"/>
          <w:kern w:val="0"/>
          <w:sz w:val="24"/>
          <w:szCs w:val="24"/>
        </w:rPr>
        <w:t xml:space="preserve">Data are the mean ± SEM, </w:t>
      </w:r>
      <w:r w:rsidRPr="00B626E2">
        <w:rPr>
          <w:rFonts w:ascii="Times New Roman" w:hAnsi="Times New Roman" w:cs="Times New Roman"/>
          <w:sz w:val="24"/>
          <w:szCs w:val="24"/>
        </w:rPr>
        <w:t>two-way ANOVA (B to C) or one-way ANOVA (D to E). **p &lt; 0.01; ***p &lt; 0.001; ****p &lt; 0.0001.</w:t>
      </w:r>
    </w:p>
    <w:p w:rsidR="00631C95" w:rsidRPr="00B626E2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:rsidR="00631C95" w:rsidRPr="00B626E2" w:rsidRDefault="00631C95" w:rsidP="00631C95">
      <w:pPr>
        <w:snapToGrid w:val="0"/>
        <w:jc w:val="left"/>
        <w:rPr>
          <w:rFonts w:ascii="Times New Roman" w:hAnsi="Times New Roman" w:cs="Times New Roman"/>
          <w:sz w:val="24"/>
          <w:szCs w:val="24"/>
        </w:rPr>
      </w:pPr>
      <w:r w:rsidRPr="00B626E2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</w:rPr>
        <w:t>Additional file 2:</w:t>
      </w:r>
      <w:r w:rsidRPr="00B626E2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Figure S2. Effects of different antibiotics on mice </w:t>
      </w:r>
      <w:hyperlink r:id="rId4" w:history="1">
        <w:r w:rsidRPr="00B626E2">
          <w:rPr>
            <w:rFonts w:ascii="Times New Roman" w:hAnsi="Times New Roman" w:cs="Times New Roman"/>
            <w:b/>
            <w:bCs/>
            <w:sz w:val="24"/>
            <w:szCs w:val="24"/>
          </w:rPr>
          <w:t>sensitivity</w:t>
        </w:r>
      </w:hyperlink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to DSS-induced colitis. </w:t>
      </w:r>
      <w:r w:rsidRPr="00B626E2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Different antibiotics 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 xml:space="preserve">containing </w:t>
      </w:r>
      <w:r w:rsidRPr="00B626E2">
        <w:rPr>
          <w:rFonts w:ascii="Times New Roman" w:hAnsi="Times New Roman" w:cs="Times New Roman"/>
          <w:sz w:val="24"/>
          <w:szCs w:val="24"/>
        </w:rPr>
        <w:t xml:space="preserve">ampicillin, chloramphenicol, ciprofloxacin, clindamycin, polymycin, tetracycline, vancomycin and </w:t>
      </w:r>
      <w:r w:rsidRPr="00B626E2">
        <w:rPr>
          <w:rFonts w:ascii="Times New Roman" w:hAnsi="Times New Roman" w:cs="Times New Roman"/>
          <w:color w:val="000000"/>
          <w:kern w:val="0"/>
          <w:sz w:val="24"/>
          <w:szCs w:val="24"/>
        </w:rPr>
        <w:t>ABX</w:t>
      </w:r>
      <w:r w:rsidRPr="00B626E2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 (according to Figure S1A) were given to mice. N</w:t>
      </w:r>
      <w:r w:rsidRPr="00B626E2">
        <w:rPr>
          <w:rFonts w:ascii="Times New Roman" w:eastAsia="Times-Roman" w:hAnsi="Times New Roman" w:cs="Times New Roman"/>
          <w:color w:val="000000"/>
          <w:kern w:val="0"/>
          <w:sz w:val="24"/>
          <w:szCs w:val="24"/>
        </w:rPr>
        <w:t>o antibiotic treatment is the control</w:t>
      </w:r>
      <w:r w:rsidRPr="00B626E2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. 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(A-D)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Body weight (A), disease activity index (B), colon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lengths (C) and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626E2">
        <w:rPr>
          <w:rFonts w:ascii="Times New Roman" w:eastAsia="Times-Roman" w:hAnsi="Times New Roman" w:cs="Times New Roman"/>
          <w:color w:val="000000"/>
          <w:kern w:val="0"/>
          <w:sz w:val="24"/>
          <w:szCs w:val="24"/>
        </w:rPr>
        <w:t xml:space="preserve">histopathological scores (D) </w:t>
      </w:r>
      <w:r w:rsidRPr="00B626E2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were compared between the control, </w:t>
      </w:r>
      <w:r w:rsidRPr="00B626E2">
        <w:rPr>
          <w:rFonts w:ascii="Times New Roman" w:hAnsi="Times New Roman" w:cs="Times New Roman"/>
          <w:sz w:val="24"/>
          <w:szCs w:val="24"/>
        </w:rPr>
        <w:t xml:space="preserve">ampicillin, vancomycin, </w:t>
      </w:r>
      <w:r w:rsidRPr="00B626E2">
        <w:rPr>
          <w:rFonts w:ascii="Times New Roman" w:eastAsia="Times-Roman" w:hAnsi="Times New Roman" w:cs="Times New Roman"/>
          <w:color w:val="000000"/>
          <w:kern w:val="0"/>
          <w:sz w:val="24"/>
          <w:szCs w:val="24"/>
        </w:rPr>
        <w:t>ABX</w:t>
      </w:r>
      <w:r w:rsidRPr="00B626E2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 treatment groups. 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(E-H)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Body weight (E), disease activity index (F), colon lengths (G) and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626E2">
        <w:rPr>
          <w:rFonts w:ascii="Times New Roman" w:eastAsia="Times-Roman" w:hAnsi="Times New Roman" w:cs="Times New Roman"/>
          <w:color w:val="000000"/>
          <w:kern w:val="0"/>
          <w:sz w:val="24"/>
          <w:szCs w:val="24"/>
        </w:rPr>
        <w:t>histopathological scores (H) were compared between the control,</w:t>
      </w:r>
      <w:r w:rsidRPr="00B626E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 xml:space="preserve">chloramphenicol, ciprofloxacin, clindamycin, polymycin, and tetracycline </w:t>
      </w:r>
      <w:r w:rsidRPr="00B626E2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treatment groups. </w:t>
      </w:r>
      <w:r w:rsidRPr="00B626E2">
        <w:rPr>
          <w:rFonts w:ascii="Times New Roman" w:hAnsi="Times New Roman" w:cs="Times New Roman"/>
          <w:sz w:val="24"/>
          <w:szCs w:val="24"/>
        </w:rPr>
        <w:t xml:space="preserve">n = 6 in each group. </w:t>
      </w:r>
      <w:r w:rsidRPr="00B626E2">
        <w:rPr>
          <w:rFonts w:ascii="Times New Roman" w:eastAsia="Times-Roman" w:hAnsi="Times New Roman" w:cs="Times New Roman"/>
          <w:color w:val="000000"/>
          <w:kern w:val="0"/>
          <w:sz w:val="24"/>
          <w:szCs w:val="24"/>
        </w:rPr>
        <w:t>(</w:t>
      </w:r>
      <w:r w:rsidRPr="00B626E2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I</w:t>
      </w:r>
      <w:r w:rsidRPr="00B626E2">
        <w:rPr>
          <w:rFonts w:ascii="Times New Roman" w:eastAsia="Times-Roman" w:hAnsi="Times New Roman" w:cs="Times New Roman"/>
          <w:color w:val="000000"/>
          <w:kern w:val="0"/>
          <w:sz w:val="24"/>
          <w:szCs w:val="24"/>
        </w:rPr>
        <w:t>)</w:t>
      </w:r>
      <w:r w:rsidRPr="00B626E2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 The folds of body weight, DAI, colon lengths and HE scores for the metronidazole, vancomycin, or clindamycin treatment compared with the corresponding control group. </w:t>
      </w:r>
      <w:r w:rsidRPr="00B626E2">
        <w:rPr>
          <w:rFonts w:ascii="Times New Roman" w:eastAsia="AdvPSA183" w:hAnsi="Times New Roman" w:cs="Times New Roman"/>
          <w:color w:val="000000"/>
          <w:kern w:val="0"/>
          <w:sz w:val="24"/>
          <w:szCs w:val="24"/>
        </w:rPr>
        <w:t xml:space="preserve">Data are the mean ± SEM, </w:t>
      </w:r>
      <w:r w:rsidRPr="00B626E2">
        <w:rPr>
          <w:rFonts w:ascii="Times New Roman" w:hAnsi="Times New Roman" w:cs="Times New Roman"/>
          <w:sz w:val="24"/>
          <w:szCs w:val="24"/>
        </w:rPr>
        <w:t>two-way ANOVA (A to B, E to F) or one-way ANOVA (C to D, G to H). *p &lt; 0.05; **p &lt; 0.01; ***p &lt; 0.001, ****p &lt; 0.0001.</w:t>
      </w:r>
    </w:p>
    <w:p w:rsidR="00631C95" w:rsidRPr="00B626E2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:rsidR="00631C95" w:rsidRPr="00B626E2" w:rsidRDefault="00631C95" w:rsidP="00631C95">
      <w:pPr>
        <w:snapToGrid w:val="0"/>
        <w:rPr>
          <w:rFonts w:ascii="Times New Roman" w:hAnsi="Times New Roman" w:cs="Times New Roman"/>
          <w:sz w:val="24"/>
          <w:szCs w:val="24"/>
        </w:rPr>
      </w:pPr>
      <w:r w:rsidRPr="00B626E2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</w:rPr>
        <w:t>Additional file 3:</w:t>
      </w:r>
      <w:r w:rsidRPr="00B626E2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>Figure S3. Effect of metronidazole treatment on IFN-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></w:t>
      </w:r>
      <w:r w:rsidRPr="00B626E2">
        <w:rPr>
          <w:rFonts w:ascii="Times New Roman" w:eastAsia="AdvTT5235d5a9 + 22" w:hAnsi="Times New Roman" w:cs="Times New Roman"/>
          <w:b/>
          <w:bCs/>
          <w:color w:val="231F20"/>
          <w:kern w:val="0"/>
          <w:sz w:val="24"/>
          <w:szCs w:val="24"/>
          <w:vertAlign w:val="superscript"/>
        </w:rPr>
        <w:t>+</w:t>
      </w:r>
      <w:r w:rsidRPr="00B626E2">
        <w:rPr>
          <w:rFonts w:ascii="Times New Roman" w:eastAsia="AdvTT5235d5a9" w:hAnsi="Times New Roman" w:cs="Times New Roman"/>
          <w:b/>
          <w:bCs/>
          <w:color w:val="231F20"/>
          <w:kern w:val="0"/>
          <w:sz w:val="24"/>
          <w:szCs w:val="24"/>
        </w:rPr>
        <w:t>CD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626E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+ 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Pr="00B626E2">
        <w:rPr>
          <w:rFonts w:ascii="Times New Roman" w:eastAsia="AdvTT5235d5a9" w:hAnsi="Times New Roman" w:cs="Times New Roman"/>
          <w:b/>
          <w:bCs/>
          <w:color w:val="231F20"/>
          <w:kern w:val="0"/>
          <w:sz w:val="24"/>
          <w:szCs w:val="24"/>
        </w:rPr>
        <w:t>IL-17A</w:t>
      </w:r>
      <w:r w:rsidRPr="00B626E2">
        <w:rPr>
          <w:rFonts w:ascii="Times New Roman" w:eastAsia="AdvTT5235d5a9 + 22" w:hAnsi="Times New Roman" w:cs="Times New Roman"/>
          <w:b/>
          <w:bCs/>
          <w:color w:val="231F20"/>
          <w:kern w:val="0"/>
          <w:sz w:val="24"/>
          <w:szCs w:val="24"/>
          <w:vertAlign w:val="superscript"/>
        </w:rPr>
        <w:t>+</w:t>
      </w:r>
      <w:r w:rsidRPr="00B626E2">
        <w:rPr>
          <w:rFonts w:ascii="Times New Roman" w:eastAsia="AdvTT5235d5a9" w:hAnsi="Times New Roman" w:cs="Times New Roman"/>
          <w:b/>
          <w:bCs/>
          <w:color w:val="231F20"/>
          <w:kern w:val="0"/>
          <w:sz w:val="24"/>
          <w:szCs w:val="24"/>
        </w:rPr>
        <w:t>CD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626E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cells in MLN and cLP. </w:t>
      </w:r>
      <w:r w:rsidRPr="00B626E2">
        <w:rPr>
          <w:rFonts w:ascii="Times New Roman" w:hAnsi="Times New Roman" w:cs="Times New Roman"/>
          <w:sz w:val="24"/>
          <w:szCs w:val="24"/>
        </w:rPr>
        <w:t>MLN and cLP of mice at the seventh day after DSS treatment in the control, metronidazole, and neomycin groups were collected, and lymphocytes were isolated</w:t>
      </w:r>
      <w:r w:rsidRPr="00B626E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 xml:space="preserve"> and</w:t>
      </w:r>
      <w:r w:rsidRPr="00B626E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626E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>stimulated with</w:t>
      </w:r>
      <w:r w:rsidRPr="00B626E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626E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>PMA/ionomycin and brefeldin for 5 h.</w:t>
      </w:r>
      <w:r w:rsidRPr="00B626E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626E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>Then cells were stained</w:t>
      </w:r>
      <w:r w:rsidRPr="00B626E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626E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>and analyzed by flow cytometry.</w:t>
      </w:r>
      <w:r w:rsidRPr="00B626E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 xml:space="preserve">(A-D) Representative flow dot plots </w:t>
      </w:r>
      <w:r w:rsidRPr="00B626E2">
        <w:rPr>
          <w:rFonts w:ascii="Times New Roman" w:eastAsia="RotisSansSerifStd-Light" w:hAnsi="Times New Roman" w:cs="Times New Roman"/>
          <w:color w:val="231F20"/>
          <w:kern w:val="0"/>
          <w:sz w:val="24"/>
          <w:szCs w:val="24"/>
        </w:rPr>
        <w:t>gated on</w:t>
      </w:r>
      <w:r w:rsidRPr="00B626E2">
        <w:rPr>
          <w:rFonts w:ascii="Times New Roman" w:eastAsia="AdvTTdeec4450" w:hAnsi="Times New Roman" w:cs="Times New Roman"/>
          <w:color w:val="231F20"/>
          <w:kern w:val="0"/>
          <w:sz w:val="24"/>
          <w:szCs w:val="24"/>
        </w:rPr>
        <w:t xml:space="preserve"> CD3</w:t>
      </w:r>
      <w:r w:rsidRPr="00B626E2">
        <w:rPr>
          <w:rFonts w:ascii="Times New Roman" w:eastAsia="AdvTTdeec4450" w:hAnsi="Times New Roman" w:cs="Times New Roman"/>
          <w:color w:val="231F20"/>
          <w:kern w:val="0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>CD4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RotisSansSerifStd-Light" w:hAnsi="Times New Roman" w:cs="Times New Roman"/>
          <w:color w:val="231F20"/>
          <w:kern w:val="0"/>
          <w:sz w:val="24"/>
          <w:szCs w:val="24"/>
        </w:rPr>
        <w:t xml:space="preserve"> cells</w:t>
      </w:r>
      <w:r w:rsidRPr="00B626E2">
        <w:rPr>
          <w:rFonts w:ascii="Times New Roman" w:hAnsi="Times New Roman" w:cs="Times New Roman"/>
          <w:sz w:val="24"/>
          <w:szCs w:val="24"/>
        </w:rPr>
        <w:t xml:space="preserve"> and the percentage of IFN-</w:t>
      </w:r>
      <w:r w:rsidRPr="00B626E2">
        <w:rPr>
          <w:rFonts w:ascii="Times New Roman" w:hAnsi="Times New Roman" w:cs="Times New Roman"/>
          <w:sz w:val="24"/>
          <w:szCs w:val="24"/>
        </w:rPr>
        <w:t></w:t>
      </w:r>
      <w:r w:rsidRPr="00B626E2">
        <w:rPr>
          <w:rFonts w:ascii="Times New Roman" w:eastAsia="AdvTT5235d5a9 + 22" w:hAnsi="Times New Roman" w:cs="Times New Roman"/>
          <w:color w:val="231F20"/>
          <w:kern w:val="0"/>
          <w:sz w:val="24"/>
          <w:szCs w:val="24"/>
          <w:vertAlign w:val="superscript"/>
        </w:rPr>
        <w:t>+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>CD</w:t>
      </w:r>
      <w:r w:rsidRPr="00B626E2">
        <w:rPr>
          <w:rFonts w:ascii="Times New Roman" w:hAnsi="Times New Roman" w:cs="Times New Roman"/>
          <w:sz w:val="24"/>
          <w:szCs w:val="24"/>
        </w:rPr>
        <w:t>4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 xml:space="preserve"> in total CD</w:t>
      </w:r>
      <w:r w:rsidRPr="00B626E2">
        <w:rPr>
          <w:rFonts w:ascii="Times New Roman" w:hAnsi="Times New Roman" w:cs="Times New Roman"/>
          <w:sz w:val="24"/>
          <w:szCs w:val="24"/>
        </w:rPr>
        <w:t>4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 xml:space="preserve"> cells 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 xml:space="preserve">in MLN 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>(A)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 xml:space="preserve"> and cLP (B) 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>,</w:t>
      </w:r>
      <w:r w:rsidRPr="00B626E2">
        <w:rPr>
          <w:rFonts w:ascii="Times New Roman" w:hAnsi="Times New Roman" w:cs="Times New Roman"/>
          <w:sz w:val="24"/>
          <w:szCs w:val="24"/>
        </w:rPr>
        <w:t>and the percentage of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 xml:space="preserve"> IL-17A</w:t>
      </w:r>
      <w:r w:rsidRPr="00B626E2">
        <w:rPr>
          <w:rFonts w:ascii="Times New Roman" w:eastAsia="AdvTT5235d5a9 + 22" w:hAnsi="Times New Roman" w:cs="Times New Roman"/>
          <w:color w:val="231F20"/>
          <w:kern w:val="0"/>
          <w:sz w:val="24"/>
          <w:szCs w:val="24"/>
          <w:vertAlign w:val="superscript"/>
        </w:rPr>
        <w:t>+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>CD</w:t>
      </w:r>
      <w:r w:rsidRPr="00B626E2">
        <w:rPr>
          <w:rFonts w:ascii="Times New Roman" w:hAnsi="Times New Roman" w:cs="Times New Roman"/>
          <w:sz w:val="24"/>
          <w:szCs w:val="24"/>
        </w:rPr>
        <w:t>4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 xml:space="preserve"> in total CD</w:t>
      </w:r>
      <w:r w:rsidRPr="00B626E2">
        <w:rPr>
          <w:rFonts w:ascii="Times New Roman" w:hAnsi="Times New Roman" w:cs="Times New Roman"/>
          <w:sz w:val="24"/>
          <w:szCs w:val="24"/>
        </w:rPr>
        <w:t>4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 xml:space="preserve"> cells 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 xml:space="preserve">in MLN 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>(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>C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>)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 xml:space="preserve"> and cLP (D)</w:t>
      </w:r>
      <w:r w:rsidRPr="00B626E2">
        <w:rPr>
          <w:rFonts w:ascii="Times New Roman" w:hAnsi="Times New Roman" w:cs="Times New Roman"/>
          <w:sz w:val="24"/>
          <w:szCs w:val="24"/>
        </w:rPr>
        <w:t xml:space="preserve">. n = 6 in each group. </w:t>
      </w:r>
      <w:r w:rsidRPr="00B626E2">
        <w:rPr>
          <w:rFonts w:ascii="Times New Roman" w:eastAsia="AdvPSA183" w:hAnsi="Times New Roman" w:cs="Times New Roman"/>
          <w:color w:val="000000"/>
          <w:kern w:val="0"/>
          <w:sz w:val="24"/>
          <w:szCs w:val="24"/>
        </w:rPr>
        <w:t>Data are the mean ± SEM,</w:t>
      </w:r>
      <w:r w:rsidRPr="00B626E2">
        <w:rPr>
          <w:rFonts w:ascii="Times New Roman" w:hAnsi="Times New Roman" w:cs="Times New Roman"/>
          <w:sz w:val="24"/>
          <w:szCs w:val="24"/>
        </w:rPr>
        <w:t xml:space="preserve"> one-way ANOVA. **p &lt; 0.01; ***p &lt; 0.001.</w:t>
      </w:r>
    </w:p>
    <w:p w:rsidR="00631C95" w:rsidRPr="00B626E2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:rsidR="00631C95" w:rsidRPr="00B626E2" w:rsidRDefault="00631C95" w:rsidP="00631C95">
      <w:pPr>
        <w:widowControl/>
        <w:snapToGrid w:val="0"/>
        <w:jc w:val="left"/>
        <w:rPr>
          <w:rFonts w:ascii="Times New Roman" w:hAnsi="Times New Roman" w:cs="Times New Roman"/>
          <w:sz w:val="24"/>
          <w:szCs w:val="24"/>
        </w:rPr>
      </w:pPr>
      <w:r w:rsidRPr="00B626E2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</w:rPr>
        <w:t>Additional file 4:</w:t>
      </w:r>
      <w:r w:rsidRPr="00B626E2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Figure S4. </w:t>
      </w:r>
      <w:r w:rsidRPr="00B626E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E. ludwigii 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suppresses DSS-induced acute colitis. </w:t>
      </w:r>
      <w:r w:rsidRPr="00B626E2">
        <w:rPr>
          <w:rFonts w:ascii="Times New Roman" w:hAnsi="Times New Roman" w:cs="Times New Roman"/>
          <w:sz w:val="24"/>
          <w:szCs w:val="24"/>
        </w:rPr>
        <w:t xml:space="preserve">(A) </w:t>
      </w:r>
      <w:r w:rsidRPr="00B626E2">
        <w:rPr>
          <w:rFonts w:ascii="Times New Roman" w:eastAsia="AdvPSA183" w:hAnsi="Times New Roman" w:cs="Times New Roman"/>
          <w:color w:val="000000"/>
          <w:kern w:val="0"/>
          <w:sz w:val="24"/>
          <w:szCs w:val="24"/>
        </w:rPr>
        <w:t xml:space="preserve">Percentages of the gram-positive bacteria and gram-negative bacteria calculated in the metronidazole, neomycin and control group. </w:t>
      </w:r>
      <w:r w:rsidRPr="00B626E2">
        <w:rPr>
          <w:rFonts w:ascii="Times New Roman" w:hAnsi="Times New Roman" w:cs="Times New Roman"/>
          <w:sz w:val="24"/>
          <w:szCs w:val="24"/>
        </w:rPr>
        <w:t>(B) Schematic diagram for the mouse model of DSS-induced acute colitis combined with additional single bacteria (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>E. gallinarum/K. huaxiensis/E. ludwigii/E. lactis/K. michiganensis/L. johnsonii</w:t>
      </w:r>
      <w:r w:rsidRPr="00B626E2">
        <w:rPr>
          <w:rFonts w:ascii="Times New Roman" w:hAnsi="Times New Roman" w:cs="Times New Roman"/>
          <w:sz w:val="24"/>
          <w:szCs w:val="24"/>
        </w:rPr>
        <w:t>) colonization. Male C57BL/6J mice were given 10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B626E2">
        <w:rPr>
          <w:rFonts w:ascii="Times New Roman" w:hAnsi="Times New Roman" w:cs="Times New Roman"/>
          <w:sz w:val="24"/>
          <w:szCs w:val="24"/>
        </w:rPr>
        <w:t xml:space="preserve"> CFU of each strain or water via oral gavage daily for 7 days, and were subsequently exposed to the same strain or water plus 3% DSS for another 7 days, and mice were euthanized. (C-D) B</w:t>
      </w:r>
      <w:r w:rsidRPr="00B626E2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ody weight </w:t>
      </w:r>
      <w:r w:rsidRPr="00B626E2">
        <w:rPr>
          <w:rFonts w:ascii="Times New Roman" w:hAnsi="Times New Roman" w:cs="Times New Roman"/>
          <w:sz w:val="24"/>
          <w:szCs w:val="24"/>
        </w:rPr>
        <w:t>(C)</w:t>
      </w:r>
      <w:r w:rsidRPr="00B626E2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and disease activity index (D) were monitored every day </w:t>
      </w:r>
      <w:r w:rsidRPr="00B626E2">
        <w:rPr>
          <w:rFonts w:ascii="Times New Roman" w:hAnsi="Times New Roman" w:cs="Times New Roman"/>
          <w:sz w:val="24"/>
          <w:szCs w:val="24"/>
        </w:rPr>
        <w:t xml:space="preserve">during the course of DSS treatment. (E-F) Colon length (E) and histopathological scores by H&amp;E staining (F) in each group. (A) n = 5 for samples of the metronidazole and control group, and fecal samples of the neomycin group; n = 4 for </w:t>
      </w:r>
      <w:r w:rsidRPr="00B626E2">
        <w:rPr>
          <w:rFonts w:ascii="Times New Roman" w:eastAsia="SimSun" w:hAnsi="Times New Roman" w:cs="Times New Roman"/>
          <w:kern w:val="0"/>
          <w:sz w:val="24"/>
          <w:szCs w:val="24"/>
        </w:rPr>
        <w:t xml:space="preserve">colons tissue samples of the </w:t>
      </w:r>
      <w:r w:rsidRPr="00B626E2">
        <w:rPr>
          <w:rFonts w:ascii="Times New Roman" w:hAnsi="Times New Roman" w:cs="Times New Roman"/>
          <w:sz w:val="24"/>
          <w:szCs w:val="24"/>
        </w:rPr>
        <w:t>neomycin group; (B-</w:t>
      </w:r>
      <w:r w:rsidRPr="00B626E2">
        <w:rPr>
          <w:rFonts w:ascii="Times New Roman" w:hAnsi="Times New Roman" w:cs="Times New Roman"/>
          <w:sz w:val="24"/>
          <w:szCs w:val="24"/>
        </w:rPr>
        <w:lastRenderedPageBreak/>
        <w:t xml:space="preserve">F) n = 8 in each group. </w:t>
      </w:r>
      <w:r w:rsidRPr="00B626E2">
        <w:rPr>
          <w:rFonts w:ascii="Times New Roman" w:eastAsia="AdvPSA183" w:hAnsi="Times New Roman" w:cs="Times New Roman"/>
          <w:color w:val="000000"/>
          <w:kern w:val="0"/>
          <w:sz w:val="24"/>
          <w:szCs w:val="24"/>
        </w:rPr>
        <w:t>Data are the mean ± SEM,</w:t>
      </w:r>
      <w:r w:rsidRPr="00B626E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two-way ANOVA (C to D) or one-way ANOVA (A, E to F). *p &lt; 0.05; **p &lt; 0.01; ***p &lt; 0.001, ****p &lt; 0.0001.</w:t>
      </w:r>
    </w:p>
    <w:p w:rsidR="00631C95" w:rsidRPr="00B626E2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:rsidR="00631C95" w:rsidRPr="00B626E2" w:rsidRDefault="00631C95" w:rsidP="00631C95">
      <w:pPr>
        <w:snapToGrid w:val="0"/>
        <w:rPr>
          <w:rFonts w:ascii="Times New Roman" w:hAnsi="Times New Roman" w:cs="Times New Roman"/>
          <w:sz w:val="24"/>
          <w:szCs w:val="24"/>
        </w:rPr>
      </w:pPr>
      <w:r w:rsidRPr="00B626E2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</w:rPr>
        <w:t>Additional file 5:</w:t>
      </w:r>
      <w:r w:rsidRPr="00B626E2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Figure S5. Effect of bacterial strain mixtures and </w:t>
      </w:r>
      <w:r w:rsidRPr="00B626E2">
        <w:rPr>
          <w:rFonts w:ascii="Times New Roman" w:hAnsi="Times New Roman" w:cs="Times New Roman"/>
          <w:b/>
          <w:bCs/>
          <w:i/>
          <w:iCs/>
          <w:sz w:val="24"/>
          <w:szCs w:val="24"/>
        </w:rPr>
        <w:t>E. ludwigii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on DSS-induced acute colitis</w:t>
      </w:r>
      <w:r w:rsidRPr="00B626E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</w:t>
      </w:r>
      <w:r w:rsidRPr="00B626E2">
        <w:rPr>
          <w:rFonts w:ascii="Times New Roman" w:hAnsi="Times New Roman" w:cs="Times New Roman"/>
          <w:sz w:val="24"/>
          <w:szCs w:val="24"/>
        </w:rPr>
        <w:t>(A) Schematic diagram for DSS-induced acute colitis mouse model combined with bacterial strains mixture gavage. 10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B626E2">
        <w:rPr>
          <w:rFonts w:ascii="Times New Roman" w:hAnsi="Times New Roman" w:cs="Times New Roman"/>
          <w:sz w:val="24"/>
          <w:szCs w:val="24"/>
        </w:rPr>
        <w:t xml:space="preserve"> CFU of total bacterial strains mixtures were daily administered to male C57BL/6J mice for 7 days and another 7 days with 3% DSS exposing. Control group was only gavaged with water. (B-E) Body weight (B), disease activity index (C), colon lengths (D) and histopathological scores (E) were compared between nine groups. (F) Schematic diagram for 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>E. ludwigii</w:t>
      </w:r>
      <w:r w:rsidRPr="00B626E2">
        <w:rPr>
          <w:rFonts w:ascii="Times New Roman" w:hAnsi="Times New Roman" w:cs="Times New Roman"/>
          <w:sz w:val="24"/>
          <w:szCs w:val="24"/>
        </w:rPr>
        <w:t xml:space="preserve"> therapeutic effect mouse model,</w:t>
      </w:r>
      <w:r w:rsidRPr="00B626E2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mice were gavaged with 10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B626E2">
        <w:rPr>
          <w:rFonts w:ascii="Times New Roman" w:hAnsi="Times New Roman" w:cs="Times New Roman"/>
          <w:sz w:val="24"/>
          <w:szCs w:val="24"/>
        </w:rPr>
        <w:t xml:space="preserve"> CFU individual bacterial strain together with 3% DSS in drinking water from day 0 to day 8. 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(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>G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-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>J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)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Body weight (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>G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), disease activity index (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>H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), colon lengths (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>I</w:t>
      </w:r>
      <w:r w:rsidRPr="00B626E2">
        <w:rPr>
          <w:rFonts w:ascii="Times New Roman" w:eastAsia="RotisSansSerifStd-Light" w:hAnsi="Times New Roman" w:cs="Times New Roman"/>
          <w:kern w:val="0"/>
          <w:sz w:val="24"/>
          <w:szCs w:val="24"/>
        </w:rPr>
        <w:t>) and</w:t>
      </w:r>
      <w:r w:rsidRPr="00B626E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626E2">
        <w:rPr>
          <w:rFonts w:ascii="Times New Roman" w:eastAsia="Times-Roman" w:hAnsi="Times New Roman" w:cs="Times New Roman"/>
          <w:color w:val="000000"/>
          <w:kern w:val="0"/>
          <w:sz w:val="24"/>
          <w:szCs w:val="24"/>
        </w:rPr>
        <w:t>histopathological scores (</w:t>
      </w:r>
      <w:r w:rsidRPr="00B626E2">
        <w:rPr>
          <w:rFonts w:ascii="Times New Roman" w:hAnsi="Times New Roman" w:cs="Times New Roman"/>
          <w:color w:val="000000"/>
          <w:kern w:val="0"/>
          <w:sz w:val="24"/>
          <w:szCs w:val="24"/>
        </w:rPr>
        <w:t>J</w:t>
      </w:r>
      <w:r w:rsidRPr="00B626E2">
        <w:rPr>
          <w:rFonts w:ascii="Times New Roman" w:eastAsia="Times-Roman" w:hAnsi="Times New Roman" w:cs="Times New Roman"/>
          <w:color w:val="000000"/>
          <w:kern w:val="0"/>
          <w:sz w:val="24"/>
          <w:szCs w:val="24"/>
        </w:rPr>
        <w:t>) were compared between the control,</w:t>
      </w:r>
      <w:r w:rsidRPr="00B626E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 xml:space="preserve">E. ludwigii </w:t>
      </w:r>
      <w:r w:rsidRPr="00B626E2">
        <w:rPr>
          <w:rFonts w:ascii="Times New Roman" w:hAnsi="Times New Roman" w:cs="Times New Roman"/>
          <w:sz w:val="24"/>
          <w:szCs w:val="24"/>
        </w:rPr>
        <w:t xml:space="preserve">and 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 xml:space="preserve">E. gallinarum </w:t>
      </w:r>
      <w:r w:rsidRPr="00B626E2">
        <w:rPr>
          <w:rFonts w:ascii="Times New Roman" w:hAnsi="Times New Roman" w:cs="Times New Roman"/>
          <w:sz w:val="24"/>
          <w:szCs w:val="24"/>
        </w:rPr>
        <w:t xml:space="preserve">groups. n = 6 in each group. </w:t>
      </w:r>
      <w:r w:rsidRPr="00B626E2">
        <w:rPr>
          <w:rFonts w:ascii="Times New Roman" w:eastAsia="AdvPSA183" w:hAnsi="Times New Roman" w:cs="Times New Roman"/>
          <w:color w:val="000000"/>
          <w:kern w:val="0"/>
          <w:sz w:val="24"/>
          <w:szCs w:val="24"/>
        </w:rPr>
        <w:t>Data are the mean ± SEM,</w:t>
      </w:r>
      <w:r w:rsidRPr="00B626E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two-way ANOVA (B to C, G to H) or one-way ANOVA (D to E, I to J).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 xml:space="preserve"> Km, K. michiganensis. Elu, E. ludwigii. Lj, L. johnsonii. Eg, E. gallinarum. Ela, E. Lactis. </w:t>
      </w:r>
      <w:r w:rsidRPr="00B626E2">
        <w:rPr>
          <w:rFonts w:ascii="Times New Roman" w:hAnsi="Times New Roman" w:cs="Times New Roman"/>
          <w:sz w:val="24"/>
          <w:szCs w:val="24"/>
        </w:rPr>
        <w:t>*p &lt; 0.05; **p &lt; 0.01.</w:t>
      </w:r>
    </w:p>
    <w:p w:rsidR="00631C95" w:rsidRPr="00B626E2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:rsidR="00631C95" w:rsidRPr="00B626E2" w:rsidRDefault="00631C95" w:rsidP="00631C95">
      <w:pPr>
        <w:widowControl/>
        <w:snapToGrid w:val="0"/>
        <w:jc w:val="left"/>
        <w:rPr>
          <w:rFonts w:ascii="Times New Roman" w:hAnsi="Times New Roman" w:cs="Times New Roman"/>
          <w:sz w:val="24"/>
          <w:szCs w:val="24"/>
        </w:rPr>
      </w:pPr>
      <w:r w:rsidRPr="00B626E2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</w:rPr>
        <w:t>Additional file 6: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Figure S6. Diphtheria toxin deletes DCs in spleen, MLN and cLP of CD11c-GFP-DTR mice.</w:t>
      </w:r>
      <w:r w:rsidRPr="00B626E2">
        <w:rPr>
          <w:rFonts w:ascii="Times New Roman" w:hAnsi="Times New Roman" w:cs="Times New Roman"/>
          <w:sz w:val="24"/>
          <w:szCs w:val="24"/>
        </w:rPr>
        <w:t xml:space="preserve"> Spleen, MLN and cLP of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CD11c-GFP-DTR mice at the sixth day after DSS treatment in the control and DT-injected groups were collected (in the model of Fig. S7A), and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lymphocytes were isolated, stained and analyzed by flow cytometry. (A-C)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Representative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flow dot plots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eastAsia="RotisSansSerifStd-Light" w:hAnsi="Times New Roman" w:cs="Times New Roman"/>
          <w:color w:val="231F20"/>
          <w:kern w:val="0"/>
          <w:sz w:val="24"/>
          <w:szCs w:val="24"/>
        </w:rPr>
        <w:t>gated on</w:t>
      </w:r>
      <w:r w:rsidRPr="00B626E2">
        <w:rPr>
          <w:rFonts w:ascii="Times New Roman" w:eastAsia="AdvTTdeec4450" w:hAnsi="Times New Roman" w:cs="Times New Roman"/>
          <w:color w:val="231F20"/>
          <w:kern w:val="0"/>
          <w:sz w:val="24"/>
          <w:szCs w:val="24"/>
        </w:rPr>
        <w:t xml:space="preserve"> CD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>45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RotisSansSerifStd-Light" w:hAnsi="Times New Roman" w:cs="Times New Roman"/>
          <w:color w:val="231F20"/>
          <w:kern w:val="0"/>
          <w:sz w:val="24"/>
          <w:szCs w:val="24"/>
        </w:rPr>
        <w:t xml:space="preserve"> cells</w:t>
      </w:r>
      <w:r w:rsidRPr="00B626E2">
        <w:rPr>
          <w:rFonts w:ascii="Times New Roman" w:hAnsi="Times New Roman" w:cs="Times New Roman"/>
          <w:sz w:val="24"/>
          <w:szCs w:val="24"/>
        </w:rPr>
        <w:t xml:space="preserve"> and the percentage of MHCII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>CD11c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B626E2">
        <w:rPr>
          <w:rFonts w:ascii="Times New Roman" w:hAnsi="Times New Roman" w:cs="Times New Roman"/>
          <w:sz w:val="24"/>
          <w:szCs w:val="24"/>
        </w:rPr>
        <w:t>in total CD45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 xml:space="preserve"> cells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 xml:space="preserve">in spleen (A), MLN 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>(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>B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>)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 xml:space="preserve"> and cLP (C)</w:t>
      </w:r>
      <w:r w:rsidRPr="00B626E2">
        <w:rPr>
          <w:rFonts w:ascii="Times New Roman" w:hAnsi="Times New Roman" w:cs="Times New Roman"/>
          <w:sz w:val="24"/>
          <w:szCs w:val="24"/>
        </w:rPr>
        <w:t>.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n = 5 in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 xml:space="preserve">each group. </w:t>
      </w:r>
      <w:r w:rsidRPr="00B626E2">
        <w:rPr>
          <w:rFonts w:ascii="Times New Roman" w:eastAsia="AdvPSA183" w:hAnsi="Times New Roman" w:cs="Times New Roman"/>
          <w:color w:val="000000"/>
          <w:kern w:val="0"/>
          <w:sz w:val="24"/>
          <w:szCs w:val="24"/>
        </w:rPr>
        <w:t>Data are the mean ± SEM,</w:t>
      </w:r>
      <w:r w:rsidRPr="00B626E2">
        <w:rPr>
          <w:rFonts w:ascii="Times New Roman" w:hAnsi="Times New Roman" w:cs="Times New Roman"/>
          <w:sz w:val="24"/>
          <w:szCs w:val="24"/>
        </w:rPr>
        <w:t xml:space="preserve"> Mann-Whitney test. *p &lt; 0.05; **p &lt; 0.01.</w:t>
      </w:r>
    </w:p>
    <w:p w:rsidR="00631C95" w:rsidRPr="00B626E2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:rsidR="00631C95" w:rsidRPr="00B626E2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 w:rsidRPr="00B626E2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</w:rPr>
        <w:t>Additional file 7:</w:t>
      </w:r>
      <w:r w:rsidRPr="00B626E2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Figure S7. </w:t>
      </w:r>
      <w:r w:rsidRPr="00B626E2">
        <w:rPr>
          <w:rFonts w:ascii="Times New Roman" w:hAnsi="Times New Roman" w:cs="Times New Roman"/>
          <w:b/>
          <w:bCs/>
          <w:i/>
          <w:iCs/>
          <w:sz w:val="24"/>
          <w:szCs w:val="24"/>
        </w:rPr>
        <w:t>E. ludwigii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has no protective effect on DSS-induced acute colitis in DC-deficient mice.</w:t>
      </w:r>
      <w:r w:rsidRPr="00B626E2">
        <w:rPr>
          <w:rFonts w:ascii="Times New Roman" w:hAnsi="Times New Roman" w:cs="Times New Roman"/>
          <w:sz w:val="24"/>
          <w:szCs w:val="24"/>
        </w:rPr>
        <w:t xml:space="preserve"> (A) Schematic diagram for the mouse model of DSS-induced acute colitis combined with ABX treatment, single bacteria colonization and DT injection. After five days of ABX treatment, male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CD11c-GFP-DTR transgenic mice were injected intraperitoneally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with DT every other day. During the period, mice were gavaged with single bacterial strain from -6 day and given 3% DSS and LPS from 0 day to 6 day. (B-E) Body weight (B), disease activity index (C), colon lengths (D) and histopathological scores (E) were compared between the control,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>E. ludwigii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and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>E. gallinarum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groups.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n = 6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in each group.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eastAsia="AdvPSA183" w:hAnsi="Times New Roman" w:cs="Times New Roman"/>
          <w:color w:val="000000"/>
          <w:kern w:val="0"/>
          <w:sz w:val="24"/>
          <w:szCs w:val="24"/>
        </w:rPr>
        <w:t>Data are the mean ± SEM,</w:t>
      </w:r>
      <w:r w:rsidRPr="00B626E2">
        <w:rPr>
          <w:rFonts w:ascii="Times New Roman" w:hAnsi="Times New Roman" w:cs="Times New Roman"/>
          <w:sz w:val="24"/>
          <w:szCs w:val="24"/>
        </w:rPr>
        <w:t xml:space="preserve"> two-way ANOVA (B to C) or one-way ANOVA (D to E).</w:t>
      </w:r>
    </w:p>
    <w:p w:rsidR="00631C95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:rsidR="00631C95" w:rsidRPr="00B626E2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 w:rsidRPr="00B626E2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</w:rPr>
        <w:t>Additional file 8:</w:t>
      </w:r>
      <w:r w:rsidRPr="00B626E2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Figure S8. Diphtheria toxin deletes Tregs in spleen, MLN and cLP of Foxp3-GFP-DTR mice. </w:t>
      </w:r>
      <w:r w:rsidRPr="00B626E2">
        <w:rPr>
          <w:rFonts w:ascii="Times New Roman" w:hAnsi="Times New Roman" w:cs="Times New Roman"/>
          <w:sz w:val="24"/>
          <w:szCs w:val="24"/>
        </w:rPr>
        <w:t>Spleen, MLN and cLP of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Foxp3-GFP-DTR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mice at the fourth day after DSS treatment in the control and DT-injected groups were collected (in the model of Fig. S9A), and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lymphocytes were isolated, stained and analyzed by flow cytometry.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(A-C) Representative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flow dot plots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eastAsia="RotisSansSerifStd-Light" w:hAnsi="Times New Roman" w:cs="Times New Roman"/>
          <w:color w:val="231F20"/>
          <w:kern w:val="0"/>
          <w:sz w:val="24"/>
          <w:szCs w:val="24"/>
        </w:rPr>
        <w:t>gated on</w:t>
      </w:r>
      <w:r w:rsidRPr="00B626E2">
        <w:rPr>
          <w:rFonts w:ascii="Times New Roman" w:eastAsia="AdvTTdeec4450" w:hAnsi="Times New Roman" w:cs="Times New Roman"/>
          <w:color w:val="231F20"/>
          <w:kern w:val="0"/>
          <w:sz w:val="24"/>
          <w:szCs w:val="24"/>
        </w:rPr>
        <w:t xml:space="preserve"> CD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>3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AdvTTdeec4450" w:hAnsi="Times New Roman" w:cs="Times New Roman"/>
          <w:color w:val="231F20"/>
          <w:kern w:val="0"/>
          <w:sz w:val="24"/>
          <w:szCs w:val="24"/>
        </w:rPr>
        <w:t>CD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>4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RotisSansSerifStd-Light" w:hAnsi="Times New Roman" w:cs="Times New Roman"/>
          <w:color w:val="231F20"/>
          <w:kern w:val="0"/>
          <w:sz w:val="24"/>
          <w:szCs w:val="24"/>
        </w:rPr>
        <w:t xml:space="preserve"> cells</w:t>
      </w:r>
      <w:r w:rsidRPr="00B626E2">
        <w:rPr>
          <w:rFonts w:ascii="Times New Roman" w:hAnsi="Times New Roman" w:cs="Times New Roman"/>
          <w:sz w:val="24"/>
          <w:szCs w:val="24"/>
        </w:rPr>
        <w:t xml:space="preserve"> and the percentage of CD25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AdvTTdeec4450" w:hAnsi="Times New Roman" w:cs="Times New Roman"/>
          <w:color w:val="231F20"/>
          <w:kern w:val="0"/>
          <w:sz w:val="24"/>
          <w:szCs w:val="24"/>
        </w:rPr>
        <w:t>Foxp3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 xml:space="preserve"> in total </w:t>
      </w:r>
      <w:r w:rsidRPr="00B626E2">
        <w:rPr>
          <w:rFonts w:ascii="Times New Roman" w:eastAsia="AdvTTdeec4450" w:hAnsi="Times New Roman" w:cs="Times New Roman"/>
          <w:color w:val="231F20"/>
          <w:kern w:val="0"/>
          <w:sz w:val="24"/>
          <w:szCs w:val="24"/>
        </w:rPr>
        <w:t>CD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>3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AdvTTdeec4450" w:hAnsi="Times New Roman" w:cs="Times New Roman"/>
          <w:color w:val="231F20"/>
          <w:kern w:val="0"/>
          <w:sz w:val="24"/>
          <w:szCs w:val="24"/>
        </w:rPr>
        <w:t>CD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>4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 xml:space="preserve"> cells 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 xml:space="preserve">in spleen (A), MLN 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>(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>B</w:t>
      </w:r>
      <w:r w:rsidRPr="00B626E2">
        <w:rPr>
          <w:rFonts w:ascii="Times New Roman" w:eastAsia="AdvTT5235d5a9" w:hAnsi="Times New Roman" w:cs="Times New Roman"/>
          <w:color w:val="231F20"/>
          <w:kern w:val="0"/>
          <w:sz w:val="24"/>
          <w:szCs w:val="24"/>
        </w:rPr>
        <w:t>)</w:t>
      </w:r>
      <w:r w:rsidRPr="00B626E2">
        <w:rPr>
          <w:rFonts w:ascii="Times New Roman" w:eastAsia="SimSun" w:hAnsi="Times New Roman" w:cs="Times New Roman"/>
          <w:color w:val="231F20"/>
          <w:kern w:val="0"/>
          <w:sz w:val="24"/>
          <w:szCs w:val="24"/>
        </w:rPr>
        <w:t xml:space="preserve"> and cLP (C)</w:t>
      </w:r>
      <w:r w:rsidRPr="00B626E2">
        <w:rPr>
          <w:rFonts w:ascii="Times New Roman" w:hAnsi="Times New Roman" w:cs="Times New Roman"/>
          <w:sz w:val="24"/>
          <w:szCs w:val="24"/>
        </w:rPr>
        <w:t>. n = 5 in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 xml:space="preserve">each group. </w:t>
      </w:r>
      <w:r w:rsidRPr="00B626E2">
        <w:rPr>
          <w:rFonts w:ascii="Times New Roman" w:eastAsia="AdvPSA183" w:hAnsi="Times New Roman" w:cs="Times New Roman"/>
          <w:color w:val="000000"/>
          <w:kern w:val="0"/>
          <w:sz w:val="24"/>
          <w:szCs w:val="24"/>
        </w:rPr>
        <w:t>Data are the mean ± SEM,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>Mann-Whitney test. **p &lt; 0.01.</w:t>
      </w:r>
    </w:p>
    <w:p w:rsidR="00631C95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:rsidR="00631C95" w:rsidRPr="00B626E2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 w:rsidRPr="00B626E2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</w:rPr>
        <w:t>Additional file 9:</w:t>
      </w:r>
      <w:r w:rsidRPr="00B626E2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Figure S9. </w:t>
      </w:r>
      <w:r w:rsidRPr="00B626E2">
        <w:rPr>
          <w:rFonts w:ascii="Times New Roman" w:hAnsi="Times New Roman" w:cs="Times New Roman"/>
          <w:b/>
          <w:bCs/>
          <w:i/>
          <w:iCs/>
          <w:sz w:val="24"/>
          <w:szCs w:val="24"/>
        </w:rPr>
        <w:t>E. ludwigii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has no protective effect on DSS-induced acute colitis in Treg-deficient mice. </w:t>
      </w:r>
      <w:r w:rsidRPr="00B626E2">
        <w:rPr>
          <w:rFonts w:ascii="Times New Roman" w:hAnsi="Times New Roman" w:cs="Times New Roman"/>
          <w:sz w:val="24"/>
          <w:szCs w:val="24"/>
        </w:rPr>
        <w:t>(A)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 xml:space="preserve">Schematic diagram for the mouse model of DSS-induced acute colitis combined with ABX treatment, individual bacteria colonization and DT injection. </w:t>
      </w:r>
      <w:r w:rsidRPr="00B626E2">
        <w:rPr>
          <w:rFonts w:ascii="Times New Roman" w:hAnsi="Times New Roman" w:cs="Times New Roman"/>
          <w:sz w:val="24"/>
          <w:szCs w:val="24"/>
        </w:rPr>
        <w:lastRenderedPageBreak/>
        <w:t>After five days of ABX treatment, male Foxp3-GFP-DTR transgenic mice were injected intraperitoneally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26E2">
        <w:rPr>
          <w:rFonts w:ascii="Times New Roman" w:hAnsi="Times New Roman" w:cs="Times New Roman"/>
          <w:sz w:val="24"/>
          <w:szCs w:val="24"/>
        </w:rPr>
        <w:t xml:space="preserve">with DT every other day. During the period, mice were gavaged with single bacterial strain from -6 day and given 3% DSS and LPS from 0 day to 4 day. (B-E) Body weight (B), disease activity index (C), colon lengths (D) and histopathological scores (E) were compared between the control, 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>E. ludwigii</w:t>
      </w:r>
      <w:r w:rsidRPr="00B626E2">
        <w:rPr>
          <w:rFonts w:ascii="Times New Roman" w:hAnsi="Times New Roman" w:cs="Times New Roman"/>
          <w:sz w:val="24"/>
          <w:szCs w:val="24"/>
        </w:rPr>
        <w:t xml:space="preserve"> and 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>E. gallinarum</w:t>
      </w:r>
      <w:r w:rsidRPr="00B626E2">
        <w:rPr>
          <w:rFonts w:ascii="Times New Roman" w:hAnsi="Times New Roman" w:cs="Times New Roman"/>
          <w:sz w:val="24"/>
          <w:szCs w:val="24"/>
        </w:rPr>
        <w:t xml:space="preserve"> groups. n = 5 in each group. </w:t>
      </w:r>
      <w:r w:rsidRPr="00B626E2">
        <w:rPr>
          <w:rFonts w:ascii="Times New Roman" w:eastAsia="AdvPSA183" w:hAnsi="Times New Roman" w:cs="Times New Roman"/>
          <w:color w:val="000000"/>
          <w:kern w:val="0"/>
          <w:sz w:val="24"/>
          <w:szCs w:val="24"/>
        </w:rPr>
        <w:t>Data are the mean ± SEM,</w:t>
      </w:r>
      <w:r w:rsidRPr="00B626E2">
        <w:rPr>
          <w:rFonts w:ascii="Times New Roman" w:hAnsi="Times New Roman" w:cs="Times New Roman"/>
          <w:sz w:val="24"/>
          <w:szCs w:val="24"/>
        </w:rPr>
        <w:t xml:space="preserve"> two-way ANOVA (B to C) or one-way ANOVA (D to E).</w:t>
      </w:r>
    </w:p>
    <w:p w:rsidR="00631C95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:rsidR="00631C95" w:rsidRPr="00B626E2" w:rsidRDefault="00631C95" w:rsidP="00631C95">
      <w:pPr>
        <w:snapToGrid w:val="0"/>
        <w:jc w:val="left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 w:rsidRPr="00B626E2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</w:rPr>
        <w:t>Additional file 10:</w:t>
      </w:r>
      <w:r w:rsidRPr="00B626E2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 xml:space="preserve">Figure S10. </w:t>
      </w:r>
      <w:r w:rsidRPr="00B626E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E. ludwigii </w:t>
      </w:r>
      <w:r w:rsidRPr="00B626E2">
        <w:rPr>
          <w:rFonts w:ascii="Times New Roman" w:hAnsi="Times New Roman" w:cs="Times New Roman"/>
          <w:sz w:val="24"/>
          <w:szCs w:val="24"/>
        </w:rPr>
        <w:t>i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>ncreases CD103</w:t>
      </w:r>
      <w:r w:rsidRPr="00B626E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>DCs and Foxp3</w:t>
      </w:r>
      <w:r w:rsidRPr="00B626E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b/>
          <w:bCs/>
          <w:sz w:val="24"/>
          <w:szCs w:val="24"/>
        </w:rPr>
        <w:t>Tregs in MLN and cLP in normal colon tissue.</w:t>
      </w:r>
      <w:r w:rsidRPr="00B626E2">
        <w:rPr>
          <w:rFonts w:ascii="Times New Roman" w:hAnsi="Times New Roman" w:cs="Times New Roman"/>
          <w:sz w:val="24"/>
          <w:szCs w:val="24"/>
        </w:rPr>
        <w:t xml:space="preserve"> (A) Schematic diagram for the mouse model of individual bacterial strain treatment without DSS stimulation. (B-E) MLN and cLP of mice gavaged with 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>E. ludwigii</w:t>
      </w:r>
      <w:r w:rsidRPr="00B626E2">
        <w:rPr>
          <w:rFonts w:ascii="Times New Roman" w:hAnsi="Times New Roman" w:cs="Times New Roman"/>
          <w:sz w:val="24"/>
          <w:szCs w:val="24"/>
        </w:rPr>
        <w:t xml:space="preserve">, 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>E. gallinarum</w:t>
      </w:r>
      <w:r w:rsidRPr="00B626E2">
        <w:rPr>
          <w:rFonts w:ascii="Times New Roman" w:hAnsi="Times New Roman" w:cs="Times New Roman"/>
          <w:sz w:val="24"/>
          <w:szCs w:val="24"/>
        </w:rPr>
        <w:t xml:space="preserve"> and the control group were collected, and lymphocytes were isolated, stained and analyzed by flow cytometry. (B-C) Representative flow dot plots gated on CD45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>MHCII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>CD11c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 xml:space="preserve"> cells and the percentage of CD103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>DCs in total DC cells in MLN (B) and cLP (C). (D-E) Representative flow dot plots gated on CD3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>CD4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 xml:space="preserve"> cells and the percentage of CD25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>Foxp3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>Treg in CD4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 xml:space="preserve">T cells in MLN (D) and cLP (E). (F) The model that </w:t>
      </w:r>
      <w:r w:rsidRPr="00B626E2">
        <w:rPr>
          <w:rFonts w:ascii="Times New Roman" w:hAnsi="Times New Roman" w:cs="Times New Roman"/>
          <w:i/>
          <w:iCs/>
          <w:sz w:val="24"/>
          <w:szCs w:val="24"/>
        </w:rPr>
        <w:t>E. ludwigii</w:t>
      </w:r>
      <w:r w:rsidRPr="00B626E2">
        <w:rPr>
          <w:rFonts w:ascii="Times New Roman" w:hAnsi="Times New Roman" w:cs="Times New Roman"/>
          <w:sz w:val="24"/>
          <w:szCs w:val="24"/>
        </w:rPr>
        <w:t xml:space="preserve"> protects DSS-induced acute colitis through CD103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>DCs and Foxp3</w:t>
      </w:r>
      <w:r w:rsidRPr="00B626E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626E2">
        <w:rPr>
          <w:rFonts w:ascii="Times New Roman" w:hAnsi="Times New Roman" w:cs="Times New Roman"/>
          <w:sz w:val="24"/>
          <w:szCs w:val="24"/>
        </w:rPr>
        <w:t xml:space="preserve">Tregs. n = 11 in each group. </w:t>
      </w:r>
      <w:r w:rsidRPr="00B626E2">
        <w:rPr>
          <w:rFonts w:ascii="Times New Roman" w:eastAsia="AdvPSA183" w:hAnsi="Times New Roman" w:cs="Times New Roman"/>
          <w:color w:val="000000"/>
          <w:kern w:val="0"/>
          <w:sz w:val="24"/>
          <w:szCs w:val="24"/>
        </w:rPr>
        <w:t>Data are the mean ± SEM</w:t>
      </w:r>
      <w:r w:rsidRPr="00B626E2">
        <w:rPr>
          <w:rFonts w:ascii="Times New Roman" w:hAnsi="Times New Roman" w:cs="Times New Roman"/>
          <w:sz w:val="24"/>
          <w:szCs w:val="24"/>
        </w:rPr>
        <w:t>, one-way ANOVA. *p &lt; 0.05; **p &lt; 0.01; ****p &lt; 0.0001.</w:t>
      </w:r>
    </w:p>
    <w:p w:rsidR="00631C95" w:rsidRDefault="00631C95" w:rsidP="00631C95">
      <w:pPr>
        <w:snapToGrid w:val="0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:rsidR="00631C95" w:rsidRPr="00B626E2" w:rsidRDefault="00631C95" w:rsidP="00631C95">
      <w:pPr>
        <w:snapToGrid w:val="0"/>
        <w:rPr>
          <w:rFonts w:ascii="Times New Roman" w:hAnsi="Times New Roman" w:cs="Times New Roman"/>
          <w:b/>
          <w:sz w:val="24"/>
          <w:szCs w:val="24"/>
        </w:rPr>
      </w:pPr>
      <w:r w:rsidRPr="00B626E2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</w:rPr>
        <w:t>Additional file 11:</w:t>
      </w:r>
      <w:r w:rsidRPr="00B626E2"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  <w:t xml:space="preserve"> </w:t>
      </w:r>
      <w:r w:rsidRPr="00B626E2">
        <w:rPr>
          <w:rFonts w:ascii="Times New Roman" w:hAnsi="Times New Roman" w:cs="Times New Roman"/>
          <w:b/>
          <w:sz w:val="24"/>
          <w:szCs w:val="24"/>
        </w:rPr>
        <w:t>Table S1. Primers used in this study</w:t>
      </w:r>
    </w:p>
    <w:p w:rsidR="00631C95" w:rsidRPr="00B626E2" w:rsidRDefault="00631C95" w:rsidP="00631C95">
      <w:pPr>
        <w:snapToGrid w:val="0"/>
        <w:spacing w:line="480" w:lineRule="auto"/>
        <w:jc w:val="left"/>
        <w:rPr>
          <w:rFonts w:ascii="Times New Roman" w:eastAsia="SimSun" w:hAnsi="Times New Roman" w:cs="Times New Roman"/>
          <w:sz w:val="24"/>
          <w:shd w:val="clear" w:color="auto" w:fill="FFFFFF"/>
        </w:rPr>
      </w:pPr>
    </w:p>
    <w:p w:rsidR="00C928A3" w:rsidRDefault="00C928A3">
      <w:bookmarkStart w:id="0" w:name="_GoBack"/>
      <w:bookmarkEnd w:id="0"/>
    </w:p>
    <w:sectPr w:rsidR="00C928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Segoe Print"/>
    <w:panose1 w:val="020405030502010202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A183">
    <w:altName w:val="Segoe Print"/>
    <w:charset w:val="00"/>
    <w:family w:val="auto"/>
    <w:pitch w:val="default"/>
  </w:font>
  <w:font w:name="RotisSansSerifStd-Light">
    <w:altName w:val="Segoe Print"/>
    <w:panose1 w:val="00000400000000000000"/>
    <w:charset w:val="00"/>
    <w:family w:val="auto"/>
    <w:pitch w:val="default"/>
  </w:font>
  <w:font w:name="Times-Roman">
    <w:altName w:val="Times New Roman"/>
    <w:charset w:val="00"/>
    <w:family w:val="auto"/>
    <w:pitch w:val="default"/>
  </w:font>
  <w:font w:name="AdvTT5235d5a9 + 22">
    <w:altName w:val="Segoe Print"/>
    <w:charset w:val="00"/>
    <w:family w:val="auto"/>
    <w:pitch w:val="default"/>
  </w:font>
  <w:font w:name="AdvTT5235d5a9">
    <w:altName w:val="Segoe Print"/>
    <w:charset w:val="00"/>
    <w:family w:val="auto"/>
    <w:pitch w:val="default"/>
  </w:font>
  <w:font w:name="TimesNewRomanPSMT">
    <w:altName w:val="Times New Roman"/>
    <w:charset w:val="00"/>
    <w:family w:val="auto"/>
    <w:pitch w:val="default"/>
  </w:font>
  <w:font w:name="AdvTTdeec4450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C95"/>
    <w:rsid w:val="00631C95"/>
    <w:rsid w:val="00C9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E237BB-7C08-4A32-9801-29817BE78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1C9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qFormat/>
    <w:rsid w:val="00631C95"/>
    <w:rPr>
      <w:rFonts w:ascii="MinionPro-Regular" w:eastAsia="MinionPro-Regular" w:hAnsi="MinionPro-Regular" w:cs="MinionPro-Regular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D:/%E6%99%AE%E9%80%9A%E8%BD%AF%E4%BB%B6/Youdao/Dict/6.3.69.8341/resultui/frame/javascript:void(0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1291</Words>
  <Characters>7364</Characters>
  <Application>Microsoft Office Word</Application>
  <DocSecurity>0</DocSecurity>
  <Lines>61</Lines>
  <Paragraphs>17</Paragraphs>
  <ScaleCrop>false</ScaleCrop>
  <Company>Springer Nature</Company>
  <LinksUpToDate>false</LinksUpToDate>
  <CharactersWithSpaces>8638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2020-09-04T15:35:00Z</dcterms:created>
  <dcterms:modified xsi:type="dcterms:W3CDTF">2020-09-04T15:36:00Z</dcterms:modified>
</cp:coreProperties>
</file>