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CD17A" w14:textId="6FF842C8" w:rsidR="000F3BAB" w:rsidRPr="000F3BAB" w:rsidRDefault="000F3BAB" w:rsidP="000F3BAB">
      <w:pPr>
        <w:spacing w:after="0" w:line="360" w:lineRule="auto"/>
        <w:ind w:right="119"/>
        <w:jc w:val="both"/>
        <w:rPr>
          <w:rFonts w:ascii="Times New Roman" w:hAnsi="Times New Roman" w:cs="Times New Roman"/>
          <w:b/>
          <w:bCs/>
          <w:color w:val="000000"/>
          <w:sz w:val="24"/>
          <w:szCs w:val="24"/>
        </w:rPr>
      </w:pPr>
      <w:r w:rsidRPr="000F3BAB">
        <w:rPr>
          <w:rFonts w:ascii="Times New Roman" w:hAnsi="Times New Roman" w:cs="Times New Roman"/>
          <w:b/>
          <w:bCs/>
          <w:color w:val="000000"/>
          <w:sz w:val="24"/>
          <w:szCs w:val="24"/>
        </w:rPr>
        <w:t>Clinical evaluation</w:t>
      </w:r>
    </w:p>
    <w:p w14:paraId="29C87CA1" w14:textId="0EF1D09D" w:rsidR="000F3BAB" w:rsidRPr="009D4A3C" w:rsidRDefault="000F3BAB" w:rsidP="000F3BAB">
      <w:pPr>
        <w:spacing w:after="0" w:line="360" w:lineRule="auto"/>
        <w:ind w:right="119"/>
        <w:jc w:val="both"/>
        <w:rPr>
          <w:rFonts w:ascii="Times New Roman" w:hAnsi="Times New Roman" w:cs="Times New Roman"/>
          <w:sz w:val="20"/>
        </w:rPr>
      </w:pPr>
      <w:r w:rsidRPr="009D4A3C">
        <w:rPr>
          <w:rFonts w:ascii="Times New Roman" w:hAnsi="Times New Roman" w:cs="Times New Roman"/>
          <w:b/>
          <w:bCs/>
          <w:color w:val="000000"/>
          <w:sz w:val="20"/>
        </w:rPr>
        <w:t>Supplementary Table 1</w:t>
      </w:r>
      <w:r w:rsidRPr="009D4A3C">
        <w:rPr>
          <w:rFonts w:ascii="Times New Roman" w:hAnsi="Times New Roman" w:cs="Times New Roman"/>
          <w:color w:val="000000"/>
          <w:sz w:val="20"/>
        </w:rPr>
        <w:t xml:space="preserve"> Clinical </w:t>
      </w:r>
      <w:r w:rsidRPr="009D4A3C">
        <w:rPr>
          <w:rFonts w:ascii="Times New Roman" w:hAnsi="Times New Roman" w:cs="Times New Roman"/>
          <w:sz w:val="20"/>
        </w:rPr>
        <w:t>parameters and tests used to determine the type of hearing loss</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4500"/>
        <w:gridCol w:w="2160"/>
      </w:tblGrid>
      <w:tr w:rsidR="000F3BAB" w:rsidRPr="00A90472" w14:paraId="3138EAF2" w14:textId="77777777" w:rsidTr="00E031DF">
        <w:trPr>
          <w:trHeight w:val="272"/>
          <w:jc w:val="center"/>
        </w:trPr>
        <w:tc>
          <w:tcPr>
            <w:tcW w:w="1795" w:type="dxa"/>
            <w:shd w:val="clear" w:color="auto" w:fill="auto"/>
          </w:tcPr>
          <w:p w14:paraId="0B61E8A9" w14:textId="77777777" w:rsidR="000F3BAB" w:rsidRPr="00A90472" w:rsidRDefault="000F3BAB" w:rsidP="00E031DF">
            <w:pPr>
              <w:spacing w:after="0" w:line="360" w:lineRule="auto"/>
              <w:ind w:right="119"/>
              <w:jc w:val="both"/>
              <w:rPr>
                <w:rFonts w:cs="Times New Roman"/>
                <w:b/>
                <w:bCs/>
                <w:sz w:val="20"/>
              </w:rPr>
            </w:pPr>
            <w:r w:rsidRPr="00A90472">
              <w:rPr>
                <w:rFonts w:cs="Times New Roman"/>
                <w:b/>
                <w:bCs/>
                <w:sz w:val="20"/>
              </w:rPr>
              <w:t>Clinical evaluation</w:t>
            </w:r>
          </w:p>
        </w:tc>
        <w:tc>
          <w:tcPr>
            <w:tcW w:w="4500" w:type="dxa"/>
            <w:shd w:val="clear" w:color="auto" w:fill="auto"/>
          </w:tcPr>
          <w:p w14:paraId="46274967" w14:textId="77777777" w:rsidR="000F3BAB" w:rsidRPr="00A90472" w:rsidRDefault="000F3BAB" w:rsidP="00E031DF">
            <w:pPr>
              <w:spacing w:after="0" w:line="360" w:lineRule="auto"/>
              <w:ind w:right="119"/>
              <w:jc w:val="both"/>
              <w:rPr>
                <w:rFonts w:cs="Times New Roman"/>
                <w:b/>
                <w:bCs/>
                <w:sz w:val="20"/>
              </w:rPr>
            </w:pPr>
            <w:r w:rsidRPr="00A90472">
              <w:rPr>
                <w:rFonts w:cs="Times New Roman"/>
                <w:b/>
                <w:bCs/>
                <w:sz w:val="20"/>
              </w:rPr>
              <w:t>Tests</w:t>
            </w:r>
          </w:p>
        </w:tc>
        <w:tc>
          <w:tcPr>
            <w:tcW w:w="2160" w:type="dxa"/>
            <w:shd w:val="clear" w:color="auto" w:fill="auto"/>
          </w:tcPr>
          <w:p w14:paraId="6C37BC1F" w14:textId="77777777" w:rsidR="000F3BAB" w:rsidRPr="00A90472" w:rsidRDefault="000F3BAB" w:rsidP="00E031DF">
            <w:pPr>
              <w:spacing w:after="0" w:line="360" w:lineRule="auto"/>
              <w:ind w:right="119"/>
              <w:jc w:val="both"/>
              <w:rPr>
                <w:rFonts w:cs="Times New Roman"/>
                <w:b/>
                <w:bCs/>
                <w:sz w:val="20"/>
              </w:rPr>
            </w:pPr>
            <w:r w:rsidRPr="00A90472">
              <w:rPr>
                <w:rFonts w:cs="Times New Roman"/>
                <w:b/>
                <w:bCs/>
                <w:sz w:val="20"/>
              </w:rPr>
              <w:t>Confirmation</w:t>
            </w:r>
          </w:p>
        </w:tc>
      </w:tr>
      <w:tr w:rsidR="000F3BAB" w:rsidRPr="00A90472" w14:paraId="0AB4E07E" w14:textId="77777777" w:rsidTr="00E031DF">
        <w:trPr>
          <w:trHeight w:val="269"/>
          <w:jc w:val="center"/>
        </w:trPr>
        <w:tc>
          <w:tcPr>
            <w:tcW w:w="1795" w:type="dxa"/>
            <w:vMerge w:val="restart"/>
            <w:shd w:val="clear" w:color="auto" w:fill="auto"/>
          </w:tcPr>
          <w:p w14:paraId="6F9A1F27" w14:textId="77777777" w:rsidR="000F3BAB" w:rsidRPr="00A90472" w:rsidRDefault="000F3BAB" w:rsidP="00E031DF">
            <w:pPr>
              <w:spacing w:after="0" w:line="360" w:lineRule="auto"/>
              <w:ind w:right="119"/>
              <w:rPr>
                <w:rFonts w:cs="Times New Roman"/>
                <w:sz w:val="20"/>
              </w:rPr>
            </w:pPr>
            <w:r w:rsidRPr="00A90472">
              <w:rPr>
                <w:rFonts w:cs="Times New Roman"/>
                <w:sz w:val="20"/>
              </w:rPr>
              <w:t>Evaluation at the time of pregnancy</w:t>
            </w:r>
          </w:p>
        </w:tc>
        <w:tc>
          <w:tcPr>
            <w:tcW w:w="4500" w:type="dxa"/>
            <w:shd w:val="clear" w:color="auto" w:fill="auto"/>
          </w:tcPr>
          <w:p w14:paraId="06AA01D3" w14:textId="77777777" w:rsidR="000F3BAB" w:rsidRPr="00A90472" w:rsidRDefault="000F3BAB" w:rsidP="00E031DF">
            <w:pPr>
              <w:spacing w:after="0" w:line="360" w:lineRule="auto"/>
              <w:ind w:right="119"/>
              <w:rPr>
                <w:rFonts w:cs="Times New Roman"/>
                <w:sz w:val="20"/>
              </w:rPr>
            </w:pPr>
            <w:r w:rsidRPr="00A90472">
              <w:rPr>
                <w:rFonts w:cs="Times New Roman"/>
                <w:sz w:val="20"/>
              </w:rPr>
              <w:t>Infections during pregnancy (STORCH&amp;HIV tests)</w:t>
            </w:r>
          </w:p>
        </w:tc>
        <w:tc>
          <w:tcPr>
            <w:tcW w:w="2160" w:type="dxa"/>
            <w:vMerge w:val="restart"/>
            <w:shd w:val="clear" w:color="auto" w:fill="auto"/>
          </w:tcPr>
          <w:p w14:paraId="4314A96F" w14:textId="77777777" w:rsidR="000F3BAB" w:rsidRPr="00A90472" w:rsidRDefault="000F3BAB" w:rsidP="00E031DF">
            <w:pPr>
              <w:spacing w:after="0" w:line="360" w:lineRule="auto"/>
              <w:ind w:right="119"/>
              <w:rPr>
                <w:rFonts w:cs="Times New Roman"/>
                <w:sz w:val="20"/>
              </w:rPr>
            </w:pPr>
            <w:r w:rsidRPr="00A90472">
              <w:rPr>
                <w:rFonts w:cs="Times New Roman"/>
                <w:sz w:val="20"/>
              </w:rPr>
              <w:t>To rule out congenital non-genetic causes</w:t>
            </w:r>
          </w:p>
        </w:tc>
      </w:tr>
      <w:tr w:rsidR="000F3BAB" w:rsidRPr="00A90472" w14:paraId="133075AB" w14:textId="77777777" w:rsidTr="00E031DF">
        <w:trPr>
          <w:trHeight w:val="58"/>
          <w:jc w:val="center"/>
        </w:trPr>
        <w:tc>
          <w:tcPr>
            <w:tcW w:w="1795" w:type="dxa"/>
            <w:vMerge/>
            <w:shd w:val="clear" w:color="auto" w:fill="auto"/>
          </w:tcPr>
          <w:p w14:paraId="5814FB18"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37F19FD6" w14:textId="77777777" w:rsidR="000F3BAB" w:rsidRPr="00A90472" w:rsidRDefault="000F3BAB" w:rsidP="00E031DF">
            <w:pPr>
              <w:spacing w:after="0" w:line="360" w:lineRule="auto"/>
              <w:ind w:right="119"/>
              <w:rPr>
                <w:rFonts w:cs="Times New Roman"/>
                <w:sz w:val="20"/>
              </w:rPr>
            </w:pPr>
            <w:r w:rsidRPr="00A90472">
              <w:rPr>
                <w:rFonts w:cs="Times New Roman"/>
                <w:sz w:val="20"/>
              </w:rPr>
              <w:t>Use of ototoxic medication</w:t>
            </w:r>
          </w:p>
        </w:tc>
        <w:tc>
          <w:tcPr>
            <w:tcW w:w="2160" w:type="dxa"/>
            <w:vMerge/>
            <w:shd w:val="clear" w:color="auto" w:fill="auto"/>
          </w:tcPr>
          <w:p w14:paraId="4B8D9F98" w14:textId="77777777" w:rsidR="000F3BAB" w:rsidRPr="00A90472" w:rsidRDefault="000F3BAB" w:rsidP="00E031DF">
            <w:pPr>
              <w:spacing w:after="0" w:line="360" w:lineRule="auto"/>
              <w:ind w:right="119"/>
              <w:rPr>
                <w:rFonts w:cs="Times New Roman"/>
                <w:sz w:val="20"/>
              </w:rPr>
            </w:pPr>
          </w:p>
        </w:tc>
      </w:tr>
      <w:tr w:rsidR="000F3BAB" w:rsidRPr="00A90472" w14:paraId="4A1DBBA8" w14:textId="77777777" w:rsidTr="00E031DF">
        <w:trPr>
          <w:trHeight w:val="158"/>
          <w:jc w:val="center"/>
        </w:trPr>
        <w:tc>
          <w:tcPr>
            <w:tcW w:w="1795" w:type="dxa"/>
            <w:vMerge w:val="restart"/>
            <w:shd w:val="clear" w:color="auto" w:fill="auto"/>
          </w:tcPr>
          <w:p w14:paraId="451EE6BB" w14:textId="77777777" w:rsidR="000F3BAB" w:rsidRPr="00A90472" w:rsidRDefault="000F3BAB" w:rsidP="00E031DF">
            <w:pPr>
              <w:spacing w:after="0" w:line="360" w:lineRule="auto"/>
              <w:ind w:right="119"/>
              <w:rPr>
                <w:rFonts w:cs="Times New Roman"/>
                <w:sz w:val="20"/>
              </w:rPr>
            </w:pPr>
            <w:proofErr w:type="spellStart"/>
            <w:r w:rsidRPr="00A90472">
              <w:rPr>
                <w:rFonts w:cs="Times New Roman"/>
                <w:sz w:val="20"/>
              </w:rPr>
              <w:t>Newborn</w:t>
            </w:r>
            <w:proofErr w:type="spellEnd"/>
            <w:r w:rsidRPr="00A90472">
              <w:rPr>
                <w:rFonts w:cs="Times New Roman"/>
                <w:sz w:val="20"/>
              </w:rPr>
              <w:t xml:space="preserve"> health parameters</w:t>
            </w:r>
          </w:p>
        </w:tc>
        <w:tc>
          <w:tcPr>
            <w:tcW w:w="4500" w:type="dxa"/>
            <w:shd w:val="clear" w:color="auto" w:fill="auto"/>
          </w:tcPr>
          <w:p w14:paraId="4D8663F5" w14:textId="77777777" w:rsidR="000F3BAB" w:rsidRPr="00A90472" w:rsidRDefault="000F3BAB" w:rsidP="00E031DF">
            <w:pPr>
              <w:spacing w:after="0" w:line="360" w:lineRule="auto"/>
              <w:ind w:right="119"/>
              <w:rPr>
                <w:rFonts w:cs="Times New Roman"/>
                <w:sz w:val="20"/>
              </w:rPr>
            </w:pPr>
            <w:r w:rsidRPr="00A90472">
              <w:rPr>
                <w:rFonts w:cs="Times New Roman"/>
                <w:sz w:val="20"/>
              </w:rPr>
              <w:t>Birth asphyxia</w:t>
            </w:r>
          </w:p>
        </w:tc>
        <w:tc>
          <w:tcPr>
            <w:tcW w:w="2160" w:type="dxa"/>
            <w:vMerge w:val="restart"/>
            <w:shd w:val="clear" w:color="auto" w:fill="auto"/>
          </w:tcPr>
          <w:p w14:paraId="37B5878B" w14:textId="77777777" w:rsidR="000F3BAB" w:rsidRPr="00A90472" w:rsidRDefault="000F3BAB" w:rsidP="00E031DF">
            <w:pPr>
              <w:spacing w:after="0" w:line="360" w:lineRule="auto"/>
              <w:ind w:right="119"/>
              <w:rPr>
                <w:rFonts w:cs="Times New Roman"/>
                <w:sz w:val="20"/>
              </w:rPr>
            </w:pPr>
            <w:r w:rsidRPr="00A90472">
              <w:rPr>
                <w:rFonts w:cs="Times New Roman"/>
                <w:sz w:val="20"/>
              </w:rPr>
              <w:t>To rule out birth-related complications</w:t>
            </w:r>
          </w:p>
        </w:tc>
      </w:tr>
      <w:tr w:rsidR="000F3BAB" w:rsidRPr="00A90472" w14:paraId="4B644C59" w14:textId="77777777" w:rsidTr="00E031DF">
        <w:trPr>
          <w:trHeight w:val="182"/>
          <w:jc w:val="center"/>
        </w:trPr>
        <w:tc>
          <w:tcPr>
            <w:tcW w:w="1795" w:type="dxa"/>
            <w:vMerge/>
            <w:shd w:val="clear" w:color="auto" w:fill="auto"/>
          </w:tcPr>
          <w:p w14:paraId="71B505E7"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48B06202" w14:textId="77777777" w:rsidR="000F3BAB" w:rsidRPr="00A90472" w:rsidRDefault="000F3BAB" w:rsidP="00E031DF">
            <w:pPr>
              <w:spacing w:after="0" w:line="360" w:lineRule="auto"/>
              <w:ind w:right="119"/>
              <w:rPr>
                <w:rFonts w:cs="Times New Roman"/>
                <w:sz w:val="20"/>
              </w:rPr>
            </w:pPr>
            <w:r>
              <w:rPr>
                <w:rFonts w:cs="Times New Roman"/>
                <w:sz w:val="20"/>
              </w:rPr>
              <w:t>B</w:t>
            </w:r>
            <w:r w:rsidRPr="00A90472">
              <w:rPr>
                <w:rFonts w:cs="Times New Roman"/>
                <w:sz w:val="20"/>
              </w:rPr>
              <w:t>irth weight</w:t>
            </w:r>
            <w:r>
              <w:rPr>
                <w:rFonts w:cs="Times New Roman"/>
                <w:sz w:val="20"/>
              </w:rPr>
              <w:t xml:space="preserve"> &lt;1.5k</w:t>
            </w:r>
            <w:r w:rsidRPr="00A90472">
              <w:rPr>
                <w:rFonts w:cs="Times New Roman"/>
                <w:sz w:val="20"/>
              </w:rPr>
              <w:t>g</w:t>
            </w:r>
          </w:p>
        </w:tc>
        <w:tc>
          <w:tcPr>
            <w:tcW w:w="2160" w:type="dxa"/>
            <w:vMerge/>
            <w:shd w:val="clear" w:color="auto" w:fill="auto"/>
          </w:tcPr>
          <w:p w14:paraId="31ACC091" w14:textId="77777777" w:rsidR="000F3BAB" w:rsidRPr="00A90472" w:rsidRDefault="000F3BAB" w:rsidP="00E031DF">
            <w:pPr>
              <w:spacing w:after="0" w:line="360" w:lineRule="auto"/>
              <w:ind w:right="119"/>
              <w:rPr>
                <w:rFonts w:cs="Times New Roman"/>
                <w:sz w:val="20"/>
              </w:rPr>
            </w:pPr>
          </w:p>
        </w:tc>
      </w:tr>
      <w:tr w:rsidR="000F3BAB" w:rsidRPr="00A90472" w14:paraId="6B42B73E" w14:textId="77777777" w:rsidTr="00E031DF">
        <w:trPr>
          <w:trHeight w:val="281"/>
          <w:jc w:val="center"/>
        </w:trPr>
        <w:tc>
          <w:tcPr>
            <w:tcW w:w="1795" w:type="dxa"/>
            <w:vMerge/>
            <w:shd w:val="clear" w:color="auto" w:fill="auto"/>
          </w:tcPr>
          <w:p w14:paraId="61D1CBB8"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4881466F" w14:textId="77777777" w:rsidR="000F3BAB" w:rsidRPr="00A90472" w:rsidRDefault="000F3BAB" w:rsidP="00E031DF">
            <w:pPr>
              <w:spacing w:after="0" w:line="360" w:lineRule="auto"/>
              <w:ind w:right="119"/>
              <w:rPr>
                <w:rFonts w:cs="Times New Roman"/>
                <w:sz w:val="20"/>
              </w:rPr>
            </w:pPr>
            <w:r w:rsidRPr="00A90472">
              <w:rPr>
                <w:rFonts w:cs="Times New Roman"/>
                <w:sz w:val="20"/>
              </w:rPr>
              <w:t>Neonatal APGAR scores &lt;0–4 at one minute or &lt;0–6 at five minute</w:t>
            </w:r>
            <w:r>
              <w:rPr>
                <w:rFonts w:cs="Times New Roman"/>
                <w:sz w:val="20"/>
              </w:rPr>
              <w:t>s</w:t>
            </w:r>
          </w:p>
        </w:tc>
        <w:tc>
          <w:tcPr>
            <w:tcW w:w="2160" w:type="dxa"/>
            <w:vMerge/>
            <w:shd w:val="clear" w:color="auto" w:fill="auto"/>
          </w:tcPr>
          <w:p w14:paraId="2277DC14" w14:textId="77777777" w:rsidR="000F3BAB" w:rsidRPr="00A90472" w:rsidRDefault="000F3BAB" w:rsidP="00E031DF">
            <w:pPr>
              <w:spacing w:after="0" w:line="360" w:lineRule="auto"/>
              <w:ind w:right="119"/>
              <w:rPr>
                <w:rFonts w:cs="Times New Roman"/>
                <w:sz w:val="20"/>
              </w:rPr>
            </w:pPr>
          </w:p>
        </w:tc>
      </w:tr>
      <w:tr w:rsidR="000F3BAB" w:rsidRPr="00A90472" w14:paraId="6C12BD3C" w14:textId="77777777" w:rsidTr="00E031DF">
        <w:trPr>
          <w:trHeight w:val="93"/>
          <w:jc w:val="center"/>
        </w:trPr>
        <w:tc>
          <w:tcPr>
            <w:tcW w:w="1795" w:type="dxa"/>
            <w:vMerge/>
            <w:shd w:val="clear" w:color="auto" w:fill="auto"/>
          </w:tcPr>
          <w:p w14:paraId="797CA667"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3E08B860" w14:textId="77777777" w:rsidR="000F3BAB" w:rsidRPr="00A90472" w:rsidRDefault="000F3BAB" w:rsidP="00E031DF">
            <w:pPr>
              <w:spacing w:after="0" w:line="360" w:lineRule="auto"/>
              <w:ind w:right="119"/>
              <w:rPr>
                <w:rFonts w:cs="Times New Roman"/>
                <w:sz w:val="20"/>
              </w:rPr>
            </w:pPr>
            <w:r w:rsidRPr="00A90472">
              <w:rPr>
                <w:rFonts w:cs="Times New Roman"/>
                <w:sz w:val="20"/>
              </w:rPr>
              <w:t>The need for neonatal mechanical ventilation</w:t>
            </w:r>
          </w:p>
        </w:tc>
        <w:tc>
          <w:tcPr>
            <w:tcW w:w="2160" w:type="dxa"/>
            <w:vMerge/>
            <w:shd w:val="clear" w:color="auto" w:fill="auto"/>
          </w:tcPr>
          <w:p w14:paraId="6F96178F" w14:textId="77777777" w:rsidR="000F3BAB" w:rsidRPr="00A90472" w:rsidRDefault="000F3BAB" w:rsidP="00E031DF">
            <w:pPr>
              <w:spacing w:after="0" w:line="360" w:lineRule="auto"/>
              <w:ind w:right="119"/>
              <w:rPr>
                <w:rFonts w:cs="Times New Roman"/>
                <w:sz w:val="20"/>
              </w:rPr>
            </w:pPr>
          </w:p>
        </w:tc>
      </w:tr>
      <w:tr w:rsidR="000F3BAB" w:rsidRPr="00A90472" w14:paraId="1B59DEC3" w14:textId="77777777" w:rsidTr="00E031DF">
        <w:trPr>
          <w:trHeight w:val="287"/>
          <w:jc w:val="center"/>
        </w:trPr>
        <w:tc>
          <w:tcPr>
            <w:tcW w:w="1795" w:type="dxa"/>
            <w:vMerge/>
            <w:shd w:val="clear" w:color="auto" w:fill="auto"/>
          </w:tcPr>
          <w:p w14:paraId="25F2A368"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687382F4" w14:textId="77777777" w:rsidR="000F3BAB" w:rsidRPr="00A90472" w:rsidRDefault="000F3BAB" w:rsidP="00E031DF">
            <w:pPr>
              <w:spacing w:after="0" w:line="360" w:lineRule="auto"/>
              <w:ind w:right="119"/>
              <w:rPr>
                <w:rFonts w:cs="Times New Roman"/>
                <w:sz w:val="20"/>
              </w:rPr>
            </w:pPr>
            <w:proofErr w:type="spellStart"/>
            <w:r w:rsidRPr="00A90472">
              <w:rPr>
                <w:rFonts w:cs="Times New Roman"/>
                <w:sz w:val="20"/>
              </w:rPr>
              <w:t>Hyperbilirubinaemia</w:t>
            </w:r>
            <w:proofErr w:type="spellEnd"/>
            <w:r w:rsidRPr="00A90472">
              <w:rPr>
                <w:rFonts w:cs="Times New Roman"/>
                <w:sz w:val="20"/>
              </w:rPr>
              <w:t xml:space="preserve"> requiring transfusion</w:t>
            </w:r>
          </w:p>
        </w:tc>
        <w:tc>
          <w:tcPr>
            <w:tcW w:w="2160" w:type="dxa"/>
            <w:vMerge/>
            <w:shd w:val="clear" w:color="auto" w:fill="auto"/>
          </w:tcPr>
          <w:p w14:paraId="3273B0FE" w14:textId="77777777" w:rsidR="000F3BAB" w:rsidRPr="00A90472" w:rsidRDefault="000F3BAB" w:rsidP="00E031DF">
            <w:pPr>
              <w:spacing w:after="0" w:line="360" w:lineRule="auto"/>
              <w:ind w:right="119"/>
              <w:rPr>
                <w:rFonts w:cs="Times New Roman"/>
                <w:sz w:val="20"/>
              </w:rPr>
            </w:pPr>
          </w:p>
        </w:tc>
      </w:tr>
      <w:tr w:rsidR="000F3BAB" w:rsidRPr="00A90472" w14:paraId="40853440" w14:textId="77777777" w:rsidTr="00E031DF">
        <w:trPr>
          <w:trHeight w:val="345"/>
          <w:jc w:val="center"/>
        </w:trPr>
        <w:tc>
          <w:tcPr>
            <w:tcW w:w="1795" w:type="dxa"/>
            <w:vMerge w:val="restart"/>
            <w:shd w:val="clear" w:color="auto" w:fill="auto"/>
          </w:tcPr>
          <w:p w14:paraId="61C39430" w14:textId="77777777" w:rsidR="000F3BAB" w:rsidRPr="00A90472" w:rsidRDefault="000F3BAB" w:rsidP="00E031DF">
            <w:pPr>
              <w:spacing w:after="0" w:line="360" w:lineRule="auto"/>
              <w:ind w:right="119"/>
              <w:rPr>
                <w:rFonts w:cs="Times New Roman"/>
                <w:sz w:val="20"/>
              </w:rPr>
            </w:pPr>
            <w:r w:rsidRPr="00A90472">
              <w:rPr>
                <w:rFonts w:cs="Times New Roman"/>
                <w:sz w:val="20"/>
              </w:rPr>
              <w:t>Audiometric assessment</w:t>
            </w:r>
          </w:p>
        </w:tc>
        <w:tc>
          <w:tcPr>
            <w:tcW w:w="4500" w:type="dxa"/>
            <w:shd w:val="clear" w:color="auto" w:fill="auto"/>
          </w:tcPr>
          <w:p w14:paraId="2718DBDE" w14:textId="77777777" w:rsidR="000F3BAB" w:rsidRPr="00A90472" w:rsidRDefault="000F3BAB" w:rsidP="00E031DF">
            <w:pPr>
              <w:spacing w:after="0" w:line="360" w:lineRule="auto"/>
              <w:ind w:right="119"/>
              <w:rPr>
                <w:rFonts w:cs="Times New Roman"/>
                <w:sz w:val="20"/>
              </w:rPr>
            </w:pPr>
            <w:r w:rsidRPr="00A90472">
              <w:rPr>
                <w:rFonts w:cs="Times New Roman"/>
                <w:sz w:val="20"/>
              </w:rPr>
              <w:t xml:space="preserve">Pure Tone Audiometry </w:t>
            </w:r>
            <w:r>
              <w:rPr>
                <w:rFonts w:cs="Times New Roman"/>
                <w:sz w:val="20"/>
              </w:rPr>
              <w:t>(PTA)</w:t>
            </w:r>
          </w:p>
        </w:tc>
        <w:tc>
          <w:tcPr>
            <w:tcW w:w="2160" w:type="dxa"/>
            <w:vMerge w:val="restart"/>
            <w:shd w:val="clear" w:color="auto" w:fill="auto"/>
          </w:tcPr>
          <w:p w14:paraId="7FB792BC" w14:textId="77777777" w:rsidR="000F3BAB" w:rsidRPr="00A90472" w:rsidRDefault="000F3BAB" w:rsidP="00E031DF">
            <w:pPr>
              <w:spacing w:after="0" w:line="360" w:lineRule="auto"/>
              <w:ind w:right="119"/>
              <w:rPr>
                <w:rFonts w:cs="Times New Roman"/>
                <w:sz w:val="20"/>
              </w:rPr>
            </w:pPr>
            <w:r w:rsidRPr="00A90472">
              <w:rPr>
                <w:rFonts w:cs="Times New Roman"/>
                <w:sz w:val="20"/>
              </w:rPr>
              <w:t>To confirm hearing loss</w:t>
            </w:r>
          </w:p>
        </w:tc>
      </w:tr>
      <w:tr w:rsidR="000F3BAB" w:rsidRPr="00A90472" w14:paraId="32766055" w14:textId="77777777" w:rsidTr="00E031DF">
        <w:trPr>
          <w:trHeight w:val="345"/>
          <w:jc w:val="center"/>
        </w:trPr>
        <w:tc>
          <w:tcPr>
            <w:tcW w:w="1795" w:type="dxa"/>
            <w:vMerge/>
            <w:shd w:val="clear" w:color="auto" w:fill="auto"/>
          </w:tcPr>
          <w:p w14:paraId="51326220"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14EB4E87" w14:textId="77777777" w:rsidR="000F3BAB" w:rsidRPr="00A90472" w:rsidRDefault="000F3BAB" w:rsidP="00E031DF">
            <w:pPr>
              <w:spacing w:after="0" w:line="360" w:lineRule="auto"/>
              <w:ind w:right="119"/>
              <w:rPr>
                <w:rFonts w:cs="Times New Roman"/>
                <w:sz w:val="20"/>
              </w:rPr>
            </w:pPr>
            <w:r w:rsidRPr="00A90472">
              <w:rPr>
                <w:rFonts w:cs="Times New Roman"/>
                <w:sz w:val="20"/>
              </w:rPr>
              <w:t>Otoacoustic Emission (OAE)</w:t>
            </w:r>
          </w:p>
        </w:tc>
        <w:tc>
          <w:tcPr>
            <w:tcW w:w="2160" w:type="dxa"/>
            <w:vMerge/>
            <w:shd w:val="clear" w:color="auto" w:fill="auto"/>
          </w:tcPr>
          <w:p w14:paraId="22304FE9" w14:textId="77777777" w:rsidR="000F3BAB" w:rsidRPr="00A90472" w:rsidRDefault="000F3BAB" w:rsidP="00E031DF">
            <w:pPr>
              <w:spacing w:after="0" w:line="360" w:lineRule="auto"/>
              <w:ind w:right="119"/>
              <w:rPr>
                <w:rFonts w:cs="Times New Roman"/>
                <w:sz w:val="20"/>
              </w:rPr>
            </w:pPr>
          </w:p>
        </w:tc>
      </w:tr>
      <w:tr w:rsidR="000F3BAB" w:rsidRPr="00A90472" w14:paraId="4A7AE0EA" w14:textId="77777777" w:rsidTr="00E031DF">
        <w:trPr>
          <w:trHeight w:val="251"/>
          <w:jc w:val="center"/>
        </w:trPr>
        <w:tc>
          <w:tcPr>
            <w:tcW w:w="1795" w:type="dxa"/>
            <w:vMerge/>
            <w:shd w:val="clear" w:color="auto" w:fill="auto"/>
          </w:tcPr>
          <w:p w14:paraId="025A69AF"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61951904" w14:textId="77777777" w:rsidR="000F3BAB" w:rsidRPr="00A90472" w:rsidRDefault="000F3BAB" w:rsidP="00E031DF">
            <w:pPr>
              <w:spacing w:after="0" w:line="360" w:lineRule="auto"/>
              <w:ind w:right="119"/>
              <w:rPr>
                <w:rFonts w:cs="Times New Roman"/>
                <w:sz w:val="20"/>
              </w:rPr>
            </w:pPr>
            <w:r w:rsidRPr="00A90472">
              <w:rPr>
                <w:rFonts w:cs="Times New Roman"/>
                <w:sz w:val="20"/>
              </w:rPr>
              <w:t>Bone conduction</w:t>
            </w:r>
          </w:p>
        </w:tc>
        <w:tc>
          <w:tcPr>
            <w:tcW w:w="2160" w:type="dxa"/>
            <w:vMerge w:val="restart"/>
            <w:shd w:val="clear" w:color="auto" w:fill="auto"/>
          </w:tcPr>
          <w:p w14:paraId="2FEDA25F" w14:textId="77777777" w:rsidR="000F3BAB" w:rsidRPr="00A90472" w:rsidRDefault="000F3BAB" w:rsidP="00E031DF">
            <w:pPr>
              <w:spacing w:after="0" w:line="360" w:lineRule="auto"/>
              <w:ind w:right="119"/>
              <w:rPr>
                <w:rFonts w:cs="Times New Roman"/>
                <w:sz w:val="20"/>
              </w:rPr>
            </w:pPr>
            <w:r w:rsidRPr="00A90472">
              <w:rPr>
                <w:rFonts w:cs="Times New Roman"/>
                <w:sz w:val="20"/>
              </w:rPr>
              <w:t>To rule out conductive hearing loss</w:t>
            </w:r>
          </w:p>
        </w:tc>
      </w:tr>
      <w:tr w:rsidR="000F3BAB" w:rsidRPr="00A90472" w14:paraId="38397050" w14:textId="77777777" w:rsidTr="00E031DF">
        <w:trPr>
          <w:trHeight w:val="58"/>
          <w:jc w:val="center"/>
        </w:trPr>
        <w:tc>
          <w:tcPr>
            <w:tcW w:w="1795" w:type="dxa"/>
            <w:vMerge/>
            <w:shd w:val="clear" w:color="auto" w:fill="auto"/>
          </w:tcPr>
          <w:p w14:paraId="67135902"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6C4A800F" w14:textId="77777777" w:rsidR="000F3BAB" w:rsidRPr="00A90472" w:rsidRDefault="000F3BAB" w:rsidP="00E031DF">
            <w:pPr>
              <w:spacing w:after="0" w:line="360" w:lineRule="auto"/>
              <w:ind w:right="119"/>
              <w:rPr>
                <w:rFonts w:cs="Times New Roman"/>
                <w:sz w:val="20"/>
              </w:rPr>
            </w:pPr>
            <w:r w:rsidRPr="00A90472">
              <w:rPr>
                <w:rFonts w:cs="Times New Roman"/>
                <w:sz w:val="20"/>
              </w:rPr>
              <w:t>Tympanometry</w:t>
            </w:r>
          </w:p>
        </w:tc>
        <w:tc>
          <w:tcPr>
            <w:tcW w:w="2160" w:type="dxa"/>
            <w:vMerge/>
            <w:shd w:val="clear" w:color="auto" w:fill="auto"/>
          </w:tcPr>
          <w:p w14:paraId="011FB398" w14:textId="77777777" w:rsidR="000F3BAB" w:rsidRPr="00A90472" w:rsidRDefault="000F3BAB" w:rsidP="00E031DF">
            <w:pPr>
              <w:spacing w:after="0" w:line="360" w:lineRule="auto"/>
              <w:ind w:right="119"/>
              <w:rPr>
                <w:rFonts w:cs="Times New Roman"/>
                <w:sz w:val="20"/>
              </w:rPr>
            </w:pPr>
          </w:p>
        </w:tc>
      </w:tr>
      <w:tr w:rsidR="000F3BAB" w:rsidRPr="00A90472" w14:paraId="5007EAAF" w14:textId="77777777" w:rsidTr="00E031DF">
        <w:trPr>
          <w:trHeight w:val="278"/>
          <w:jc w:val="center"/>
        </w:trPr>
        <w:tc>
          <w:tcPr>
            <w:tcW w:w="1795" w:type="dxa"/>
            <w:vMerge/>
            <w:shd w:val="clear" w:color="auto" w:fill="auto"/>
          </w:tcPr>
          <w:p w14:paraId="0E967958"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3DB9E076" w14:textId="77777777" w:rsidR="000F3BAB" w:rsidRPr="00A90472" w:rsidRDefault="000F3BAB" w:rsidP="00E031DF">
            <w:pPr>
              <w:spacing w:after="0" w:line="360" w:lineRule="auto"/>
              <w:ind w:right="119"/>
              <w:rPr>
                <w:rFonts w:cs="Times New Roman"/>
                <w:sz w:val="20"/>
              </w:rPr>
            </w:pPr>
            <w:r w:rsidRPr="00100645">
              <w:rPr>
                <w:rFonts w:cs="Times New Roman"/>
                <w:sz w:val="20"/>
              </w:rPr>
              <w:t xml:space="preserve">Brainstem Evoked Response Audiometry </w:t>
            </w:r>
            <w:r>
              <w:rPr>
                <w:rFonts w:cs="Times New Roman"/>
                <w:sz w:val="20"/>
              </w:rPr>
              <w:t>(</w:t>
            </w:r>
            <w:r w:rsidRPr="006E29CF">
              <w:rPr>
                <w:rFonts w:cs="Times New Roman"/>
                <w:sz w:val="20"/>
              </w:rPr>
              <w:t>BERA</w:t>
            </w:r>
            <w:r>
              <w:rPr>
                <w:rFonts w:cs="Times New Roman"/>
                <w:sz w:val="20"/>
              </w:rPr>
              <w:t>)</w:t>
            </w:r>
          </w:p>
        </w:tc>
        <w:tc>
          <w:tcPr>
            <w:tcW w:w="2160" w:type="dxa"/>
            <w:shd w:val="clear" w:color="auto" w:fill="auto"/>
          </w:tcPr>
          <w:p w14:paraId="1EE4F140" w14:textId="77777777" w:rsidR="000F3BAB" w:rsidRPr="00A90472" w:rsidRDefault="000F3BAB" w:rsidP="00E031DF">
            <w:pPr>
              <w:spacing w:after="0" w:line="360" w:lineRule="auto"/>
              <w:ind w:right="119"/>
              <w:rPr>
                <w:rFonts w:cs="Times New Roman"/>
                <w:sz w:val="20"/>
              </w:rPr>
            </w:pPr>
            <w:r w:rsidRPr="00A90472">
              <w:rPr>
                <w:rFonts w:cs="Times New Roman"/>
                <w:sz w:val="20"/>
              </w:rPr>
              <w:t>To confirm sensorineural hearing loss</w:t>
            </w:r>
          </w:p>
        </w:tc>
      </w:tr>
      <w:tr w:rsidR="000F3BAB" w:rsidRPr="00A90472" w14:paraId="6FBC1BE7" w14:textId="77777777" w:rsidTr="00E031DF">
        <w:trPr>
          <w:trHeight w:val="168"/>
          <w:jc w:val="center"/>
        </w:trPr>
        <w:tc>
          <w:tcPr>
            <w:tcW w:w="1795" w:type="dxa"/>
            <w:vMerge w:val="restart"/>
            <w:shd w:val="clear" w:color="auto" w:fill="auto"/>
          </w:tcPr>
          <w:p w14:paraId="5AC30B85" w14:textId="77777777" w:rsidR="000F3BAB" w:rsidRPr="00A90472" w:rsidRDefault="000F3BAB" w:rsidP="00E031DF">
            <w:pPr>
              <w:spacing w:after="0" w:line="360" w:lineRule="auto"/>
              <w:ind w:right="119"/>
              <w:rPr>
                <w:rFonts w:cs="Times New Roman"/>
                <w:sz w:val="20"/>
              </w:rPr>
            </w:pPr>
            <w:r w:rsidRPr="00A90472">
              <w:rPr>
                <w:rFonts w:cs="Times New Roman"/>
                <w:sz w:val="20"/>
              </w:rPr>
              <w:t>Biochemical analysis</w:t>
            </w:r>
          </w:p>
        </w:tc>
        <w:tc>
          <w:tcPr>
            <w:tcW w:w="4500" w:type="dxa"/>
            <w:shd w:val="clear" w:color="auto" w:fill="auto"/>
          </w:tcPr>
          <w:p w14:paraId="079DE641" w14:textId="77777777" w:rsidR="000F3BAB" w:rsidRPr="00A90472" w:rsidRDefault="000F3BAB" w:rsidP="00E031DF">
            <w:pPr>
              <w:spacing w:after="0" w:line="360" w:lineRule="auto"/>
              <w:ind w:right="119"/>
              <w:rPr>
                <w:rFonts w:cs="Times New Roman"/>
                <w:sz w:val="20"/>
              </w:rPr>
            </w:pPr>
            <w:proofErr w:type="spellStart"/>
            <w:r w:rsidRPr="00A90472">
              <w:rPr>
                <w:rFonts w:cs="Times New Roman"/>
                <w:sz w:val="20"/>
              </w:rPr>
              <w:t>Hemoglobin</w:t>
            </w:r>
            <w:proofErr w:type="spellEnd"/>
            <w:r w:rsidRPr="00A90472">
              <w:rPr>
                <w:rFonts w:cs="Times New Roman"/>
                <w:sz w:val="20"/>
              </w:rPr>
              <w:t xml:space="preserve"> level</w:t>
            </w:r>
          </w:p>
        </w:tc>
        <w:tc>
          <w:tcPr>
            <w:tcW w:w="2160" w:type="dxa"/>
            <w:vMerge w:val="restart"/>
            <w:shd w:val="clear" w:color="auto" w:fill="auto"/>
          </w:tcPr>
          <w:p w14:paraId="4F970588" w14:textId="77777777" w:rsidR="000F3BAB" w:rsidRPr="00A90472" w:rsidRDefault="000F3BAB" w:rsidP="00E031DF">
            <w:pPr>
              <w:spacing w:after="0" w:line="360" w:lineRule="auto"/>
              <w:ind w:right="119"/>
              <w:rPr>
                <w:rFonts w:cs="Times New Roman"/>
                <w:color w:val="000000"/>
                <w:sz w:val="20"/>
              </w:rPr>
            </w:pPr>
            <w:r w:rsidRPr="00A90472">
              <w:rPr>
                <w:rFonts w:cs="Times New Roman"/>
                <w:color w:val="000000"/>
                <w:sz w:val="20"/>
              </w:rPr>
              <w:t xml:space="preserve">To </w:t>
            </w:r>
            <w:r>
              <w:rPr>
                <w:rFonts w:cs="Times New Roman"/>
                <w:color w:val="000000"/>
                <w:sz w:val="20"/>
              </w:rPr>
              <w:t xml:space="preserve">confirm </w:t>
            </w:r>
            <w:r w:rsidRPr="00A90472">
              <w:rPr>
                <w:rFonts w:cs="Times New Roman"/>
                <w:color w:val="000000"/>
                <w:sz w:val="20"/>
              </w:rPr>
              <w:t>syndromic hearing loss</w:t>
            </w:r>
          </w:p>
        </w:tc>
      </w:tr>
      <w:tr w:rsidR="000F3BAB" w:rsidRPr="00A90472" w14:paraId="68BDE524" w14:textId="77777777" w:rsidTr="00E031DF">
        <w:trPr>
          <w:trHeight w:val="168"/>
          <w:jc w:val="center"/>
        </w:trPr>
        <w:tc>
          <w:tcPr>
            <w:tcW w:w="1795" w:type="dxa"/>
            <w:vMerge/>
            <w:shd w:val="clear" w:color="auto" w:fill="auto"/>
          </w:tcPr>
          <w:p w14:paraId="1E876388"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4B022090" w14:textId="77777777" w:rsidR="000F3BAB" w:rsidRPr="00A90472" w:rsidRDefault="000F3BAB" w:rsidP="00E031DF">
            <w:pPr>
              <w:spacing w:after="0" w:line="360" w:lineRule="auto"/>
              <w:ind w:right="119"/>
              <w:rPr>
                <w:rFonts w:cs="Times New Roman"/>
                <w:sz w:val="20"/>
              </w:rPr>
            </w:pPr>
            <w:r w:rsidRPr="00A90472">
              <w:rPr>
                <w:rFonts w:cs="Times New Roman"/>
                <w:sz w:val="20"/>
              </w:rPr>
              <w:t>Thyroid stimulating hormone</w:t>
            </w:r>
          </w:p>
        </w:tc>
        <w:tc>
          <w:tcPr>
            <w:tcW w:w="2160" w:type="dxa"/>
            <w:vMerge/>
            <w:shd w:val="clear" w:color="auto" w:fill="auto"/>
          </w:tcPr>
          <w:p w14:paraId="2BA80B15" w14:textId="77777777" w:rsidR="000F3BAB" w:rsidRPr="00A90472" w:rsidRDefault="000F3BAB" w:rsidP="00E031DF">
            <w:pPr>
              <w:spacing w:after="0" w:line="360" w:lineRule="auto"/>
              <w:ind w:right="119"/>
              <w:rPr>
                <w:rFonts w:cs="Times New Roman"/>
                <w:sz w:val="20"/>
              </w:rPr>
            </w:pPr>
          </w:p>
        </w:tc>
      </w:tr>
      <w:tr w:rsidR="000F3BAB" w:rsidRPr="00A90472" w14:paraId="1F76FC19" w14:textId="77777777" w:rsidTr="00E031DF">
        <w:trPr>
          <w:trHeight w:val="168"/>
          <w:jc w:val="center"/>
        </w:trPr>
        <w:tc>
          <w:tcPr>
            <w:tcW w:w="1795" w:type="dxa"/>
            <w:vMerge/>
            <w:shd w:val="clear" w:color="auto" w:fill="auto"/>
          </w:tcPr>
          <w:p w14:paraId="580C7EFA"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7270220C" w14:textId="77777777" w:rsidR="000F3BAB" w:rsidRPr="00A90472" w:rsidRDefault="000F3BAB" w:rsidP="00E031DF">
            <w:pPr>
              <w:spacing w:after="0" w:line="360" w:lineRule="auto"/>
              <w:ind w:right="119"/>
              <w:rPr>
                <w:rFonts w:cs="Times New Roman"/>
                <w:sz w:val="20"/>
              </w:rPr>
            </w:pPr>
            <w:r w:rsidRPr="00A90472">
              <w:rPr>
                <w:rFonts w:cs="Times New Roman"/>
                <w:sz w:val="20"/>
              </w:rPr>
              <w:t>Serum creatinine</w:t>
            </w:r>
          </w:p>
        </w:tc>
        <w:tc>
          <w:tcPr>
            <w:tcW w:w="2160" w:type="dxa"/>
            <w:vMerge/>
            <w:shd w:val="clear" w:color="auto" w:fill="auto"/>
          </w:tcPr>
          <w:p w14:paraId="52D70F68" w14:textId="77777777" w:rsidR="000F3BAB" w:rsidRPr="00A90472" w:rsidRDefault="000F3BAB" w:rsidP="00E031DF">
            <w:pPr>
              <w:spacing w:after="0" w:line="360" w:lineRule="auto"/>
              <w:ind w:right="119"/>
              <w:rPr>
                <w:rFonts w:cs="Times New Roman"/>
                <w:sz w:val="20"/>
              </w:rPr>
            </w:pPr>
          </w:p>
        </w:tc>
      </w:tr>
      <w:tr w:rsidR="000F3BAB" w:rsidRPr="00A90472" w14:paraId="7E8F54F6" w14:textId="77777777" w:rsidTr="00E031DF">
        <w:trPr>
          <w:trHeight w:val="168"/>
          <w:jc w:val="center"/>
        </w:trPr>
        <w:tc>
          <w:tcPr>
            <w:tcW w:w="1795" w:type="dxa"/>
            <w:vMerge/>
            <w:shd w:val="clear" w:color="auto" w:fill="auto"/>
          </w:tcPr>
          <w:p w14:paraId="32B21377"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74A18189" w14:textId="77777777" w:rsidR="000F3BAB" w:rsidRPr="00A90472" w:rsidRDefault="000F3BAB" w:rsidP="00E031DF">
            <w:pPr>
              <w:spacing w:after="0" w:line="360" w:lineRule="auto"/>
              <w:ind w:right="119"/>
              <w:rPr>
                <w:rFonts w:cs="Times New Roman"/>
                <w:sz w:val="20"/>
              </w:rPr>
            </w:pPr>
            <w:r w:rsidRPr="00A90472">
              <w:rPr>
                <w:rFonts w:cs="Times New Roman"/>
                <w:sz w:val="20"/>
              </w:rPr>
              <w:t>Fasting blood glucose</w:t>
            </w:r>
          </w:p>
        </w:tc>
        <w:tc>
          <w:tcPr>
            <w:tcW w:w="2160" w:type="dxa"/>
            <w:vMerge/>
            <w:shd w:val="clear" w:color="auto" w:fill="auto"/>
          </w:tcPr>
          <w:p w14:paraId="72F365A5" w14:textId="77777777" w:rsidR="000F3BAB" w:rsidRPr="00A90472" w:rsidRDefault="000F3BAB" w:rsidP="00E031DF">
            <w:pPr>
              <w:spacing w:after="0" w:line="360" w:lineRule="auto"/>
              <w:ind w:right="119"/>
              <w:rPr>
                <w:rFonts w:cs="Times New Roman"/>
                <w:sz w:val="20"/>
              </w:rPr>
            </w:pPr>
          </w:p>
        </w:tc>
      </w:tr>
      <w:tr w:rsidR="000F3BAB" w:rsidRPr="00A90472" w14:paraId="5E405FC6" w14:textId="77777777" w:rsidTr="00E031DF">
        <w:trPr>
          <w:trHeight w:val="79"/>
          <w:jc w:val="center"/>
        </w:trPr>
        <w:tc>
          <w:tcPr>
            <w:tcW w:w="1795" w:type="dxa"/>
            <w:vMerge w:val="restart"/>
            <w:shd w:val="clear" w:color="auto" w:fill="auto"/>
          </w:tcPr>
          <w:p w14:paraId="5BBB6278" w14:textId="77777777" w:rsidR="000F3BAB" w:rsidRPr="00A90472" w:rsidRDefault="000F3BAB" w:rsidP="00E031DF">
            <w:pPr>
              <w:spacing w:after="0" w:line="360" w:lineRule="auto"/>
              <w:ind w:right="119"/>
              <w:rPr>
                <w:rFonts w:cs="Times New Roman"/>
                <w:sz w:val="20"/>
              </w:rPr>
            </w:pPr>
            <w:r>
              <w:rPr>
                <w:rFonts w:cs="Times New Roman"/>
                <w:sz w:val="20"/>
              </w:rPr>
              <w:t>Radiological imaging</w:t>
            </w:r>
          </w:p>
        </w:tc>
        <w:tc>
          <w:tcPr>
            <w:tcW w:w="4500" w:type="dxa"/>
            <w:shd w:val="clear" w:color="auto" w:fill="auto"/>
          </w:tcPr>
          <w:p w14:paraId="3EBD6E3C" w14:textId="77777777" w:rsidR="000F3BAB" w:rsidRPr="00A90472" w:rsidRDefault="000F3BAB" w:rsidP="00E031DF">
            <w:pPr>
              <w:spacing w:after="0" w:line="360" w:lineRule="auto"/>
              <w:ind w:right="119"/>
              <w:rPr>
                <w:rFonts w:cs="Times New Roman"/>
                <w:sz w:val="20"/>
              </w:rPr>
            </w:pPr>
            <w:r w:rsidRPr="00A90472">
              <w:rPr>
                <w:rFonts w:cs="Times New Roman"/>
                <w:sz w:val="20"/>
              </w:rPr>
              <w:t>Computer Tomography (CT) Scan</w:t>
            </w:r>
          </w:p>
        </w:tc>
        <w:tc>
          <w:tcPr>
            <w:tcW w:w="2160" w:type="dxa"/>
            <w:vMerge w:val="restart"/>
            <w:shd w:val="clear" w:color="auto" w:fill="auto"/>
          </w:tcPr>
          <w:p w14:paraId="043AC912" w14:textId="77777777" w:rsidR="000F3BAB" w:rsidRPr="00A90472" w:rsidRDefault="000F3BAB" w:rsidP="00E031DF">
            <w:pPr>
              <w:spacing w:after="0" w:line="360" w:lineRule="auto"/>
              <w:ind w:right="119"/>
              <w:rPr>
                <w:rFonts w:cs="Times New Roman"/>
                <w:sz w:val="20"/>
              </w:rPr>
            </w:pPr>
            <w:r w:rsidRPr="00A90472">
              <w:rPr>
                <w:rFonts w:cs="Times New Roman"/>
                <w:sz w:val="20"/>
              </w:rPr>
              <w:t xml:space="preserve">To rule out </w:t>
            </w:r>
            <w:r>
              <w:rPr>
                <w:rFonts w:cs="Times New Roman"/>
                <w:sz w:val="20"/>
              </w:rPr>
              <w:t>ear malformations</w:t>
            </w:r>
          </w:p>
        </w:tc>
      </w:tr>
      <w:tr w:rsidR="000F3BAB" w:rsidRPr="00A90472" w14:paraId="5E3C179D" w14:textId="77777777" w:rsidTr="00E031DF">
        <w:trPr>
          <w:trHeight w:val="301"/>
          <w:jc w:val="center"/>
        </w:trPr>
        <w:tc>
          <w:tcPr>
            <w:tcW w:w="1795" w:type="dxa"/>
            <w:vMerge/>
            <w:shd w:val="clear" w:color="auto" w:fill="auto"/>
          </w:tcPr>
          <w:p w14:paraId="66A71D86" w14:textId="77777777" w:rsidR="000F3BAB" w:rsidRPr="00A90472" w:rsidRDefault="000F3BAB" w:rsidP="00E031DF">
            <w:pPr>
              <w:spacing w:after="0" w:line="360" w:lineRule="auto"/>
              <w:ind w:right="119"/>
              <w:rPr>
                <w:rFonts w:cs="Times New Roman"/>
                <w:sz w:val="20"/>
              </w:rPr>
            </w:pPr>
          </w:p>
        </w:tc>
        <w:tc>
          <w:tcPr>
            <w:tcW w:w="4500" w:type="dxa"/>
            <w:shd w:val="clear" w:color="auto" w:fill="auto"/>
          </w:tcPr>
          <w:p w14:paraId="34247B6B" w14:textId="77777777" w:rsidR="000F3BAB" w:rsidRPr="00A90472" w:rsidRDefault="000F3BAB" w:rsidP="00E031DF">
            <w:pPr>
              <w:spacing w:after="0" w:line="360" w:lineRule="auto"/>
              <w:ind w:right="119"/>
              <w:rPr>
                <w:rFonts w:cs="Times New Roman"/>
                <w:sz w:val="20"/>
              </w:rPr>
            </w:pPr>
            <w:r w:rsidRPr="00A90472">
              <w:rPr>
                <w:rFonts w:cs="Times New Roman"/>
                <w:sz w:val="20"/>
              </w:rPr>
              <w:t>Magnetic Resonance Interference (MRI)</w:t>
            </w:r>
          </w:p>
        </w:tc>
        <w:tc>
          <w:tcPr>
            <w:tcW w:w="2160" w:type="dxa"/>
            <w:vMerge/>
            <w:shd w:val="clear" w:color="auto" w:fill="auto"/>
          </w:tcPr>
          <w:p w14:paraId="769F7443" w14:textId="77777777" w:rsidR="000F3BAB" w:rsidRPr="00A90472" w:rsidRDefault="000F3BAB" w:rsidP="00E031DF">
            <w:pPr>
              <w:spacing w:after="0" w:line="360" w:lineRule="auto"/>
              <w:ind w:right="119"/>
              <w:rPr>
                <w:rFonts w:cs="Times New Roman"/>
                <w:sz w:val="20"/>
              </w:rPr>
            </w:pPr>
          </w:p>
        </w:tc>
      </w:tr>
    </w:tbl>
    <w:p w14:paraId="4262C3D1" w14:textId="58D57790" w:rsidR="000F3BAB" w:rsidRDefault="000F3BAB" w:rsidP="000F3BAB">
      <w:pPr>
        <w:spacing w:line="360" w:lineRule="auto"/>
        <w:jc w:val="both"/>
        <w:rPr>
          <w:rFonts w:cs="Times New Roman"/>
          <w:sz w:val="20"/>
        </w:rPr>
      </w:pPr>
      <w:r w:rsidRPr="00DB4460">
        <w:rPr>
          <w:rFonts w:cs="Times New Roman"/>
          <w:i/>
          <w:iCs/>
          <w:sz w:val="20"/>
        </w:rPr>
        <w:t>STORCH</w:t>
      </w:r>
      <w:r>
        <w:rPr>
          <w:rFonts w:cs="Times New Roman"/>
          <w:sz w:val="20"/>
        </w:rPr>
        <w:t xml:space="preserve"> syphilis</w:t>
      </w:r>
      <w:r w:rsidRPr="00DB4460">
        <w:rPr>
          <w:rFonts w:cs="Times New Roman"/>
          <w:sz w:val="20"/>
        </w:rPr>
        <w:t xml:space="preserve"> </w:t>
      </w:r>
      <w:r>
        <w:rPr>
          <w:rFonts w:cs="Times New Roman"/>
          <w:sz w:val="20"/>
        </w:rPr>
        <w:t>toxoplasmosis</w:t>
      </w:r>
      <w:r w:rsidRPr="00DB4460">
        <w:rPr>
          <w:rFonts w:cs="Times New Roman"/>
          <w:sz w:val="20"/>
        </w:rPr>
        <w:t xml:space="preserve"> </w:t>
      </w:r>
      <w:r>
        <w:rPr>
          <w:rFonts w:cs="Times New Roman"/>
          <w:sz w:val="20"/>
        </w:rPr>
        <w:t>o</w:t>
      </w:r>
      <w:r w:rsidRPr="00DB4460">
        <w:rPr>
          <w:rFonts w:cs="Times New Roman"/>
          <w:sz w:val="20"/>
        </w:rPr>
        <w:t>ther infections (varicell</w:t>
      </w:r>
      <w:r>
        <w:rPr>
          <w:rFonts w:cs="Times New Roman"/>
          <w:sz w:val="20"/>
        </w:rPr>
        <w:t>a zoster virus, parvovirus B19) rubella cytomegalovirus and h</w:t>
      </w:r>
      <w:r w:rsidRPr="00DB4460">
        <w:rPr>
          <w:rFonts w:cs="Times New Roman"/>
          <w:sz w:val="20"/>
        </w:rPr>
        <w:t>erpes simplex virus</w:t>
      </w:r>
      <w:r>
        <w:rPr>
          <w:rFonts w:cs="Times New Roman"/>
          <w:i/>
          <w:iCs/>
          <w:sz w:val="20"/>
        </w:rPr>
        <w:t xml:space="preserve">, </w:t>
      </w:r>
      <w:r w:rsidRPr="00CC3E6E">
        <w:rPr>
          <w:rFonts w:cs="Times New Roman"/>
          <w:i/>
          <w:iCs/>
          <w:sz w:val="20"/>
        </w:rPr>
        <w:t>HIV</w:t>
      </w:r>
      <w:r>
        <w:rPr>
          <w:rFonts w:cs="Times New Roman"/>
          <w:sz w:val="20"/>
        </w:rPr>
        <w:t xml:space="preserve"> human immunodeficiency v</w:t>
      </w:r>
      <w:r w:rsidRPr="00CC3E6E">
        <w:rPr>
          <w:rFonts w:cs="Times New Roman"/>
          <w:sz w:val="20"/>
        </w:rPr>
        <w:t>irus</w:t>
      </w:r>
    </w:p>
    <w:p w14:paraId="01DAF419" w14:textId="135AF935" w:rsidR="00F06EE1" w:rsidRDefault="00F06EE1" w:rsidP="00A84697">
      <w:pPr>
        <w:spacing w:line="360" w:lineRule="auto"/>
        <w:jc w:val="both"/>
        <w:rPr>
          <w:rFonts w:ascii="Times New Roman" w:hAnsi="Times New Roman" w:cs="Times New Roman"/>
          <w:b/>
          <w:iCs/>
          <w:sz w:val="24"/>
          <w:szCs w:val="24"/>
        </w:rPr>
      </w:pPr>
      <w:r w:rsidRPr="00F06EE1">
        <w:rPr>
          <w:rStyle w:val="Heading2Char"/>
          <w:rFonts w:ascii="Times New Roman" w:hAnsi="Times New Roman" w:cs="Times New Roman"/>
          <w:bCs/>
          <w:sz w:val="24"/>
          <w:szCs w:val="24"/>
          <w:lang w:val="en-US"/>
        </w:rPr>
        <w:t>Family pedigree</w:t>
      </w:r>
    </w:p>
    <w:p w14:paraId="46140F77" w14:textId="3326CA45" w:rsidR="00F06EE1" w:rsidRDefault="00DB74B1" w:rsidP="00F06EE1">
      <w:pPr>
        <w:spacing w:after="0" w:line="360" w:lineRule="auto"/>
        <w:jc w:val="center"/>
        <w:rPr>
          <w:rFonts w:ascii="Times New Roman" w:hAnsi="Times New Roman" w:cs="Times New Roman"/>
          <w:iCs/>
          <w:sz w:val="20"/>
        </w:rPr>
      </w:pPr>
      <w:r>
        <w:rPr>
          <w:noProof/>
        </w:rPr>
        <w:lastRenderedPageBreak/>
        <w:drawing>
          <wp:inline distT="0" distB="0" distL="0" distR="0" wp14:anchorId="121730FB" wp14:editId="734919A2">
            <wp:extent cx="5267325" cy="7586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8989" cy="7631781"/>
                    </a:xfrm>
                    <a:prstGeom prst="rect">
                      <a:avLst/>
                    </a:prstGeom>
                    <a:noFill/>
                    <a:ln>
                      <a:noFill/>
                    </a:ln>
                  </pic:spPr>
                </pic:pic>
              </a:graphicData>
            </a:graphic>
          </wp:inline>
        </w:drawing>
      </w:r>
    </w:p>
    <w:p w14:paraId="3A01F8FD" w14:textId="09EC338C" w:rsidR="00F06EE1" w:rsidRPr="00F06EE1" w:rsidRDefault="00F06EE1" w:rsidP="00F06EE1">
      <w:pPr>
        <w:spacing w:after="120"/>
        <w:jc w:val="both"/>
        <w:rPr>
          <w:rFonts w:ascii="Times New Roman" w:hAnsi="Times New Roman" w:cs="Times New Roman"/>
          <w:iCs/>
          <w:sz w:val="20"/>
        </w:rPr>
      </w:pPr>
      <w:r>
        <w:rPr>
          <w:rFonts w:ascii="Times New Roman" w:hAnsi="Times New Roman" w:cs="Times New Roman"/>
          <w:b/>
          <w:bCs/>
          <w:sz w:val="20"/>
        </w:rPr>
        <w:t xml:space="preserve">Supplementary </w:t>
      </w:r>
      <w:r w:rsidRPr="00F06EE1">
        <w:rPr>
          <w:rFonts w:ascii="Times New Roman" w:hAnsi="Times New Roman" w:cs="Times New Roman"/>
          <w:b/>
          <w:bCs/>
          <w:iCs/>
          <w:sz w:val="20"/>
        </w:rPr>
        <w:t xml:space="preserve">Fig. 1 </w:t>
      </w:r>
      <w:r w:rsidRPr="00F06EE1">
        <w:rPr>
          <w:rFonts w:ascii="Times New Roman" w:hAnsi="Times New Roman" w:cs="Times New Roman"/>
          <w:iCs/>
          <w:sz w:val="20"/>
        </w:rPr>
        <w:t xml:space="preserve">Family pedigree was drawn for all 25 families studied using </w:t>
      </w:r>
      <w:proofErr w:type="spellStart"/>
      <w:r w:rsidRPr="00F06EE1">
        <w:rPr>
          <w:rFonts w:ascii="Times New Roman" w:hAnsi="Times New Roman" w:cs="Times New Roman"/>
          <w:iCs/>
          <w:sz w:val="20"/>
        </w:rPr>
        <w:t>CeGaT</w:t>
      </w:r>
      <w:proofErr w:type="spellEnd"/>
      <w:r w:rsidRPr="00F06EE1">
        <w:rPr>
          <w:rFonts w:ascii="Times New Roman" w:hAnsi="Times New Roman" w:cs="Times New Roman"/>
          <w:iCs/>
          <w:sz w:val="20"/>
        </w:rPr>
        <w:t xml:space="preserve"> Pedigree Chart Designer software. Among them, nine families exhibited consanguinity (double line between the parents). Within the pedigrees, individuals with CX identities were available for this study.</w:t>
      </w:r>
    </w:p>
    <w:p w14:paraId="6BCDFC43" w14:textId="156BBE4B" w:rsidR="0033218F" w:rsidRPr="009D36D5" w:rsidRDefault="0033218F" w:rsidP="00A84697">
      <w:pPr>
        <w:spacing w:line="360" w:lineRule="auto"/>
        <w:jc w:val="both"/>
        <w:rPr>
          <w:rFonts w:ascii="Times New Roman" w:hAnsi="Times New Roman" w:cs="Times New Roman"/>
          <w:b/>
          <w:iCs/>
          <w:sz w:val="24"/>
          <w:szCs w:val="24"/>
        </w:rPr>
      </w:pPr>
      <w:r w:rsidRPr="009D36D5">
        <w:rPr>
          <w:rFonts w:ascii="Times New Roman" w:hAnsi="Times New Roman" w:cs="Times New Roman"/>
          <w:b/>
          <w:iCs/>
          <w:sz w:val="24"/>
          <w:szCs w:val="24"/>
        </w:rPr>
        <w:lastRenderedPageBreak/>
        <w:t xml:space="preserve">WES </w:t>
      </w:r>
      <w:r w:rsidR="005C5A43">
        <w:rPr>
          <w:rFonts w:ascii="Times New Roman" w:hAnsi="Times New Roman" w:cs="Times New Roman"/>
          <w:b/>
          <w:iCs/>
          <w:sz w:val="24"/>
          <w:szCs w:val="24"/>
        </w:rPr>
        <w:t>d</w:t>
      </w:r>
      <w:r w:rsidRPr="009D36D5">
        <w:rPr>
          <w:rFonts w:ascii="Times New Roman" w:hAnsi="Times New Roman" w:cs="Times New Roman"/>
          <w:b/>
          <w:iCs/>
          <w:sz w:val="24"/>
          <w:szCs w:val="24"/>
        </w:rPr>
        <w:t xml:space="preserve">ata </w:t>
      </w:r>
      <w:r w:rsidR="005C5A43">
        <w:rPr>
          <w:rFonts w:ascii="Times New Roman" w:hAnsi="Times New Roman" w:cs="Times New Roman"/>
          <w:b/>
          <w:iCs/>
          <w:sz w:val="24"/>
          <w:szCs w:val="24"/>
        </w:rPr>
        <w:t>a</w:t>
      </w:r>
      <w:r w:rsidRPr="009D36D5">
        <w:rPr>
          <w:rFonts w:ascii="Times New Roman" w:hAnsi="Times New Roman" w:cs="Times New Roman"/>
          <w:b/>
          <w:iCs/>
          <w:sz w:val="24"/>
          <w:szCs w:val="24"/>
        </w:rPr>
        <w:t xml:space="preserve">nalysis </w:t>
      </w:r>
      <w:r w:rsidR="005C5A43">
        <w:rPr>
          <w:rFonts w:ascii="Times New Roman" w:hAnsi="Times New Roman" w:cs="Times New Roman"/>
          <w:b/>
          <w:iCs/>
          <w:sz w:val="24"/>
          <w:szCs w:val="24"/>
        </w:rPr>
        <w:t>p</w:t>
      </w:r>
      <w:r w:rsidRPr="009D36D5">
        <w:rPr>
          <w:rFonts w:ascii="Times New Roman" w:hAnsi="Times New Roman" w:cs="Times New Roman"/>
          <w:b/>
          <w:iCs/>
          <w:sz w:val="24"/>
          <w:szCs w:val="24"/>
        </w:rPr>
        <w:t>rocess</w:t>
      </w:r>
    </w:p>
    <w:p w14:paraId="585378B8" w14:textId="6CA360A3" w:rsidR="0033218F" w:rsidRDefault="0033218F" w:rsidP="00A84697">
      <w:pPr>
        <w:spacing w:line="360" w:lineRule="auto"/>
        <w:jc w:val="both"/>
        <w:rPr>
          <w:rFonts w:ascii="Times New Roman" w:hAnsi="Times New Roman" w:cs="Times New Roman"/>
          <w:sz w:val="20"/>
        </w:rPr>
      </w:pPr>
      <w:r w:rsidRPr="00FA6077">
        <w:rPr>
          <w:rFonts w:ascii="Times New Roman" w:hAnsi="Times New Roman" w:cs="Times New Roman"/>
          <w:sz w:val="20"/>
        </w:rPr>
        <w:t>Fastq raw data quality was</w:t>
      </w:r>
      <w:r>
        <w:rPr>
          <w:rFonts w:ascii="Times New Roman" w:hAnsi="Times New Roman" w:cs="Times New Roman"/>
          <w:sz w:val="20"/>
        </w:rPr>
        <w:t xml:space="preserve"> analyzed using FastQC Tool</w:t>
      </w:r>
      <w:r w:rsidRPr="00FA6077">
        <w:rPr>
          <w:rFonts w:ascii="Times New Roman" w:hAnsi="Times New Roman" w:cs="Times New Roman"/>
          <w:sz w:val="20"/>
        </w:rPr>
        <w:t xml:space="preserve">. Sequencing adapters, low quality bases from 3` and 5` ends and </w:t>
      </w:r>
      <w:r w:rsidR="003E6A01" w:rsidRPr="00FA6077">
        <w:rPr>
          <w:rFonts w:ascii="Times New Roman" w:hAnsi="Times New Roman" w:cs="Times New Roman"/>
          <w:sz w:val="20"/>
        </w:rPr>
        <w:t>low-quality</w:t>
      </w:r>
      <w:r w:rsidRPr="00FA6077">
        <w:rPr>
          <w:rFonts w:ascii="Times New Roman" w:hAnsi="Times New Roman" w:cs="Times New Roman"/>
          <w:sz w:val="20"/>
        </w:rPr>
        <w:t xml:space="preserve"> reads w</w:t>
      </w:r>
      <w:r>
        <w:rPr>
          <w:rFonts w:ascii="Times New Roman" w:hAnsi="Times New Roman" w:cs="Times New Roman"/>
          <w:sz w:val="20"/>
        </w:rPr>
        <w:t>ere removed using Fastp Tool</w:t>
      </w:r>
      <w:r w:rsidRPr="00FA6077">
        <w:rPr>
          <w:rFonts w:ascii="Times New Roman" w:hAnsi="Times New Roman" w:cs="Times New Roman"/>
          <w:sz w:val="20"/>
        </w:rPr>
        <w:t xml:space="preserve">. Processed fastq reads were aligned against GRCh38 </w:t>
      </w:r>
      <w:r>
        <w:rPr>
          <w:rFonts w:ascii="Times New Roman" w:hAnsi="Times New Roman" w:cs="Times New Roman"/>
          <w:sz w:val="20"/>
        </w:rPr>
        <w:t>reference using BWA-MEM Tool</w:t>
      </w:r>
      <w:r w:rsidRPr="00FA6077">
        <w:rPr>
          <w:rFonts w:ascii="Times New Roman" w:hAnsi="Times New Roman" w:cs="Times New Roman"/>
          <w:sz w:val="20"/>
        </w:rPr>
        <w:t>. GATK 4.2.6.1, which includes Picard V2.27.1, was used for ge</w:t>
      </w:r>
      <w:r>
        <w:rPr>
          <w:rFonts w:ascii="Times New Roman" w:hAnsi="Times New Roman" w:cs="Times New Roman"/>
          <w:sz w:val="20"/>
        </w:rPr>
        <w:t>rmline SNP and indel calling</w:t>
      </w:r>
      <w:r w:rsidRPr="00FA6077">
        <w:rPr>
          <w:rFonts w:ascii="Times New Roman" w:hAnsi="Times New Roman" w:cs="Times New Roman"/>
          <w:sz w:val="20"/>
        </w:rPr>
        <w:t xml:space="preserve">. After alignment, PCR and optical read duplicates were removed using GATK-MarkDuplicates. Base quality scores were calibrated using GATK-BaseRecalibrator and GATK-ApplyBQSR. Germline SNPs and indels were identified using GATK-HaplotypeCaller and joint genotyping was performed on one or more (family/cohort) using GATK-GenotypeGVCFs. Variants artefacts from the call </w:t>
      </w:r>
      <w:r w:rsidR="003E6A01" w:rsidRPr="00FA6077">
        <w:rPr>
          <w:rFonts w:ascii="Times New Roman" w:hAnsi="Times New Roman" w:cs="Times New Roman"/>
          <w:sz w:val="20"/>
        </w:rPr>
        <w:t>set were</w:t>
      </w:r>
      <w:r w:rsidRPr="00FA6077">
        <w:rPr>
          <w:rFonts w:ascii="Times New Roman" w:hAnsi="Times New Roman" w:cs="Times New Roman"/>
          <w:sz w:val="20"/>
        </w:rPr>
        <w:t xml:space="preserve"> filtered out using GATK-VariantRecalibrator and GATK-ApplyVQSR. Identified variants were annotated using Ensembl Va</w:t>
      </w:r>
      <w:r>
        <w:rPr>
          <w:rFonts w:ascii="Times New Roman" w:hAnsi="Times New Roman" w:cs="Times New Roman"/>
          <w:sz w:val="20"/>
        </w:rPr>
        <w:t>riant Effect Predictor (VEP)</w:t>
      </w:r>
      <w:r w:rsidRPr="00FA6077">
        <w:rPr>
          <w:rFonts w:ascii="Times New Roman" w:hAnsi="Times New Roman" w:cs="Times New Roman"/>
          <w:sz w:val="20"/>
        </w:rPr>
        <w:t>. VEP V108 GRCh38 reference-based data was used to functionally annotate the variants. VEP annotated variants were filtered using Microsoft Excel</w:t>
      </w:r>
      <w:r w:rsidR="003E6A01">
        <w:rPr>
          <w:rFonts w:ascii="Times New Roman" w:hAnsi="Times New Roman" w:cs="Times New Roman"/>
          <w:sz w:val="20"/>
        </w:rPr>
        <w:t xml:space="preserve"> (Supplementary Fig. </w:t>
      </w:r>
      <w:r w:rsidR="007672AC">
        <w:rPr>
          <w:rFonts w:ascii="Times New Roman" w:hAnsi="Times New Roman" w:cs="Times New Roman"/>
          <w:sz w:val="20"/>
        </w:rPr>
        <w:t>2</w:t>
      </w:r>
      <w:r w:rsidR="003E6A01">
        <w:rPr>
          <w:rFonts w:ascii="Times New Roman" w:hAnsi="Times New Roman" w:cs="Times New Roman"/>
          <w:sz w:val="20"/>
        </w:rPr>
        <w:t>)</w:t>
      </w:r>
      <w:r w:rsidRPr="00FA6077">
        <w:rPr>
          <w:rFonts w:ascii="Times New Roman" w:hAnsi="Times New Roman" w:cs="Times New Roman"/>
          <w:sz w:val="20"/>
        </w:rPr>
        <w:t>. Various parameters such as inheritance modes and zygosity between proband, parents and siblings, allele frequency information from Global and IndiGenome databases, HL phenotype terms, exonic and protein coding variants were used as filters to further prioritize the variants.</w:t>
      </w:r>
    </w:p>
    <w:p w14:paraId="43F323B5" w14:textId="20CC81BD" w:rsidR="003E6A01" w:rsidRPr="009D36D5" w:rsidRDefault="003E6A01" w:rsidP="003E6A01">
      <w:pPr>
        <w:spacing w:line="360" w:lineRule="auto"/>
        <w:jc w:val="both"/>
        <w:rPr>
          <w:rFonts w:ascii="Times New Roman" w:hAnsi="Times New Roman" w:cs="Times New Roman"/>
          <w:b/>
          <w:iCs/>
          <w:sz w:val="24"/>
          <w:szCs w:val="24"/>
        </w:rPr>
      </w:pPr>
      <w:r w:rsidRPr="009D36D5">
        <w:rPr>
          <w:rFonts w:ascii="Times New Roman" w:hAnsi="Times New Roman" w:cs="Times New Roman"/>
          <w:b/>
          <w:iCs/>
          <w:sz w:val="24"/>
          <w:szCs w:val="24"/>
        </w:rPr>
        <w:t xml:space="preserve">WES </w:t>
      </w:r>
      <w:r w:rsidR="005C5A43">
        <w:rPr>
          <w:rFonts w:ascii="Times New Roman" w:hAnsi="Times New Roman" w:cs="Times New Roman"/>
          <w:b/>
          <w:iCs/>
          <w:sz w:val="24"/>
          <w:szCs w:val="24"/>
        </w:rPr>
        <w:t>d</w:t>
      </w:r>
      <w:r w:rsidRPr="009D36D5">
        <w:rPr>
          <w:rFonts w:ascii="Times New Roman" w:hAnsi="Times New Roman" w:cs="Times New Roman"/>
          <w:b/>
          <w:iCs/>
          <w:sz w:val="24"/>
          <w:szCs w:val="24"/>
        </w:rPr>
        <w:t xml:space="preserve">ata </w:t>
      </w:r>
      <w:r w:rsidR="005C5A43">
        <w:rPr>
          <w:rFonts w:ascii="Times New Roman" w:hAnsi="Times New Roman" w:cs="Times New Roman"/>
          <w:b/>
          <w:iCs/>
          <w:sz w:val="24"/>
          <w:szCs w:val="24"/>
        </w:rPr>
        <w:t>a</w:t>
      </w:r>
      <w:r w:rsidRPr="009D36D5">
        <w:rPr>
          <w:rFonts w:ascii="Times New Roman" w:hAnsi="Times New Roman" w:cs="Times New Roman"/>
          <w:b/>
          <w:iCs/>
          <w:sz w:val="24"/>
          <w:szCs w:val="24"/>
        </w:rPr>
        <w:t>nalysis</w:t>
      </w:r>
      <w:r w:rsidR="005C5A43">
        <w:rPr>
          <w:rFonts w:ascii="Times New Roman" w:hAnsi="Times New Roman" w:cs="Times New Roman"/>
          <w:b/>
          <w:iCs/>
          <w:sz w:val="24"/>
          <w:szCs w:val="24"/>
        </w:rPr>
        <w:t xml:space="preserve"> results</w:t>
      </w:r>
    </w:p>
    <w:p w14:paraId="61ADA713" w14:textId="77777777" w:rsidR="003E6A01" w:rsidRDefault="003E6A01" w:rsidP="003E6A01">
      <w:pPr>
        <w:spacing w:line="360" w:lineRule="auto"/>
        <w:jc w:val="both"/>
        <w:rPr>
          <w:rFonts w:ascii="Times New Roman" w:hAnsi="Times New Roman" w:cs="Times New Roman"/>
          <w:b/>
          <w:bCs/>
          <w:sz w:val="20"/>
        </w:rPr>
      </w:pPr>
      <w:r w:rsidRPr="007A6BE6">
        <w:rPr>
          <w:rFonts w:ascii="Times New Roman" w:hAnsi="Times New Roman" w:cs="Times New Roman"/>
          <w:b/>
          <w:iCs/>
          <w:sz w:val="20"/>
        </w:rPr>
        <w:t>Quality Control and Pre-processing</w:t>
      </w:r>
      <w:r>
        <w:rPr>
          <w:rFonts w:ascii="Times New Roman" w:hAnsi="Times New Roman" w:cs="Times New Roman"/>
          <w:b/>
          <w:bCs/>
          <w:sz w:val="20"/>
        </w:rPr>
        <w:t xml:space="preserve"> </w:t>
      </w:r>
    </w:p>
    <w:p w14:paraId="5DEF7950" w14:textId="77777777" w:rsidR="003E6A01" w:rsidRDefault="003E6A01" w:rsidP="003E6A01">
      <w:pPr>
        <w:spacing w:line="360" w:lineRule="auto"/>
        <w:jc w:val="both"/>
        <w:rPr>
          <w:rFonts w:ascii="Times New Roman" w:hAnsi="Times New Roman" w:cs="Times New Roman"/>
          <w:bCs/>
          <w:sz w:val="20"/>
        </w:rPr>
      </w:pPr>
      <w:r w:rsidRPr="008F6F8A">
        <w:rPr>
          <w:rFonts w:ascii="Times New Roman" w:hAnsi="Times New Roman" w:cs="Times New Roman"/>
          <w:sz w:val="20"/>
        </w:rPr>
        <w:t xml:space="preserve">FastQ data was generated using </w:t>
      </w:r>
      <w:proofErr w:type="spellStart"/>
      <w:r w:rsidRPr="008F6F8A">
        <w:rPr>
          <w:rFonts w:ascii="Times New Roman" w:hAnsi="Times New Roman" w:cs="Times New Roman"/>
          <w:sz w:val="20"/>
        </w:rPr>
        <w:t>HiSeq</w:t>
      </w:r>
      <w:proofErr w:type="spellEnd"/>
      <w:r w:rsidRPr="008F6F8A">
        <w:rPr>
          <w:rFonts w:ascii="Times New Roman" w:hAnsi="Times New Roman" w:cs="Times New Roman"/>
          <w:sz w:val="20"/>
        </w:rPr>
        <w:t xml:space="preserve"> X platform (Illumina) with paired end reads (2x150 bp). </w:t>
      </w:r>
      <w:r w:rsidRPr="008F6F8A">
        <w:rPr>
          <w:rFonts w:ascii="Times New Roman" w:hAnsi="Times New Roman" w:cs="Times New Roman"/>
          <w:bCs/>
          <w:sz w:val="20"/>
        </w:rPr>
        <w:t>An average of 13 Gb FastQ data with 85 million reads were generated for each sample. Average read base quality was about Q38 with 94% of data above Q30 quality score. Average GC content was 49% across the samples. Approximately 6 million low quality reads were removed during FastQ pre-processing using Fastp tool. Low quality bases were also removed from both 3` and 5` ends of the reads, generating an average of 145 bp read length.</w:t>
      </w:r>
    </w:p>
    <w:p w14:paraId="470DE41A" w14:textId="77777777" w:rsidR="003E6A01" w:rsidRPr="009D36D5" w:rsidRDefault="003E6A01" w:rsidP="003E6A01">
      <w:pPr>
        <w:spacing w:line="360" w:lineRule="auto"/>
        <w:jc w:val="both"/>
        <w:rPr>
          <w:rFonts w:ascii="Times New Roman" w:hAnsi="Times New Roman" w:cs="Times New Roman"/>
          <w:b/>
          <w:bCs/>
          <w:iCs/>
          <w:sz w:val="20"/>
        </w:rPr>
      </w:pPr>
      <w:r w:rsidRPr="007A6BE6">
        <w:rPr>
          <w:rFonts w:ascii="Times New Roman" w:hAnsi="Times New Roman" w:cs="Times New Roman"/>
          <w:b/>
          <w:bCs/>
          <w:iCs/>
          <w:sz w:val="20"/>
        </w:rPr>
        <w:t>Alignment and Coverage Metrics</w:t>
      </w:r>
    </w:p>
    <w:p w14:paraId="7AF4A4D0" w14:textId="77777777" w:rsidR="003E6A01" w:rsidRDefault="003E6A01" w:rsidP="003E6A01">
      <w:pPr>
        <w:spacing w:line="360" w:lineRule="auto"/>
        <w:jc w:val="both"/>
        <w:rPr>
          <w:rFonts w:ascii="Times New Roman" w:hAnsi="Times New Roman" w:cs="Times New Roman"/>
          <w:sz w:val="20"/>
        </w:rPr>
      </w:pPr>
      <w:r w:rsidRPr="008F6F8A">
        <w:rPr>
          <w:rFonts w:ascii="Times New Roman" w:hAnsi="Times New Roman" w:cs="Times New Roman"/>
          <w:bCs/>
          <w:sz w:val="20"/>
        </w:rPr>
        <w:t>The overall alignment and passed alignment percentage across the samples was ~99.9% and 99%, respectively. Of these, 9% of reads were marked as duplicates.</w:t>
      </w:r>
      <w:r w:rsidRPr="008F6F8A">
        <w:rPr>
          <w:rFonts w:ascii="Times New Roman" w:hAnsi="Times New Roman" w:cs="Times New Roman"/>
          <w:sz w:val="20"/>
        </w:rPr>
        <w:t xml:space="preserve"> Further, 99.8% panel was covered with an average of 94X read depth while 80.5% reads were covered within the given intervals (on-target) region.</w:t>
      </w:r>
    </w:p>
    <w:p w14:paraId="1663CAEF" w14:textId="77777777" w:rsidR="003E6A01" w:rsidRDefault="003E6A01" w:rsidP="003E6A01">
      <w:pPr>
        <w:spacing w:line="360" w:lineRule="auto"/>
        <w:jc w:val="both"/>
        <w:rPr>
          <w:rFonts w:ascii="Times New Roman" w:hAnsi="Times New Roman" w:cs="Times New Roman"/>
          <w:b/>
          <w:bCs/>
          <w:sz w:val="20"/>
        </w:rPr>
      </w:pPr>
      <w:r w:rsidRPr="007A6BE6">
        <w:rPr>
          <w:rFonts w:ascii="Times New Roman" w:hAnsi="Times New Roman" w:cs="Times New Roman"/>
          <w:b/>
          <w:bCs/>
          <w:iCs/>
          <w:sz w:val="20"/>
        </w:rPr>
        <w:t>Variant calling, annotation, filtration, prioritization, and interpretation</w:t>
      </w:r>
    </w:p>
    <w:p w14:paraId="0D6CE09C" w14:textId="7F4E3E5F" w:rsidR="003E6A01" w:rsidRPr="00C107CF" w:rsidRDefault="003E6A01" w:rsidP="003E6A01">
      <w:pPr>
        <w:spacing w:line="360" w:lineRule="auto"/>
        <w:jc w:val="both"/>
        <w:rPr>
          <w:rFonts w:ascii="Times New Roman" w:hAnsi="Times New Roman" w:cs="Times New Roman"/>
          <w:b/>
          <w:bCs/>
          <w:sz w:val="20"/>
        </w:rPr>
      </w:pPr>
      <w:r w:rsidRPr="008F6F8A">
        <w:rPr>
          <w:rFonts w:ascii="Times New Roman" w:hAnsi="Times New Roman" w:cs="Times New Roman"/>
          <w:sz w:val="20"/>
        </w:rPr>
        <w:t xml:space="preserve">An average of 69592 pass on-target variants were identified, which included 61265 SNPs and 8327 indels. </w:t>
      </w:r>
      <w:r>
        <w:rPr>
          <w:rFonts w:ascii="Times New Roman" w:hAnsi="Times New Roman" w:cs="Times New Roman"/>
          <w:sz w:val="20"/>
        </w:rPr>
        <w:t>About</w:t>
      </w:r>
      <w:r w:rsidRPr="008F6F8A">
        <w:rPr>
          <w:rFonts w:ascii="Times New Roman" w:hAnsi="Times New Roman" w:cs="Times New Roman"/>
          <w:sz w:val="20"/>
        </w:rPr>
        <w:t xml:space="preserve"> 61.8% </w:t>
      </w:r>
      <w:r>
        <w:rPr>
          <w:rFonts w:ascii="Times New Roman" w:hAnsi="Times New Roman" w:cs="Times New Roman"/>
          <w:sz w:val="20"/>
        </w:rPr>
        <w:t xml:space="preserve">of the variants </w:t>
      </w:r>
      <w:r w:rsidRPr="008F6F8A">
        <w:rPr>
          <w:rFonts w:ascii="Times New Roman" w:hAnsi="Times New Roman" w:cs="Times New Roman"/>
          <w:sz w:val="20"/>
        </w:rPr>
        <w:t xml:space="preserve">were homozygous, while the rest were heterozygous with the </w:t>
      </w:r>
      <w:proofErr w:type="spellStart"/>
      <w:r w:rsidRPr="008F6F8A">
        <w:rPr>
          <w:rFonts w:ascii="Times New Roman" w:hAnsi="Times New Roman" w:cs="Times New Roman"/>
          <w:sz w:val="20"/>
        </w:rPr>
        <w:t>Ti</w:t>
      </w:r>
      <w:proofErr w:type="spellEnd"/>
      <w:r w:rsidRPr="008F6F8A">
        <w:rPr>
          <w:rFonts w:ascii="Times New Roman" w:hAnsi="Times New Roman" w:cs="Times New Roman"/>
          <w:sz w:val="20"/>
        </w:rPr>
        <w:t xml:space="preserve">/Tv ratio of 2.44. VEP V108 GRCh38 data was </w:t>
      </w:r>
      <w:r w:rsidRPr="008F6F8A">
        <w:rPr>
          <w:rFonts w:ascii="Times New Roman" w:hAnsi="Times New Roman" w:cs="Times New Roman"/>
          <w:bCs/>
          <w:sz w:val="20"/>
        </w:rPr>
        <w:t xml:space="preserve">used to functionally annotate the variants. Most of the variants were identified in </w:t>
      </w:r>
      <w:r w:rsidRPr="008F6F8A">
        <w:rPr>
          <w:rFonts w:ascii="Times New Roman" w:eastAsia="Times New Roman" w:hAnsi="Times New Roman" w:cs="Times New Roman"/>
          <w:color w:val="000000"/>
          <w:sz w:val="20"/>
          <w:lang w:val="en-US"/>
        </w:rPr>
        <w:t xml:space="preserve">the exonic region </w:t>
      </w:r>
      <w:r w:rsidRPr="008F6F8A">
        <w:rPr>
          <w:rFonts w:ascii="Times New Roman" w:hAnsi="Times New Roman" w:cs="Times New Roman"/>
          <w:bCs/>
          <w:sz w:val="20"/>
        </w:rPr>
        <w:t>(</w:t>
      </w:r>
      <w:r w:rsidRPr="008F6F8A">
        <w:rPr>
          <w:rFonts w:ascii="Times New Roman" w:eastAsia="Times New Roman" w:hAnsi="Times New Roman" w:cs="Times New Roman"/>
          <w:color w:val="000000"/>
          <w:sz w:val="20"/>
          <w:lang w:val="en-US"/>
        </w:rPr>
        <w:t>73.26</w:t>
      </w:r>
      <w:r w:rsidRPr="008F6F8A">
        <w:rPr>
          <w:rFonts w:ascii="Times New Roman" w:hAnsi="Times New Roman" w:cs="Times New Roman"/>
          <w:bCs/>
          <w:sz w:val="20"/>
        </w:rPr>
        <w:t>%)</w:t>
      </w:r>
      <w:r>
        <w:rPr>
          <w:rFonts w:ascii="Times New Roman" w:eastAsia="Times New Roman" w:hAnsi="Times New Roman" w:cs="Times New Roman"/>
          <w:color w:val="000000"/>
          <w:sz w:val="20"/>
          <w:lang w:val="en-US"/>
        </w:rPr>
        <w:t xml:space="preserve"> </w:t>
      </w:r>
      <w:r w:rsidRPr="008F6F8A">
        <w:rPr>
          <w:rFonts w:ascii="Times New Roman" w:hAnsi="Times New Roman" w:cs="Times New Roman"/>
          <w:bCs/>
          <w:sz w:val="20"/>
        </w:rPr>
        <w:t>(</w:t>
      </w:r>
      <w:r>
        <w:rPr>
          <w:rFonts w:ascii="Times New Roman" w:hAnsi="Times New Roman" w:cs="Times New Roman"/>
          <w:bCs/>
          <w:sz w:val="20"/>
        </w:rPr>
        <w:t xml:space="preserve">Supplementary </w:t>
      </w:r>
      <w:r w:rsidRPr="008F6F8A">
        <w:rPr>
          <w:rFonts w:ascii="Times New Roman" w:hAnsi="Times New Roman" w:cs="Times New Roman"/>
          <w:bCs/>
          <w:sz w:val="20"/>
        </w:rPr>
        <w:t>Fig</w:t>
      </w:r>
      <w:r>
        <w:rPr>
          <w:rFonts w:ascii="Times New Roman" w:hAnsi="Times New Roman" w:cs="Times New Roman"/>
          <w:bCs/>
          <w:sz w:val="20"/>
        </w:rPr>
        <w:t>.</w:t>
      </w:r>
      <w:r w:rsidRPr="008F6F8A">
        <w:rPr>
          <w:rFonts w:ascii="Times New Roman" w:hAnsi="Times New Roman" w:cs="Times New Roman"/>
          <w:bCs/>
          <w:sz w:val="20"/>
        </w:rPr>
        <w:t xml:space="preserve"> </w:t>
      </w:r>
      <w:r w:rsidR="007672AC">
        <w:rPr>
          <w:rFonts w:ascii="Times New Roman" w:hAnsi="Times New Roman" w:cs="Times New Roman"/>
          <w:bCs/>
          <w:sz w:val="20"/>
        </w:rPr>
        <w:t>3</w:t>
      </w:r>
      <w:r w:rsidRPr="008F6F8A">
        <w:rPr>
          <w:rFonts w:ascii="Times New Roman" w:hAnsi="Times New Roman" w:cs="Times New Roman"/>
          <w:bCs/>
          <w:sz w:val="20"/>
        </w:rPr>
        <w:t xml:space="preserve">a). Of the exonic region variants, almost half of the variants (46%) were seen in 3`-UTR. Missense and silent variants were 19% each, 9% variants were non-coding. 6% variants were identified in 5`-UTR region and the rest of the variants constituted 1% </w:t>
      </w:r>
      <w:r>
        <w:rPr>
          <w:rFonts w:ascii="Times New Roman" w:hAnsi="Times New Roman" w:cs="Times New Roman"/>
          <w:bCs/>
          <w:sz w:val="20"/>
        </w:rPr>
        <w:t xml:space="preserve">(Supplementary </w:t>
      </w:r>
      <w:r w:rsidRPr="008F6F8A">
        <w:rPr>
          <w:rFonts w:ascii="Times New Roman" w:hAnsi="Times New Roman" w:cs="Times New Roman"/>
          <w:bCs/>
          <w:sz w:val="20"/>
        </w:rPr>
        <w:t>Fig</w:t>
      </w:r>
      <w:r>
        <w:rPr>
          <w:rFonts w:ascii="Times New Roman" w:hAnsi="Times New Roman" w:cs="Times New Roman"/>
          <w:bCs/>
          <w:sz w:val="20"/>
        </w:rPr>
        <w:t>.</w:t>
      </w:r>
      <w:r w:rsidRPr="008F6F8A">
        <w:rPr>
          <w:rFonts w:ascii="Times New Roman" w:hAnsi="Times New Roman" w:cs="Times New Roman"/>
          <w:bCs/>
          <w:sz w:val="20"/>
        </w:rPr>
        <w:t xml:space="preserve"> </w:t>
      </w:r>
      <w:r w:rsidR="007672AC">
        <w:rPr>
          <w:rFonts w:ascii="Times New Roman" w:hAnsi="Times New Roman" w:cs="Times New Roman"/>
          <w:bCs/>
          <w:sz w:val="20"/>
        </w:rPr>
        <w:t>3</w:t>
      </w:r>
      <w:r w:rsidRPr="008F6F8A">
        <w:rPr>
          <w:rFonts w:ascii="Times New Roman" w:hAnsi="Times New Roman" w:cs="Times New Roman"/>
          <w:bCs/>
          <w:sz w:val="20"/>
        </w:rPr>
        <w:t xml:space="preserve">b). </w:t>
      </w:r>
      <w:r w:rsidRPr="008F6F8A">
        <w:rPr>
          <w:rFonts w:ascii="Times New Roman" w:hAnsi="Times New Roman" w:cs="Times New Roman"/>
          <w:sz w:val="20"/>
        </w:rPr>
        <w:t xml:space="preserve">Using stringent filtering criteria, </w:t>
      </w:r>
    </w:p>
    <w:p w14:paraId="0D756F15" w14:textId="3A70E5F4" w:rsidR="003E6A01" w:rsidRDefault="00F06EE1" w:rsidP="003E6A01">
      <w:pPr>
        <w:spacing w:after="0" w:line="360" w:lineRule="auto"/>
        <w:jc w:val="center"/>
        <w:rPr>
          <w:rFonts w:cs="Times New Roman"/>
          <w:szCs w:val="24"/>
        </w:rPr>
      </w:pPr>
      <w:r>
        <w:rPr>
          <w:noProof/>
        </w:rPr>
        <w:lastRenderedPageBreak/>
        <w:drawing>
          <wp:inline distT="0" distB="0" distL="0" distR="0" wp14:anchorId="5B4486E3" wp14:editId="3D5396AC">
            <wp:extent cx="5537577" cy="7251590"/>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623" cy="7368198"/>
                    </a:xfrm>
                    <a:prstGeom prst="rect">
                      <a:avLst/>
                    </a:prstGeom>
                    <a:noFill/>
                    <a:ln>
                      <a:noFill/>
                    </a:ln>
                  </pic:spPr>
                </pic:pic>
              </a:graphicData>
            </a:graphic>
          </wp:inline>
        </w:drawing>
      </w:r>
    </w:p>
    <w:p w14:paraId="6D333864" w14:textId="4F941D4D" w:rsidR="003E6A01" w:rsidRPr="00F06EE1" w:rsidRDefault="00F06EE1" w:rsidP="00F06EE1">
      <w:pPr>
        <w:spacing w:line="240" w:lineRule="auto"/>
        <w:jc w:val="both"/>
        <w:rPr>
          <w:rFonts w:ascii="Times New Roman" w:hAnsi="Times New Roman" w:cs="Times New Roman"/>
          <w:sz w:val="20"/>
        </w:rPr>
      </w:pPr>
      <w:r>
        <w:rPr>
          <w:rFonts w:ascii="Times New Roman" w:hAnsi="Times New Roman" w:cs="Times New Roman"/>
          <w:b/>
          <w:bCs/>
          <w:sz w:val="20"/>
        </w:rPr>
        <w:t xml:space="preserve">Supplementary </w:t>
      </w:r>
      <w:r w:rsidR="003E6A01" w:rsidRPr="00F06EE1">
        <w:rPr>
          <w:rFonts w:ascii="Times New Roman" w:hAnsi="Times New Roman" w:cs="Times New Roman"/>
          <w:b/>
          <w:bCs/>
          <w:sz w:val="20"/>
        </w:rPr>
        <w:t xml:space="preserve">Fig. </w:t>
      </w:r>
      <w:r>
        <w:rPr>
          <w:rFonts w:ascii="Times New Roman" w:hAnsi="Times New Roman" w:cs="Times New Roman"/>
          <w:b/>
          <w:bCs/>
          <w:sz w:val="20"/>
        </w:rPr>
        <w:t>2</w:t>
      </w:r>
      <w:r w:rsidR="003E6A01" w:rsidRPr="00F06EE1">
        <w:rPr>
          <w:rFonts w:ascii="Times New Roman" w:hAnsi="Times New Roman" w:cs="Times New Roman"/>
          <w:sz w:val="20"/>
        </w:rPr>
        <w:t xml:space="preserve"> Whole exome sequencing data analysis overview.</w:t>
      </w:r>
      <w:r w:rsidR="003E6A01" w:rsidRPr="00F06EE1">
        <w:rPr>
          <w:rFonts w:ascii="Times New Roman" w:hAnsi="Times New Roman" w:cs="Times New Roman"/>
          <w:b/>
          <w:bCs/>
          <w:sz w:val="20"/>
        </w:rPr>
        <w:t xml:space="preserve"> </w:t>
      </w:r>
      <w:r w:rsidR="003E6A01" w:rsidRPr="00F06EE1">
        <w:rPr>
          <w:rFonts w:ascii="Times New Roman" w:hAnsi="Times New Roman" w:cs="Times New Roman"/>
          <w:sz w:val="20"/>
        </w:rPr>
        <w:t xml:space="preserve">FastQC, Fastp, BWA-MEM, GATK, VEP, Microsoft Excel/Geneyx, and InterVar were used for quality control, </w:t>
      </w:r>
      <w:proofErr w:type="spellStart"/>
      <w:r w:rsidR="003E6A01" w:rsidRPr="00F06EE1">
        <w:rPr>
          <w:rFonts w:ascii="Times New Roman" w:hAnsi="Times New Roman" w:cs="Times New Roman"/>
          <w:sz w:val="20"/>
        </w:rPr>
        <w:t>preprocessing</w:t>
      </w:r>
      <w:proofErr w:type="spellEnd"/>
      <w:r w:rsidR="003E6A01" w:rsidRPr="00F06EE1">
        <w:rPr>
          <w:rFonts w:ascii="Times New Roman" w:hAnsi="Times New Roman" w:cs="Times New Roman"/>
          <w:sz w:val="20"/>
        </w:rPr>
        <w:t>, read alignment, variant annotation, variant filtration, and variant classification, respectively. InterVar was used to classify the variants based on the ACMG and AMP 2015 guidelines.</w:t>
      </w:r>
    </w:p>
    <w:p w14:paraId="17455E85" w14:textId="1A2F8873" w:rsidR="003E6A01" w:rsidRDefault="00B654A6" w:rsidP="003E6A01">
      <w:pPr>
        <w:spacing w:line="360" w:lineRule="auto"/>
        <w:jc w:val="both"/>
        <w:rPr>
          <w:rFonts w:cs="Times New Roman"/>
          <w:sz w:val="20"/>
        </w:rPr>
      </w:pPr>
      <w:r w:rsidRPr="008F6F8A">
        <w:rPr>
          <w:rFonts w:ascii="Times New Roman" w:hAnsi="Times New Roman" w:cs="Times New Roman"/>
          <w:sz w:val="20"/>
        </w:rPr>
        <w:lastRenderedPageBreak/>
        <w:t xml:space="preserve">variants from all 31 affected individuals were </w:t>
      </w:r>
      <w:r w:rsidRPr="008F6F8A">
        <w:rPr>
          <w:rFonts w:ascii="Times New Roman" w:hAnsi="Times New Roman" w:cs="Times New Roman"/>
          <w:bCs/>
          <w:sz w:val="20"/>
        </w:rPr>
        <w:t xml:space="preserve">prioritized for different mode of inheritance (homozygous recessive, compound heterozygous, de </w:t>
      </w:r>
      <w:r w:rsidR="003E6A01" w:rsidRPr="008F6F8A">
        <w:rPr>
          <w:rFonts w:ascii="Times New Roman" w:hAnsi="Times New Roman" w:cs="Times New Roman"/>
          <w:bCs/>
          <w:sz w:val="20"/>
        </w:rPr>
        <w:t>novo dominant and autosomal dominant) and clinical significance (</w:t>
      </w:r>
      <w:r w:rsidR="003E6A01" w:rsidRPr="008F6F8A">
        <w:rPr>
          <w:rFonts w:ascii="Times New Roman" w:hAnsi="Times New Roman" w:cs="Times New Roman"/>
          <w:sz w:val="20"/>
        </w:rPr>
        <w:t xml:space="preserve">pathogenic, likely pathogenic, variants of uncertain significance, likely benign or benign). Seven specific pathogenic variants, five known and two </w:t>
      </w:r>
      <w:proofErr w:type="gramStart"/>
      <w:r w:rsidR="003E6A01" w:rsidRPr="008F6F8A">
        <w:rPr>
          <w:rFonts w:ascii="Times New Roman" w:hAnsi="Times New Roman" w:cs="Times New Roman"/>
          <w:sz w:val="20"/>
        </w:rPr>
        <w:t>novel</w:t>
      </w:r>
      <w:proofErr w:type="gramEnd"/>
      <w:r w:rsidR="003E6A01" w:rsidRPr="008F6F8A">
        <w:rPr>
          <w:rFonts w:ascii="Times New Roman" w:hAnsi="Times New Roman" w:cs="Times New Roman"/>
          <w:sz w:val="20"/>
        </w:rPr>
        <w:t xml:space="preserve">, were prioritized in </w:t>
      </w:r>
      <w:r w:rsidR="003E6A01">
        <w:rPr>
          <w:rFonts w:ascii="Times New Roman" w:hAnsi="Times New Roman" w:cs="Times New Roman"/>
          <w:sz w:val="20"/>
        </w:rPr>
        <w:t>12</w:t>
      </w:r>
      <w:r w:rsidR="003E6A01" w:rsidRPr="008F6F8A">
        <w:rPr>
          <w:rFonts w:ascii="Times New Roman" w:hAnsi="Times New Roman" w:cs="Times New Roman"/>
          <w:sz w:val="20"/>
        </w:rPr>
        <w:t xml:space="preserve"> affected individuals.  Five </w:t>
      </w:r>
      <w:r w:rsidR="003E6A01" w:rsidRPr="008F6F8A">
        <w:rPr>
          <w:rFonts w:ascii="Times New Roman" w:hAnsi="Times New Roman" w:cs="Times New Roman"/>
          <w:sz w:val="20"/>
          <w:lang w:val="en-US"/>
        </w:rPr>
        <w:t xml:space="preserve">VUS </w:t>
      </w:r>
      <w:r w:rsidR="003E6A01" w:rsidRPr="008F6F8A">
        <w:rPr>
          <w:rFonts w:ascii="Times New Roman" w:hAnsi="Times New Roman" w:cs="Times New Roman"/>
          <w:sz w:val="20"/>
        </w:rPr>
        <w:t xml:space="preserve">associated with HL genes were prioritized with high confidence in </w:t>
      </w:r>
      <w:r w:rsidR="003E6A01">
        <w:rPr>
          <w:rFonts w:ascii="Times New Roman" w:hAnsi="Times New Roman" w:cs="Times New Roman"/>
          <w:sz w:val="20"/>
        </w:rPr>
        <w:t>6</w:t>
      </w:r>
      <w:r w:rsidR="003E6A01" w:rsidRPr="008F6F8A">
        <w:rPr>
          <w:rFonts w:ascii="Times New Roman" w:hAnsi="Times New Roman" w:cs="Times New Roman"/>
          <w:sz w:val="20"/>
        </w:rPr>
        <w:t xml:space="preserve"> individuals. Causative variants specific for HL could not be prioritized in rest of the affected individuals. We identified</w:t>
      </w:r>
      <w:r w:rsidR="003E6A01" w:rsidRPr="008F6F8A">
        <w:rPr>
          <w:rFonts w:ascii="Times New Roman" w:hAnsi="Times New Roman" w:cs="Times New Roman"/>
          <w:sz w:val="20"/>
          <w:lang w:val="en-US"/>
        </w:rPr>
        <w:t xml:space="preserve"> two novel variants which have not been previously documented in any database. These variants have been reported in the ClinVar database (SCV002818294 and SCV002818294)</w:t>
      </w:r>
      <w:r w:rsidR="003E6A01">
        <w:rPr>
          <w:rFonts w:ascii="Times New Roman" w:hAnsi="Times New Roman" w:cs="Times New Roman"/>
          <w:sz w:val="20"/>
          <w:lang w:val="en-US"/>
        </w:rPr>
        <w:t>.</w:t>
      </w:r>
    </w:p>
    <w:p w14:paraId="1E37FA9A" w14:textId="5056618C" w:rsidR="00A84697" w:rsidRDefault="00473398" w:rsidP="00A84697">
      <w:pPr>
        <w:spacing w:after="0" w:line="360" w:lineRule="auto"/>
        <w:jc w:val="both"/>
        <w:rPr>
          <w:rFonts w:ascii="Times New Roman" w:hAnsi="Times New Roman" w:cs="Times New Roman"/>
          <w:bCs/>
          <w:sz w:val="24"/>
          <w:szCs w:val="24"/>
        </w:rPr>
      </w:pPr>
      <w:r>
        <w:rPr>
          <w:noProof/>
        </w:rPr>
        <w:drawing>
          <wp:inline distT="0" distB="0" distL="0" distR="0" wp14:anchorId="0CF09D8F" wp14:editId="3BCC7290">
            <wp:extent cx="5926255" cy="17425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8663" cy="1763827"/>
                    </a:xfrm>
                    <a:prstGeom prst="rect">
                      <a:avLst/>
                    </a:prstGeom>
                    <a:noFill/>
                    <a:ln>
                      <a:noFill/>
                    </a:ln>
                  </pic:spPr>
                </pic:pic>
              </a:graphicData>
            </a:graphic>
          </wp:inline>
        </w:drawing>
      </w:r>
    </w:p>
    <w:p w14:paraId="6495A209" w14:textId="26260264" w:rsidR="00A84697" w:rsidRPr="008F6F8A" w:rsidRDefault="00A84697" w:rsidP="00A84697">
      <w:pPr>
        <w:spacing w:line="360" w:lineRule="auto"/>
        <w:jc w:val="both"/>
        <w:rPr>
          <w:rFonts w:ascii="Times New Roman" w:hAnsi="Times New Roman" w:cs="Times New Roman"/>
          <w:bCs/>
          <w:sz w:val="20"/>
        </w:rPr>
      </w:pPr>
      <w:r>
        <w:rPr>
          <w:rFonts w:ascii="Times New Roman" w:hAnsi="Times New Roman" w:cs="Times New Roman"/>
          <w:b/>
          <w:sz w:val="20"/>
        </w:rPr>
        <w:t xml:space="preserve">Supplementary </w:t>
      </w:r>
      <w:r w:rsidRPr="008F6F8A">
        <w:rPr>
          <w:rFonts w:ascii="Times New Roman" w:hAnsi="Times New Roman" w:cs="Times New Roman"/>
          <w:b/>
          <w:sz w:val="20"/>
        </w:rPr>
        <w:t xml:space="preserve">Fig. </w:t>
      </w:r>
      <w:r w:rsidR="00F06EE1">
        <w:rPr>
          <w:rFonts w:ascii="Times New Roman" w:hAnsi="Times New Roman" w:cs="Times New Roman"/>
          <w:b/>
          <w:sz w:val="20"/>
        </w:rPr>
        <w:t>3</w:t>
      </w:r>
      <w:r w:rsidRPr="008F6F8A">
        <w:rPr>
          <w:rFonts w:ascii="Times New Roman" w:hAnsi="Times New Roman" w:cs="Times New Roman"/>
          <w:bCs/>
          <w:sz w:val="20"/>
        </w:rPr>
        <w:t xml:space="preserve"> Summary of pass on-target annotated variants. (a) Distribution of all pass on-target annotated variants. (b) Distribution of pass on-target annotated exonic variants.</w:t>
      </w:r>
      <w:bookmarkStart w:id="0" w:name="_GoBack"/>
      <w:bookmarkEnd w:id="0"/>
    </w:p>
    <w:sectPr w:rsidR="00A84697" w:rsidRPr="008F6F8A" w:rsidSect="00926F4E">
      <w:foot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4458" w14:textId="77777777" w:rsidR="007161EB" w:rsidRDefault="007161EB" w:rsidP="00E75B78">
      <w:pPr>
        <w:spacing w:after="0" w:line="240" w:lineRule="auto"/>
      </w:pPr>
      <w:r>
        <w:separator/>
      </w:r>
    </w:p>
  </w:endnote>
  <w:endnote w:type="continuationSeparator" w:id="0">
    <w:p w14:paraId="0EFE9F1A" w14:textId="77777777" w:rsidR="007161EB" w:rsidRDefault="007161EB" w:rsidP="00E7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78897"/>
      <w:docPartObj>
        <w:docPartGallery w:val="Page Numbers (Bottom of Page)"/>
        <w:docPartUnique/>
      </w:docPartObj>
    </w:sdtPr>
    <w:sdtEndPr>
      <w:rPr>
        <w:noProof/>
      </w:rPr>
    </w:sdtEndPr>
    <w:sdtContent>
      <w:p w14:paraId="3F4EC188" w14:textId="3EBB895C" w:rsidR="00E75B78" w:rsidRDefault="00E75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CE0DE" w14:textId="77777777" w:rsidR="00E75B78" w:rsidRDefault="00E7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491B2" w14:textId="77777777" w:rsidR="007161EB" w:rsidRDefault="007161EB" w:rsidP="00E75B78">
      <w:pPr>
        <w:spacing w:after="0" w:line="240" w:lineRule="auto"/>
      </w:pPr>
      <w:r>
        <w:separator/>
      </w:r>
    </w:p>
  </w:footnote>
  <w:footnote w:type="continuationSeparator" w:id="0">
    <w:p w14:paraId="528D599E" w14:textId="77777777" w:rsidR="007161EB" w:rsidRDefault="007161EB" w:rsidP="00E75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67"/>
    <w:rsid w:val="00014400"/>
    <w:rsid w:val="000657FF"/>
    <w:rsid w:val="000D657E"/>
    <w:rsid w:val="000F3BAB"/>
    <w:rsid w:val="001B15B0"/>
    <w:rsid w:val="001B6D9D"/>
    <w:rsid w:val="002137CD"/>
    <w:rsid w:val="002339E3"/>
    <w:rsid w:val="002C6174"/>
    <w:rsid w:val="002E2F02"/>
    <w:rsid w:val="0033218F"/>
    <w:rsid w:val="003E6A01"/>
    <w:rsid w:val="004634F6"/>
    <w:rsid w:val="00473398"/>
    <w:rsid w:val="004A110E"/>
    <w:rsid w:val="00582E63"/>
    <w:rsid w:val="005B2744"/>
    <w:rsid w:val="005B3557"/>
    <w:rsid w:val="005C5A43"/>
    <w:rsid w:val="006F4B9D"/>
    <w:rsid w:val="007161EB"/>
    <w:rsid w:val="007672AC"/>
    <w:rsid w:val="00824956"/>
    <w:rsid w:val="00926F4E"/>
    <w:rsid w:val="00930EF0"/>
    <w:rsid w:val="009570EA"/>
    <w:rsid w:val="009843B7"/>
    <w:rsid w:val="009D2DC0"/>
    <w:rsid w:val="009D36D5"/>
    <w:rsid w:val="009D4A3C"/>
    <w:rsid w:val="00A7479D"/>
    <w:rsid w:val="00A84697"/>
    <w:rsid w:val="00AA1147"/>
    <w:rsid w:val="00AB2C30"/>
    <w:rsid w:val="00B654A6"/>
    <w:rsid w:val="00B772D8"/>
    <w:rsid w:val="00B92CC5"/>
    <w:rsid w:val="00C235DC"/>
    <w:rsid w:val="00D2008F"/>
    <w:rsid w:val="00DB74B1"/>
    <w:rsid w:val="00E21267"/>
    <w:rsid w:val="00E47A15"/>
    <w:rsid w:val="00E75B78"/>
    <w:rsid w:val="00E93BC8"/>
    <w:rsid w:val="00EC2657"/>
    <w:rsid w:val="00EE6AC6"/>
    <w:rsid w:val="00EE7128"/>
    <w:rsid w:val="00F004EF"/>
    <w:rsid w:val="00F06EE1"/>
    <w:rsid w:val="00FB0D60"/>
    <w:rsid w:val="00FF36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5C3C"/>
  <w15:chartTrackingRefBased/>
  <w15:docId w15:val="{4AE7B55A-47D4-4F55-8F99-D3F8570F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hi-IN"/>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267"/>
    <w:pPr>
      <w:suppressAutoHyphens/>
      <w:spacing w:after="200" w:line="276" w:lineRule="auto"/>
      <w:jc w:val="left"/>
    </w:pPr>
    <w:rPr>
      <w:rFonts w:ascii="Calibri" w:eastAsia="Calibri" w:hAnsi="Calibri" w:cs="Calibri"/>
      <w:sz w:val="22"/>
      <w:szCs w:val="20"/>
      <w:lang w:val="en-IN"/>
    </w:rPr>
  </w:style>
  <w:style w:type="paragraph" w:styleId="Heading2">
    <w:name w:val="heading 2"/>
    <w:basedOn w:val="Normal"/>
    <w:next w:val="Normal"/>
    <w:link w:val="Heading2Char"/>
    <w:uiPriority w:val="9"/>
    <w:unhideWhenUsed/>
    <w:qFormat/>
    <w:rsid w:val="00F06EE1"/>
    <w:pPr>
      <w:keepNext/>
      <w:keepLines/>
      <w:overflowPunct w:val="0"/>
      <w:spacing w:before="120" w:after="0" w:line="240" w:lineRule="auto"/>
      <w:outlineLvl w:val="1"/>
    </w:pPr>
    <w:rPr>
      <w:rFonts w:ascii="Times New Roman" w:eastAsiaTheme="majorEastAsia" w:hAnsi="Times New Roman" w:cstheme="majorBidi"/>
      <w:b/>
      <w:sz w:val="20"/>
      <w:szCs w:val="23"/>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06EE1"/>
    <w:rPr>
      <w:rFonts w:eastAsiaTheme="majorEastAsia" w:cstheme="majorBidi"/>
      <w:b/>
      <w:sz w:val="20"/>
      <w:szCs w:val="23"/>
      <w:lang w:bidi="ar-SA"/>
    </w:rPr>
  </w:style>
  <w:style w:type="table" w:styleId="TableGrid">
    <w:name w:val="Table Grid"/>
    <w:basedOn w:val="TableNormal"/>
    <w:uiPriority w:val="39"/>
    <w:rsid w:val="005B3557"/>
    <w:pPr>
      <w:suppressAutoHyphens/>
      <w:spacing w:after="0" w:line="240" w:lineRule="auto"/>
      <w:jc w:val="left"/>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26F4E"/>
  </w:style>
  <w:style w:type="paragraph" w:styleId="Header">
    <w:name w:val="header"/>
    <w:basedOn w:val="Normal"/>
    <w:link w:val="HeaderChar"/>
    <w:uiPriority w:val="99"/>
    <w:unhideWhenUsed/>
    <w:rsid w:val="00E75B78"/>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E75B78"/>
    <w:rPr>
      <w:rFonts w:ascii="Calibri" w:eastAsia="Calibri" w:hAnsi="Calibri" w:cs="Mangal"/>
      <w:sz w:val="22"/>
      <w:szCs w:val="20"/>
      <w:lang w:val="en-IN"/>
    </w:rPr>
  </w:style>
  <w:style w:type="paragraph" w:styleId="Footer">
    <w:name w:val="footer"/>
    <w:basedOn w:val="Normal"/>
    <w:link w:val="FooterChar"/>
    <w:uiPriority w:val="99"/>
    <w:unhideWhenUsed/>
    <w:rsid w:val="00E75B78"/>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E75B78"/>
    <w:rPr>
      <w:rFonts w:ascii="Calibri" w:eastAsia="Calibri" w:hAnsi="Calibri" w:cs="Mangal"/>
      <w:sz w:val="22"/>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AF4BB-C1E9-4202-A84A-1D80BD08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2024-01-11T04:54:00Z</dcterms:created>
  <dcterms:modified xsi:type="dcterms:W3CDTF">2025-06-18T04:54:00Z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http://www.zotero.org/styles/biochemical-and-biophysical-research-communications</vt:lpwstr>
  </property>
  <property fmtid="{D5CDD505-2E9C-101B-9397-08002B2CF9AE}" pid="3" name="Mendeley Recent Style Name 0_1">
    <vt:lpwstr>Biochemical and Biophysical Research Communications</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http://www.zotero.org/styles/current-science</vt:lpwstr>
  </property>
  <property fmtid="{D5CDD505-2E9C-101B-9397-08002B2CF9AE}" pid="7" name="Mendeley Recent Style Name 2_1">
    <vt:lpwstr>Current Science</vt:lpwstr>
  </property>
  <property fmtid="{D5CDD505-2E9C-101B-9397-08002B2CF9AE}" pid="8" name="Mendeley Recent Style Id 3_1">
    <vt:lpwstr>http://www.zotero.org/styles/frontiers-in-genetics</vt:lpwstr>
  </property>
  <property fmtid="{D5CDD505-2E9C-101B-9397-08002B2CF9AE}" pid="9" name="Mendeley Recent Style Name 3_1">
    <vt:lpwstr>Frontiers in Genetics</vt:lpwstr>
  </property>
  <property fmtid="{D5CDD505-2E9C-101B-9397-08002B2CF9AE}" pid="10" name="Mendeley Recent Style Id 4_1">
    <vt:lpwstr>https://csl.mendeley.com/styles/468068881/Genetic-testing-and-molecular-biomarkers</vt:lpwstr>
  </property>
  <property fmtid="{D5CDD505-2E9C-101B-9397-08002B2CF9AE}" pid="11" name="Mendeley Recent Style Name 4_1">
    <vt:lpwstr>Genetic Testing and Molecular Biomarkers - Jagannath Kurva</vt:lpwstr>
  </property>
  <property fmtid="{D5CDD505-2E9C-101B-9397-08002B2CF9AE}" pid="12" name="Mendeley Recent Style Id 5_1">
    <vt:lpwstr>http://www.zotero.org/styles/hbni</vt:lpwstr>
  </property>
  <property fmtid="{D5CDD505-2E9C-101B-9397-08002B2CF9AE}" pid="13" name="Mendeley Recent Style Name 5_1">
    <vt:lpwstr>HBNI</vt:lpwstr>
  </property>
  <property fmtid="{D5CDD505-2E9C-101B-9397-08002B2CF9AE}" pid="14" name="Mendeley Recent Style Id 6_1">
    <vt:lpwstr>http://www.zotero.org/styles/journal-of-the-association-for-research-in-otolaryngology</vt:lpwstr>
  </property>
  <property fmtid="{D5CDD505-2E9C-101B-9397-08002B2CF9AE}" pid="15" name="Mendeley Recent Style Name 6_1">
    <vt:lpwstr>Journal of the Association for Research in Otolaryngology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http://www.zotero.org/styles/public-library-of-science</vt:lpwstr>
  </property>
  <property fmtid="{D5CDD505-2E9C-101B-9397-08002B2CF9AE}" pid="21" name="Mendeley Recent Style Name 9_1">
    <vt:lpwstr>Public Library of Science</vt:lpwstr>
  </property>
  <property fmtid="{D5CDD505-2E9C-101B-9397-08002B2CF9AE}" pid="22" name="Mendeley Citation Style_1">
    <vt:lpwstr>http://www.zotero.org/styles/hbni</vt:lpwstr>
  </property>
</Properties>
</file>