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6B" w:rsidRPr="005B3017" w:rsidRDefault="00394F6B" w:rsidP="00394F6B">
      <w:pPr>
        <w:spacing w:line="360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Supplementary T</w:t>
      </w:r>
      <w:r w:rsidRPr="00022C12">
        <w:rPr>
          <w:rFonts w:cstheme="minorHAnsi"/>
          <w:b/>
          <w:bCs/>
          <w:lang w:val="en-GB"/>
        </w:rPr>
        <w:t xml:space="preserve">able 1: </w:t>
      </w:r>
      <w:proofErr w:type="spellStart"/>
      <w:r w:rsidRPr="00022C12">
        <w:rPr>
          <w:rFonts w:cstheme="minorHAnsi"/>
          <w:b/>
          <w:bCs/>
          <w:lang w:val="en-GB"/>
        </w:rPr>
        <w:t>Univariable</w:t>
      </w:r>
      <w:proofErr w:type="spellEnd"/>
      <w:r w:rsidRPr="00022C12">
        <w:rPr>
          <w:rFonts w:cstheme="minorHAnsi"/>
          <w:b/>
          <w:bCs/>
          <w:lang w:val="en-GB"/>
        </w:rPr>
        <w:t xml:space="preserve"> Cox regression analysis of patient, tumo</w:t>
      </w:r>
      <w:r>
        <w:rPr>
          <w:rFonts w:cstheme="minorHAnsi"/>
          <w:b/>
          <w:bCs/>
          <w:lang w:val="en-GB"/>
        </w:rPr>
        <w:t>u</w:t>
      </w:r>
      <w:r w:rsidRPr="00022C12">
        <w:rPr>
          <w:rFonts w:cstheme="minorHAnsi"/>
          <w:b/>
          <w:bCs/>
          <w:lang w:val="en-GB"/>
        </w:rPr>
        <w:t xml:space="preserve">r and surgical margin characteristics </w:t>
      </w:r>
      <w:r w:rsidR="004B6783">
        <w:rPr>
          <w:rFonts w:cstheme="minorHAnsi"/>
          <w:b/>
          <w:bCs/>
          <w:lang w:val="en-GB"/>
        </w:rPr>
        <w:t xml:space="preserve">to </w:t>
      </w:r>
      <w:r w:rsidR="004B6783" w:rsidRPr="004B6783">
        <w:rPr>
          <w:rFonts w:cstheme="minorHAnsi"/>
          <w:b/>
          <w:bCs/>
          <w:lang w:val="en-GB"/>
        </w:rPr>
        <w:t>identify prognostic factors</w:t>
      </w:r>
      <w:r w:rsidR="004B6783">
        <w:rPr>
          <w:rFonts w:cstheme="minorHAnsi"/>
          <w:b/>
          <w:bCs/>
          <w:lang w:val="en-GB"/>
        </w:rPr>
        <w:t xml:space="preserve"> associated with </w:t>
      </w:r>
      <w:bookmarkStart w:id="0" w:name="_GoBack"/>
      <w:bookmarkEnd w:id="0"/>
      <w:r w:rsidR="004B6783" w:rsidRPr="004B6783">
        <w:rPr>
          <w:rFonts w:cstheme="minorHAnsi"/>
          <w:b/>
          <w:bCs/>
          <w:lang w:val="en-GB"/>
        </w:rPr>
        <w:t>BCR risk</w:t>
      </w:r>
    </w:p>
    <w:p w:rsidR="00394F6B" w:rsidRPr="005B3017" w:rsidRDefault="00394F6B" w:rsidP="00394F6B">
      <w:pPr>
        <w:spacing w:after="200"/>
        <w:rPr>
          <w:rFonts w:cstheme="minorHAnsi"/>
          <w:i/>
          <w:iCs/>
          <w:color w:val="44546A" w:themeColor="text2"/>
          <w:lang w:val="en-GB"/>
        </w:rPr>
      </w:pPr>
    </w:p>
    <w:tbl>
      <w:tblPr>
        <w:tblStyle w:val="Tabelraster"/>
        <w:tblW w:w="7366" w:type="dxa"/>
        <w:tblLayout w:type="fixed"/>
        <w:tblLook w:val="04A0" w:firstRow="1" w:lastRow="0" w:firstColumn="1" w:lastColumn="0" w:noHBand="0" w:noVBand="1"/>
      </w:tblPr>
      <w:tblGrid>
        <w:gridCol w:w="3823"/>
        <w:gridCol w:w="2268"/>
        <w:gridCol w:w="1275"/>
      </w:tblGrid>
      <w:tr w:rsidR="00394F6B" w:rsidRPr="00205C6C" w:rsidTr="00E610E6">
        <w:tc>
          <w:tcPr>
            <w:tcW w:w="3823" w:type="dxa"/>
          </w:tcPr>
          <w:p w:rsidR="00394F6B" w:rsidRPr="00DB0E0C" w:rsidRDefault="00394F6B" w:rsidP="00E610E6">
            <w:pPr>
              <w:spacing w:line="276" w:lineRule="auto"/>
              <w:rPr>
                <w:rFonts w:cstheme="minorHAnsi"/>
                <w:b/>
                <w:sz w:val="22"/>
                <w:lang w:val="en-GB"/>
              </w:rPr>
            </w:pPr>
            <w:r w:rsidRPr="00DB0E0C">
              <w:rPr>
                <w:rFonts w:cstheme="minorHAnsi"/>
                <w:b/>
                <w:bCs/>
                <w:sz w:val="22"/>
                <w:lang w:val="en-GB"/>
              </w:rPr>
              <w:t>Characteristic</w:t>
            </w:r>
          </w:p>
        </w:tc>
        <w:tc>
          <w:tcPr>
            <w:tcW w:w="2268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DB0E0C">
              <w:rPr>
                <w:rFonts w:cstheme="minorHAnsi"/>
                <w:b/>
                <w:sz w:val="22"/>
                <w:lang w:val="en-GB"/>
              </w:rPr>
              <w:t>Hazard ratio (95% CI)</w:t>
            </w:r>
          </w:p>
        </w:tc>
        <w:tc>
          <w:tcPr>
            <w:tcW w:w="1275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b/>
                <w:sz w:val="22"/>
                <w:lang w:val="en-GB"/>
              </w:rPr>
            </w:pPr>
            <w:r w:rsidRPr="00DB0E0C">
              <w:rPr>
                <w:rFonts w:cstheme="minorHAnsi"/>
                <w:b/>
                <w:i/>
                <w:sz w:val="22"/>
                <w:lang w:val="en-GB"/>
              </w:rPr>
              <w:t>p</w:t>
            </w:r>
            <w:r w:rsidRPr="00DB0E0C">
              <w:rPr>
                <w:rFonts w:cstheme="minorHAnsi"/>
                <w:b/>
                <w:sz w:val="22"/>
                <w:lang w:val="en-GB"/>
              </w:rPr>
              <w:t xml:space="preserve"> value</w:t>
            </w:r>
          </w:p>
        </w:tc>
      </w:tr>
      <w:tr w:rsidR="00394F6B" w:rsidRPr="00205C6C" w:rsidTr="00E610E6">
        <w:tc>
          <w:tcPr>
            <w:tcW w:w="3823" w:type="dxa"/>
          </w:tcPr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Age (years) </w:t>
            </w:r>
          </w:p>
        </w:tc>
        <w:tc>
          <w:tcPr>
            <w:tcW w:w="2268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1.00 (0.99-1.03)</w:t>
            </w:r>
          </w:p>
        </w:tc>
        <w:tc>
          <w:tcPr>
            <w:tcW w:w="1275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0.502</w:t>
            </w:r>
          </w:p>
        </w:tc>
      </w:tr>
      <w:tr w:rsidR="00394F6B" w:rsidRPr="00205C6C" w:rsidTr="00E610E6">
        <w:tc>
          <w:tcPr>
            <w:tcW w:w="3823" w:type="dxa"/>
          </w:tcPr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Body Mass Index (kg/m2; N = 818)</w:t>
            </w:r>
          </w:p>
        </w:tc>
        <w:tc>
          <w:tcPr>
            <w:tcW w:w="2268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0.98 (0.95-1.02)</w:t>
            </w:r>
          </w:p>
        </w:tc>
        <w:tc>
          <w:tcPr>
            <w:tcW w:w="1275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0.340</w:t>
            </w:r>
          </w:p>
        </w:tc>
      </w:tr>
      <w:tr w:rsidR="00394F6B" w:rsidRPr="00205C6C" w:rsidTr="00E610E6">
        <w:tc>
          <w:tcPr>
            <w:tcW w:w="3823" w:type="dxa"/>
          </w:tcPr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proofErr w:type="spellStart"/>
            <w:r w:rsidRPr="00DB0E0C">
              <w:rPr>
                <w:rFonts w:cstheme="minorHAnsi"/>
                <w:sz w:val="22"/>
                <w:lang w:val="en-GB"/>
              </w:rPr>
              <w:t>Charlson</w:t>
            </w:r>
            <w:proofErr w:type="spellEnd"/>
            <w:r w:rsidRPr="00DB0E0C">
              <w:rPr>
                <w:rFonts w:cstheme="minorHAnsi"/>
                <w:sz w:val="22"/>
                <w:lang w:val="en-GB"/>
              </w:rPr>
              <w:t xml:space="preserve"> Comorbidity Index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0 (</w:t>
            </w:r>
            <w:r w:rsidRPr="00DB0E0C">
              <w:rPr>
                <w:rFonts w:cstheme="minorHAnsi"/>
                <w:i/>
                <w:sz w:val="22"/>
                <w:lang w:val="en-GB"/>
              </w:rPr>
              <w:t xml:space="preserve">N </w:t>
            </w:r>
            <w:r w:rsidRPr="00DB0E0C">
              <w:rPr>
                <w:rFonts w:cstheme="minorHAnsi"/>
                <w:sz w:val="22"/>
                <w:lang w:val="en-GB"/>
              </w:rPr>
              <w:t>= 670)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1 (</w:t>
            </w:r>
            <w:r w:rsidRPr="00DB0E0C">
              <w:rPr>
                <w:rFonts w:cstheme="minorHAnsi"/>
                <w:i/>
                <w:sz w:val="22"/>
                <w:lang w:val="en-GB"/>
              </w:rPr>
              <w:t xml:space="preserve">N </w:t>
            </w:r>
            <w:r w:rsidRPr="00DB0E0C">
              <w:rPr>
                <w:rFonts w:cstheme="minorHAnsi"/>
                <w:sz w:val="22"/>
                <w:lang w:val="en-GB"/>
              </w:rPr>
              <w:t>= 233)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≥2 (</w:t>
            </w:r>
            <w:r w:rsidRPr="00DB0E0C">
              <w:rPr>
                <w:rFonts w:cstheme="minorHAnsi"/>
                <w:i/>
                <w:sz w:val="22"/>
                <w:lang w:val="en-GB"/>
              </w:rPr>
              <w:t xml:space="preserve">N </w:t>
            </w:r>
            <w:r w:rsidRPr="00DB0E0C">
              <w:rPr>
                <w:rFonts w:cstheme="minorHAnsi"/>
                <w:sz w:val="22"/>
                <w:lang w:val="en-GB"/>
              </w:rPr>
              <w:t>= 58)</w:t>
            </w:r>
          </w:p>
        </w:tc>
        <w:tc>
          <w:tcPr>
            <w:tcW w:w="2268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Ref.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1.17 (0.90-1.52)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1.41 (0.92-2.17)</w:t>
            </w:r>
          </w:p>
        </w:tc>
        <w:tc>
          <w:tcPr>
            <w:tcW w:w="1275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0.192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0.236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0.119</w:t>
            </w:r>
          </w:p>
        </w:tc>
      </w:tr>
      <w:tr w:rsidR="00394F6B" w:rsidRPr="00205C6C" w:rsidTr="00E610E6">
        <w:tc>
          <w:tcPr>
            <w:tcW w:w="3823" w:type="dxa"/>
          </w:tcPr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Total PSA at diagnosis (ng/mL; N = 993)</w:t>
            </w:r>
          </w:p>
        </w:tc>
        <w:tc>
          <w:tcPr>
            <w:tcW w:w="2268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1.03 (1.02-1.04)</w:t>
            </w:r>
          </w:p>
        </w:tc>
        <w:tc>
          <w:tcPr>
            <w:tcW w:w="1275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&lt;.001</w:t>
            </w:r>
          </w:p>
        </w:tc>
      </w:tr>
      <w:tr w:rsidR="00394F6B" w:rsidRPr="00205C6C" w:rsidTr="00E610E6">
        <w:tc>
          <w:tcPr>
            <w:tcW w:w="3823" w:type="dxa"/>
          </w:tcPr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Pathological T stage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T2 (</w:t>
            </w:r>
            <w:r w:rsidRPr="00DB0E0C">
              <w:rPr>
                <w:rFonts w:cstheme="minorHAnsi"/>
                <w:i/>
                <w:sz w:val="22"/>
                <w:lang w:val="en-GB"/>
              </w:rPr>
              <w:t xml:space="preserve">N </w:t>
            </w:r>
            <w:r w:rsidRPr="00DB0E0C">
              <w:rPr>
                <w:rFonts w:cstheme="minorHAnsi"/>
                <w:sz w:val="22"/>
                <w:lang w:val="en-GB"/>
              </w:rPr>
              <w:t>= 679)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T3a (</w:t>
            </w:r>
            <w:r w:rsidRPr="00DB0E0C">
              <w:rPr>
                <w:rFonts w:cstheme="minorHAnsi"/>
                <w:i/>
                <w:sz w:val="22"/>
                <w:lang w:val="en-GB"/>
              </w:rPr>
              <w:t xml:space="preserve">N </w:t>
            </w:r>
            <w:r w:rsidRPr="00DB0E0C">
              <w:rPr>
                <w:rFonts w:cstheme="minorHAnsi"/>
                <w:sz w:val="22"/>
                <w:lang w:val="en-GB"/>
              </w:rPr>
              <w:t>= 230)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T3b-4 (</w:t>
            </w:r>
            <w:r w:rsidRPr="00DB0E0C">
              <w:rPr>
                <w:rFonts w:cstheme="minorHAnsi"/>
                <w:i/>
                <w:sz w:val="22"/>
                <w:lang w:val="en-GB"/>
              </w:rPr>
              <w:t xml:space="preserve">N </w:t>
            </w:r>
            <w:r w:rsidRPr="00DB0E0C">
              <w:rPr>
                <w:rFonts w:cstheme="minorHAnsi"/>
                <w:sz w:val="22"/>
                <w:lang w:val="en-GB"/>
              </w:rPr>
              <w:t>= 89)</w:t>
            </w:r>
          </w:p>
        </w:tc>
        <w:tc>
          <w:tcPr>
            <w:tcW w:w="2268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Ref.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1.96 (1.52-2.52)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4.14 (3.07-5.57)</w:t>
            </w:r>
          </w:p>
        </w:tc>
        <w:tc>
          <w:tcPr>
            <w:tcW w:w="1275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&lt;.001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&lt;.001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&lt;.001</w:t>
            </w:r>
          </w:p>
        </w:tc>
      </w:tr>
      <w:tr w:rsidR="00394F6B" w:rsidRPr="00205C6C" w:rsidTr="00E610E6">
        <w:tc>
          <w:tcPr>
            <w:tcW w:w="3823" w:type="dxa"/>
          </w:tcPr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ISUP grade group at RP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1 (</w:t>
            </w:r>
            <w:r w:rsidRPr="00DB0E0C">
              <w:rPr>
                <w:rFonts w:cstheme="minorHAnsi"/>
                <w:i/>
                <w:sz w:val="22"/>
                <w:lang w:val="en-GB"/>
              </w:rPr>
              <w:t xml:space="preserve">N </w:t>
            </w:r>
            <w:r w:rsidRPr="00DB0E0C">
              <w:rPr>
                <w:rFonts w:cstheme="minorHAnsi"/>
                <w:sz w:val="22"/>
                <w:lang w:val="en-GB"/>
              </w:rPr>
              <w:t>= 239)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2 (</w:t>
            </w:r>
            <w:r w:rsidRPr="00DB0E0C">
              <w:rPr>
                <w:rFonts w:cstheme="minorHAnsi"/>
                <w:i/>
                <w:sz w:val="22"/>
                <w:lang w:val="en-GB"/>
              </w:rPr>
              <w:t xml:space="preserve">N </w:t>
            </w:r>
            <w:r w:rsidRPr="00DB0E0C">
              <w:rPr>
                <w:rFonts w:cstheme="minorHAnsi"/>
                <w:sz w:val="22"/>
                <w:lang w:val="en-GB"/>
              </w:rPr>
              <w:t>= 453)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3 (</w:t>
            </w:r>
            <w:r w:rsidRPr="00DB0E0C">
              <w:rPr>
                <w:rFonts w:cstheme="minorHAnsi"/>
                <w:i/>
                <w:sz w:val="22"/>
                <w:lang w:val="en-GB"/>
              </w:rPr>
              <w:t xml:space="preserve">N </w:t>
            </w:r>
            <w:r w:rsidRPr="00DB0E0C">
              <w:rPr>
                <w:rFonts w:cstheme="minorHAnsi"/>
                <w:sz w:val="22"/>
                <w:lang w:val="en-GB"/>
              </w:rPr>
              <w:t>= 178)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4 (</w:t>
            </w:r>
            <w:r w:rsidRPr="00DB0E0C">
              <w:rPr>
                <w:rFonts w:cstheme="minorHAnsi"/>
                <w:i/>
                <w:sz w:val="22"/>
                <w:lang w:val="en-GB"/>
              </w:rPr>
              <w:t xml:space="preserve">N </w:t>
            </w:r>
            <w:r w:rsidRPr="00DB0E0C">
              <w:rPr>
                <w:rFonts w:cstheme="minorHAnsi"/>
                <w:sz w:val="22"/>
                <w:lang w:val="en-GB"/>
              </w:rPr>
              <w:t>= 73)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5 (</w:t>
            </w:r>
            <w:r w:rsidRPr="00DB0E0C">
              <w:rPr>
                <w:rFonts w:cstheme="minorHAnsi"/>
                <w:i/>
                <w:sz w:val="22"/>
                <w:lang w:val="en-GB"/>
              </w:rPr>
              <w:t xml:space="preserve">N </w:t>
            </w:r>
            <w:r w:rsidRPr="00DB0E0C">
              <w:rPr>
                <w:rFonts w:cstheme="minorHAnsi"/>
                <w:sz w:val="22"/>
                <w:lang w:val="en-GB"/>
              </w:rPr>
              <w:t>= 52)</w:t>
            </w:r>
          </w:p>
        </w:tc>
        <w:tc>
          <w:tcPr>
            <w:tcW w:w="2268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Ref.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1.59 (1.10-2.29)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3.86 (2.64-5.64)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4.93 (3.19-7.63)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8.09 (5.17-12.63)</w:t>
            </w:r>
          </w:p>
        </w:tc>
        <w:tc>
          <w:tcPr>
            <w:tcW w:w="1275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&lt;.001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0.014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&lt;.001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&lt;.001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&lt;.001</w:t>
            </w:r>
          </w:p>
        </w:tc>
      </w:tr>
      <w:tr w:rsidR="00394F6B" w:rsidRPr="00205C6C" w:rsidTr="00E610E6">
        <w:tc>
          <w:tcPr>
            <w:tcW w:w="7366" w:type="dxa"/>
            <w:gridSpan w:val="3"/>
          </w:tcPr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b/>
                <w:sz w:val="22"/>
                <w:lang w:val="en-GB"/>
              </w:rPr>
              <w:t>Surgical margin status</w:t>
            </w:r>
          </w:p>
        </w:tc>
      </w:tr>
      <w:tr w:rsidR="00394F6B" w:rsidRPr="00205C6C" w:rsidTr="00E610E6">
        <w:tc>
          <w:tcPr>
            <w:tcW w:w="3823" w:type="dxa"/>
          </w:tcPr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Negative (</w:t>
            </w:r>
            <w:r w:rsidRPr="00DB0E0C">
              <w:rPr>
                <w:rFonts w:cstheme="minorHAnsi"/>
                <w:i/>
                <w:sz w:val="22"/>
                <w:lang w:val="en-GB"/>
              </w:rPr>
              <w:t>N</w:t>
            </w:r>
            <w:r w:rsidRPr="00DB0E0C">
              <w:rPr>
                <w:rFonts w:cstheme="minorHAnsi"/>
                <w:sz w:val="22"/>
                <w:lang w:val="en-GB"/>
              </w:rPr>
              <w:t xml:space="preserve"> = 687)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Positive (</w:t>
            </w:r>
            <w:r w:rsidRPr="00DB0E0C">
              <w:rPr>
                <w:rFonts w:cstheme="minorHAnsi"/>
                <w:i/>
                <w:sz w:val="22"/>
                <w:lang w:val="en-GB"/>
              </w:rPr>
              <w:t>N</w:t>
            </w:r>
            <w:r w:rsidRPr="00DB0E0C">
              <w:rPr>
                <w:rFonts w:cstheme="minorHAnsi"/>
                <w:sz w:val="22"/>
                <w:lang w:val="en-GB"/>
              </w:rPr>
              <w:t xml:space="preserve"> = 311) </w:t>
            </w:r>
          </w:p>
        </w:tc>
        <w:tc>
          <w:tcPr>
            <w:tcW w:w="2268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Ref.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2.11 (1.69-2.64)</w:t>
            </w:r>
          </w:p>
        </w:tc>
        <w:tc>
          <w:tcPr>
            <w:tcW w:w="1275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&lt;.001</w:t>
            </w:r>
          </w:p>
        </w:tc>
      </w:tr>
      <w:tr w:rsidR="00394F6B" w:rsidRPr="00205C6C" w:rsidTr="00E610E6">
        <w:tc>
          <w:tcPr>
            <w:tcW w:w="3823" w:type="dxa"/>
          </w:tcPr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Negative (</w:t>
            </w:r>
            <w:r w:rsidRPr="00DB0E0C">
              <w:rPr>
                <w:rFonts w:cstheme="minorHAnsi"/>
                <w:i/>
                <w:sz w:val="22"/>
                <w:lang w:val="en-GB"/>
              </w:rPr>
              <w:t>N</w:t>
            </w:r>
            <w:r w:rsidRPr="00DB0E0C">
              <w:rPr>
                <w:rFonts w:cstheme="minorHAnsi"/>
                <w:sz w:val="22"/>
                <w:lang w:val="en-GB"/>
              </w:rPr>
              <w:t xml:space="preserve"> = 687)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Positive  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  &lt; 3 mm (</w:t>
            </w:r>
            <w:r w:rsidRPr="00DB0E0C">
              <w:rPr>
                <w:rFonts w:cstheme="minorHAnsi"/>
                <w:i/>
                <w:sz w:val="22"/>
                <w:lang w:val="en-GB"/>
              </w:rPr>
              <w:t>N</w:t>
            </w:r>
            <w:r w:rsidRPr="00DB0E0C">
              <w:rPr>
                <w:rFonts w:cstheme="minorHAnsi"/>
                <w:sz w:val="22"/>
                <w:lang w:val="en-GB"/>
              </w:rPr>
              <w:t xml:space="preserve"> = 86)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  ≥ 3 mm (</w:t>
            </w:r>
            <w:r w:rsidRPr="00DB0E0C">
              <w:rPr>
                <w:rFonts w:cstheme="minorHAnsi"/>
                <w:i/>
                <w:sz w:val="22"/>
                <w:lang w:val="en-GB"/>
              </w:rPr>
              <w:t>N</w:t>
            </w:r>
            <w:r w:rsidRPr="00DB0E0C">
              <w:rPr>
                <w:rFonts w:cstheme="minorHAnsi"/>
                <w:sz w:val="22"/>
                <w:lang w:val="en-GB"/>
              </w:rPr>
              <w:t xml:space="preserve"> = 190)</w:t>
            </w:r>
          </w:p>
        </w:tc>
        <w:tc>
          <w:tcPr>
            <w:tcW w:w="2268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Ref.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1.23 (0.82-1.85)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2.72 (2.12-3.47)</w:t>
            </w:r>
          </w:p>
        </w:tc>
        <w:tc>
          <w:tcPr>
            <w:tcW w:w="1275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0.316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&lt;.001</w:t>
            </w:r>
          </w:p>
        </w:tc>
      </w:tr>
      <w:tr w:rsidR="00394F6B" w:rsidRPr="00205C6C" w:rsidTr="00E610E6">
        <w:tc>
          <w:tcPr>
            <w:tcW w:w="3823" w:type="dxa"/>
          </w:tcPr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Positive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&lt; 3 mm (</w:t>
            </w:r>
            <w:r w:rsidRPr="00DB0E0C">
              <w:rPr>
                <w:rFonts w:cstheme="minorHAnsi"/>
                <w:i/>
                <w:sz w:val="22"/>
                <w:lang w:val="en-GB"/>
              </w:rPr>
              <w:t>N</w:t>
            </w:r>
            <w:r w:rsidRPr="00DB0E0C">
              <w:rPr>
                <w:rFonts w:cstheme="minorHAnsi"/>
                <w:sz w:val="22"/>
                <w:lang w:val="en-GB"/>
              </w:rPr>
              <w:t xml:space="preserve"> = 86) </w:t>
            </w:r>
          </w:p>
          <w:p w:rsidR="00394F6B" w:rsidRPr="00DB0E0C" w:rsidRDefault="00394F6B" w:rsidP="00E610E6">
            <w:pPr>
              <w:spacing w:line="276" w:lineRule="auto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 xml:space="preserve">  ≥ 3 mm (</w:t>
            </w:r>
            <w:r w:rsidRPr="00DB0E0C">
              <w:rPr>
                <w:rFonts w:cstheme="minorHAnsi"/>
                <w:i/>
                <w:sz w:val="22"/>
                <w:lang w:val="en-GB"/>
              </w:rPr>
              <w:t>N</w:t>
            </w:r>
            <w:r w:rsidRPr="00DB0E0C">
              <w:rPr>
                <w:rFonts w:cstheme="minorHAnsi"/>
                <w:sz w:val="22"/>
                <w:lang w:val="en-GB"/>
              </w:rPr>
              <w:t xml:space="preserve"> = 190)</w:t>
            </w:r>
          </w:p>
        </w:tc>
        <w:tc>
          <w:tcPr>
            <w:tcW w:w="2268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Ref.</w:t>
            </w: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2.16 (1.41-3.31)</w:t>
            </w:r>
          </w:p>
        </w:tc>
        <w:tc>
          <w:tcPr>
            <w:tcW w:w="1275" w:type="dxa"/>
          </w:tcPr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</w:p>
          <w:p w:rsidR="00394F6B" w:rsidRPr="00DB0E0C" w:rsidRDefault="00394F6B" w:rsidP="00E610E6">
            <w:pPr>
              <w:spacing w:line="276" w:lineRule="auto"/>
              <w:jc w:val="center"/>
              <w:rPr>
                <w:rFonts w:cstheme="minorHAnsi"/>
                <w:sz w:val="22"/>
                <w:lang w:val="en-GB"/>
              </w:rPr>
            </w:pPr>
            <w:r w:rsidRPr="00DB0E0C">
              <w:rPr>
                <w:rFonts w:cstheme="minorHAnsi"/>
                <w:sz w:val="22"/>
                <w:lang w:val="en-GB"/>
              </w:rPr>
              <w:t>&lt;.001</w:t>
            </w:r>
          </w:p>
        </w:tc>
      </w:tr>
    </w:tbl>
    <w:p w:rsidR="00394F6B" w:rsidRDefault="00394F6B" w:rsidP="00394F6B">
      <w:pPr>
        <w:pStyle w:val="Bijschrift"/>
        <w:spacing w:line="276" w:lineRule="auto"/>
        <w:rPr>
          <w:rFonts w:cstheme="minorHAnsi"/>
          <w:bCs/>
          <w:i w:val="0"/>
          <w:color w:val="auto"/>
          <w:sz w:val="24"/>
          <w:szCs w:val="24"/>
          <w:lang w:val="en-GB"/>
        </w:rPr>
      </w:pPr>
      <w:r>
        <w:rPr>
          <w:rFonts w:cstheme="minorHAnsi"/>
          <w:bCs/>
          <w:i w:val="0"/>
          <w:color w:val="auto"/>
          <w:sz w:val="24"/>
          <w:szCs w:val="24"/>
          <w:lang w:val="en-GB"/>
        </w:rPr>
        <w:t xml:space="preserve">CI = confidence interval, Ref. = reference, </w:t>
      </w:r>
      <w:r w:rsidRPr="00022C12">
        <w:rPr>
          <w:rFonts w:cstheme="minorHAnsi"/>
          <w:bCs/>
          <w:i w:val="0"/>
          <w:color w:val="auto"/>
          <w:sz w:val="24"/>
          <w:szCs w:val="24"/>
          <w:lang w:val="en-GB"/>
        </w:rPr>
        <w:t xml:space="preserve">PSA = prostate-specific antigen, T = tumour, ISUP = International Society of Urological Pathology, </w:t>
      </w:r>
      <w:r>
        <w:rPr>
          <w:rFonts w:cstheme="minorHAnsi"/>
          <w:bCs/>
          <w:i w:val="0"/>
          <w:color w:val="auto"/>
          <w:sz w:val="24"/>
          <w:szCs w:val="24"/>
          <w:lang w:val="en-GB"/>
        </w:rPr>
        <w:t>RP = radical prostatectomy</w:t>
      </w:r>
    </w:p>
    <w:p w:rsidR="00394F6B" w:rsidRDefault="00394F6B" w:rsidP="00394F6B">
      <w:pPr>
        <w:pStyle w:val="Bijschrift"/>
        <w:spacing w:line="276" w:lineRule="auto"/>
        <w:rPr>
          <w:rFonts w:cstheme="minorHAnsi"/>
          <w:b/>
          <w:bCs/>
          <w:i w:val="0"/>
          <w:color w:val="auto"/>
          <w:sz w:val="24"/>
          <w:szCs w:val="24"/>
          <w:lang w:val="en-GB"/>
        </w:rPr>
      </w:pPr>
    </w:p>
    <w:p w:rsidR="00394F6B" w:rsidRDefault="00394F6B" w:rsidP="00394F6B">
      <w:pPr>
        <w:pStyle w:val="Bijschrift"/>
        <w:spacing w:line="276" w:lineRule="auto"/>
        <w:rPr>
          <w:rFonts w:cstheme="minorHAnsi"/>
          <w:b/>
          <w:bCs/>
          <w:i w:val="0"/>
          <w:color w:val="auto"/>
          <w:sz w:val="24"/>
          <w:szCs w:val="24"/>
          <w:lang w:val="en-GB"/>
        </w:rPr>
      </w:pPr>
    </w:p>
    <w:p w:rsidR="00394F6B" w:rsidRDefault="00394F6B" w:rsidP="00394F6B">
      <w:pPr>
        <w:rPr>
          <w:lang w:val="en-GB"/>
        </w:rPr>
      </w:pPr>
    </w:p>
    <w:p w:rsidR="00394F6B" w:rsidRDefault="00394F6B" w:rsidP="00394F6B">
      <w:pPr>
        <w:rPr>
          <w:lang w:val="en-GB"/>
        </w:rPr>
      </w:pPr>
    </w:p>
    <w:p w:rsidR="00394F6B" w:rsidRDefault="00394F6B" w:rsidP="00394F6B">
      <w:pPr>
        <w:rPr>
          <w:lang w:val="en-GB"/>
        </w:rPr>
      </w:pPr>
    </w:p>
    <w:p w:rsidR="00394F6B" w:rsidRPr="00F603C0" w:rsidRDefault="00394F6B" w:rsidP="00394F6B">
      <w:pPr>
        <w:rPr>
          <w:lang w:val="en-GB"/>
        </w:rPr>
      </w:pPr>
    </w:p>
    <w:p w:rsidR="008A7440" w:rsidRPr="00394F6B" w:rsidRDefault="008A7440">
      <w:pPr>
        <w:rPr>
          <w:lang w:val="en-GB"/>
        </w:rPr>
      </w:pPr>
    </w:p>
    <w:sectPr w:rsidR="008A7440" w:rsidRPr="00394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6B"/>
    <w:rsid w:val="00394F6B"/>
    <w:rsid w:val="004B6783"/>
    <w:rsid w:val="008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F817"/>
  <w15:chartTrackingRefBased/>
  <w15:docId w15:val="{EFD29F68-8522-44FE-91F6-A41383AC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4F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94F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394F6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CWZ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van Drumpt</dc:creator>
  <cp:keywords/>
  <dc:description/>
  <cp:lastModifiedBy>Joost van Drumpt</cp:lastModifiedBy>
  <cp:revision>2</cp:revision>
  <dcterms:created xsi:type="dcterms:W3CDTF">2025-06-12T15:08:00Z</dcterms:created>
  <dcterms:modified xsi:type="dcterms:W3CDTF">2025-06-19T10:17:00Z</dcterms:modified>
</cp:coreProperties>
</file>