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008FA" w14:textId="77777777" w:rsidR="00FE4938" w:rsidRPr="00FE4938" w:rsidRDefault="00FE4938" w:rsidP="00FE4938">
      <w:pPr>
        <w:spacing w:after="0" w:line="240" w:lineRule="auto"/>
        <w:rPr>
          <w:rFonts w:ascii="Times New Roman" w:eastAsia="Arial Unicode MS" w:hAnsi="Times New Roman" w:cs="Arial Unicode MS"/>
          <w:b/>
          <w:bCs/>
          <w:color w:val="000000"/>
          <w:sz w:val="28"/>
          <w:szCs w:val="28"/>
          <w:u w:val="single" w:color="000000"/>
        </w:rPr>
      </w:pPr>
      <w:r w:rsidRPr="00FE4938">
        <w:rPr>
          <w:rFonts w:ascii="Times New Roman" w:eastAsia="Arial Unicode MS" w:hAnsi="Times New Roman" w:cs="Arial Unicode MS"/>
          <w:b/>
          <w:bCs/>
          <w:color w:val="000000"/>
          <w:sz w:val="28"/>
          <w:szCs w:val="28"/>
          <w:u w:val="single" w:color="000000"/>
        </w:rPr>
        <w:t>Table of Content</w:t>
      </w:r>
    </w:p>
    <w:p w14:paraId="7A851F7B" w14:textId="77777777" w:rsidR="00FE4938" w:rsidRPr="003B6CF7" w:rsidRDefault="00FE4938" w:rsidP="00FE4938">
      <w:pPr>
        <w:spacing w:after="0" w:line="240" w:lineRule="auto"/>
        <w:rPr>
          <w:rFonts w:eastAsia="Arial Unicode MS" w:cstheme="minorHAnsi"/>
          <w:sz w:val="24"/>
          <w:szCs w:val="24"/>
          <w:u w:color="000000"/>
        </w:rPr>
      </w:pPr>
      <w:r w:rsidRPr="003B6CF7">
        <w:rPr>
          <w:rFonts w:eastAsia="Arial Unicode MS" w:cstheme="minorHAnsi"/>
          <w:sz w:val="24"/>
          <w:szCs w:val="24"/>
          <w:u w:color="000000"/>
        </w:rPr>
        <w:t>Appendix 1: Database search strategies, including search terms</w:t>
      </w:r>
    </w:p>
    <w:p w14:paraId="6015A885" w14:textId="23748FC1" w:rsidR="00FE4938" w:rsidRPr="003B6CF7" w:rsidRDefault="00FE4938" w:rsidP="00FE4938">
      <w:pPr>
        <w:spacing w:after="0" w:line="240" w:lineRule="auto"/>
        <w:rPr>
          <w:rFonts w:eastAsia="Arial Unicode MS" w:cstheme="minorHAnsi"/>
          <w:sz w:val="24"/>
          <w:szCs w:val="24"/>
          <w:u w:color="000000"/>
        </w:rPr>
      </w:pPr>
      <w:r w:rsidRPr="003B6CF7">
        <w:rPr>
          <w:rFonts w:eastAsia="Arial Unicode MS" w:cstheme="minorHAnsi"/>
          <w:sz w:val="24"/>
          <w:szCs w:val="24"/>
          <w:u w:color="000000"/>
        </w:rPr>
        <w:t xml:space="preserve">Appendix 2: </w:t>
      </w:r>
      <w:r w:rsidR="00D77B45" w:rsidRPr="003B6CF7">
        <w:rPr>
          <w:rFonts w:eastAsia="Arial Unicode MS" w:cstheme="minorHAnsi"/>
          <w:sz w:val="24"/>
          <w:szCs w:val="24"/>
          <w:u w:color="000000"/>
        </w:rPr>
        <w:t>Calculating means and comparison of means</w:t>
      </w:r>
    </w:p>
    <w:p w14:paraId="49BBAFE3" w14:textId="2D66A948" w:rsidR="00D77B45" w:rsidRPr="003B6CF7" w:rsidRDefault="00D77B45" w:rsidP="00FE4938">
      <w:pPr>
        <w:spacing w:after="0" w:line="240" w:lineRule="auto"/>
        <w:rPr>
          <w:rFonts w:eastAsia="Arial Unicode MS" w:cstheme="minorHAnsi"/>
          <w:sz w:val="24"/>
          <w:szCs w:val="24"/>
          <w:u w:color="000000"/>
        </w:rPr>
      </w:pPr>
      <w:r w:rsidRPr="003B6CF7">
        <w:rPr>
          <w:rFonts w:eastAsia="Arial Unicode MS" w:cstheme="minorHAnsi"/>
          <w:sz w:val="24"/>
          <w:szCs w:val="24"/>
          <w:u w:color="000000"/>
        </w:rPr>
        <w:t>Appendix 3: Common themes in the reasons for and consequences of stock-out</w:t>
      </w:r>
    </w:p>
    <w:p w14:paraId="1A32DA84" w14:textId="73773829" w:rsidR="00FE4938" w:rsidRPr="003B6CF7" w:rsidRDefault="00FE4938" w:rsidP="00FE4938">
      <w:pPr>
        <w:spacing w:after="0" w:line="240" w:lineRule="auto"/>
        <w:rPr>
          <w:rFonts w:eastAsia="Arial Unicode MS" w:cstheme="minorHAnsi"/>
          <w:sz w:val="24"/>
          <w:szCs w:val="24"/>
          <w:u w:color="000000"/>
        </w:rPr>
      </w:pPr>
      <w:r w:rsidRPr="003B6CF7">
        <w:rPr>
          <w:rFonts w:eastAsia="Arial Unicode MS" w:cstheme="minorHAnsi"/>
          <w:sz w:val="24"/>
          <w:szCs w:val="24"/>
          <w:u w:color="000000"/>
        </w:rPr>
        <w:t xml:space="preserve">Appendix 4: </w:t>
      </w:r>
      <w:r w:rsidR="00D77B45" w:rsidRPr="003B6CF7">
        <w:rPr>
          <w:rFonts w:eastAsia="Arial Unicode MS" w:cstheme="minorHAnsi"/>
          <w:sz w:val="24"/>
          <w:szCs w:val="24"/>
          <w:u w:color="000000"/>
        </w:rPr>
        <w:t>Findings from studies predating 2006</w:t>
      </w:r>
    </w:p>
    <w:p w14:paraId="3597C7CF" w14:textId="77777777" w:rsidR="00874B94" w:rsidRPr="003B6CF7" w:rsidRDefault="00FE4938" w:rsidP="00FE4938">
      <w:pPr>
        <w:spacing w:after="0" w:line="240" w:lineRule="auto"/>
        <w:rPr>
          <w:rFonts w:eastAsia="Arial Unicode MS" w:cstheme="minorHAnsi"/>
          <w:sz w:val="24"/>
          <w:szCs w:val="24"/>
          <w:u w:color="000000"/>
        </w:rPr>
      </w:pPr>
      <w:r w:rsidRPr="003B6CF7">
        <w:rPr>
          <w:rFonts w:eastAsia="Arial Unicode MS" w:cstheme="minorHAnsi"/>
          <w:sz w:val="24"/>
          <w:szCs w:val="24"/>
          <w:u w:color="000000"/>
        </w:rPr>
        <w:t xml:space="preserve">Appendix 5: </w:t>
      </w:r>
      <w:r w:rsidR="00874B94" w:rsidRPr="003B6CF7">
        <w:rPr>
          <w:rFonts w:eastAsia="Arial Unicode MS" w:cstheme="minorHAnsi"/>
          <w:sz w:val="24"/>
          <w:szCs w:val="24"/>
          <w:u w:color="000000"/>
          <w:lang w:val="en-AU"/>
        </w:rPr>
        <w:t>PRISMA diagram</w:t>
      </w:r>
      <w:r w:rsidR="00874B94" w:rsidRPr="003B6CF7">
        <w:rPr>
          <w:rFonts w:eastAsia="Arial Unicode MS" w:cstheme="minorHAnsi"/>
          <w:sz w:val="24"/>
          <w:szCs w:val="24"/>
          <w:u w:color="000000"/>
        </w:rPr>
        <w:t xml:space="preserve"> </w:t>
      </w:r>
    </w:p>
    <w:p w14:paraId="0C8C554E" w14:textId="1C4B53A1" w:rsidR="00FE4938" w:rsidRPr="003B6CF7" w:rsidRDefault="00FE4938" w:rsidP="00FE4938">
      <w:pPr>
        <w:spacing w:after="0" w:line="240" w:lineRule="auto"/>
        <w:rPr>
          <w:rFonts w:eastAsia="Arial Unicode MS" w:cstheme="minorHAnsi"/>
          <w:sz w:val="24"/>
          <w:szCs w:val="24"/>
          <w:u w:color="000000"/>
        </w:rPr>
      </w:pPr>
      <w:r w:rsidRPr="003B6CF7">
        <w:rPr>
          <w:rFonts w:eastAsia="Arial Unicode MS" w:cstheme="minorHAnsi"/>
          <w:sz w:val="24"/>
          <w:szCs w:val="24"/>
          <w:u w:color="000000"/>
        </w:rPr>
        <w:t xml:space="preserve">Appendix 6: </w:t>
      </w:r>
      <w:r w:rsidR="00874B94" w:rsidRPr="003B6CF7">
        <w:rPr>
          <w:rFonts w:eastAsia="Arial Unicode MS" w:cstheme="minorHAnsi"/>
          <w:sz w:val="24"/>
          <w:szCs w:val="24"/>
          <w:u w:color="000000"/>
        </w:rPr>
        <w:t>Risk of bias</w:t>
      </w:r>
      <w:r w:rsidR="00874B94" w:rsidRPr="003B6CF7">
        <w:rPr>
          <w:rFonts w:eastAsia="Times New Roman" w:cstheme="minorHAnsi"/>
          <w:sz w:val="24"/>
          <w:szCs w:val="24"/>
        </w:rPr>
        <w:t xml:space="preserve"> </w:t>
      </w:r>
      <w:r w:rsidR="00AA2DD6" w:rsidRPr="003B6CF7">
        <w:rPr>
          <w:rFonts w:eastAsia="Times New Roman" w:cstheme="minorHAnsi"/>
          <w:sz w:val="24"/>
          <w:szCs w:val="24"/>
        </w:rPr>
        <w:t xml:space="preserve">of the quantitative findings using </w:t>
      </w:r>
      <w:r w:rsidR="00874B94" w:rsidRPr="003B6CF7">
        <w:rPr>
          <w:rFonts w:eastAsia="Arial Unicode MS" w:cstheme="minorHAnsi"/>
          <w:sz w:val="24"/>
          <w:szCs w:val="24"/>
          <w:u w:color="000000"/>
        </w:rPr>
        <w:t>ROBINS I</w:t>
      </w:r>
    </w:p>
    <w:p w14:paraId="0E67FA3A" w14:textId="53BA125B" w:rsidR="00874B94" w:rsidRDefault="00874B94" w:rsidP="00874B94">
      <w:pPr>
        <w:spacing w:after="0" w:line="240" w:lineRule="auto"/>
        <w:rPr>
          <w:rFonts w:eastAsia="Arial Unicode MS" w:cstheme="minorHAnsi"/>
          <w:sz w:val="24"/>
          <w:szCs w:val="24"/>
          <w:u w:color="000000"/>
        </w:rPr>
      </w:pPr>
      <w:r w:rsidRPr="003B6CF7">
        <w:rPr>
          <w:rFonts w:eastAsia="Arial Unicode MS" w:cstheme="minorHAnsi"/>
          <w:sz w:val="24"/>
          <w:szCs w:val="24"/>
          <w:u w:color="000000"/>
        </w:rPr>
        <w:t xml:space="preserve">Appendix 7: Quality of evidence </w:t>
      </w:r>
      <w:r w:rsidR="00AA2DD6" w:rsidRPr="003B6CF7">
        <w:rPr>
          <w:rFonts w:eastAsia="Arial Unicode MS" w:cstheme="minorHAnsi"/>
          <w:sz w:val="24"/>
          <w:szCs w:val="24"/>
          <w:u w:color="000000"/>
        </w:rPr>
        <w:t xml:space="preserve">of the qualitative findings </w:t>
      </w:r>
      <w:r w:rsidRPr="003B6CF7">
        <w:rPr>
          <w:rFonts w:eastAsia="Arial Unicode MS" w:cstheme="minorHAnsi"/>
          <w:sz w:val="24"/>
          <w:szCs w:val="24"/>
          <w:u w:color="000000"/>
        </w:rPr>
        <w:t>using GRADE CERTQual</w:t>
      </w:r>
    </w:p>
    <w:p w14:paraId="245F01CE" w14:textId="69159585" w:rsidR="001548D3" w:rsidRPr="003B6CF7" w:rsidRDefault="00D31B16" w:rsidP="00874B94">
      <w:pPr>
        <w:spacing w:after="0" w:line="240" w:lineRule="auto"/>
        <w:rPr>
          <w:rFonts w:eastAsia="Arial Unicode MS" w:cstheme="minorHAnsi"/>
          <w:sz w:val="24"/>
          <w:szCs w:val="24"/>
          <w:u w:color="000000"/>
        </w:rPr>
      </w:pPr>
      <w:r>
        <w:rPr>
          <w:rFonts w:eastAsia="Arial Unicode MS" w:cstheme="minorHAnsi"/>
          <w:sz w:val="24"/>
          <w:szCs w:val="24"/>
          <w:u w:color="000000"/>
        </w:rPr>
        <w:t>Appendix 8: Completed PRISMA checklist</w:t>
      </w:r>
    </w:p>
    <w:p w14:paraId="7EB15B96" w14:textId="77777777" w:rsidR="00FE4938" w:rsidRPr="003B6CF7" w:rsidRDefault="00FE4938" w:rsidP="00FE4938">
      <w:pPr>
        <w:spacing w:after="0" w:line="240" w:lineRule="auto"/>
        <w:rPr>
          <w:rFonts w:eastAsia="Arial Unicode MS" w:cstheme="minorHAnsi"/>
          <w:b/>
          <w:bCs/>
          <w:sz w:val="24"/>
          <w:szCs w:val="24"/>
          <w:u w:color="000000"/>
        </w:rPr>
      </w:pPr>
    </w:p>
    <w:p w14:paraId="751389EB" w14:textId="52DE0ABC" w:rsidR="00FE4938" w:rsidRPr="003B6CF7" w:rsidRDefault="00FE4938" w:rsidP="00FE4938">
      <w:pPr>
        <w:spacing w:after="0" w:line="240" w:lineRule="auto"/>
        <w:rPr>
          <w:rFonts w:eastAsia="Arial Unicode MS" w:cstheme="minorHAnsi"/>
          <w:b/>
          <w:bCs/>
          <w:sz w:val="24"/>
          <w:szCs w:val="24"/>
          <w:u w:color="000000"/>
        </w:rPr>
      </w:pPr>
      <w:r w:rsidRPr="003B6CF7">
        <w:rPr>
          <w:rFonts w:eastAsia="Arial Unicode MS" w:cstheme="minorHAnsi"/>
          <w:b/>
          <w:bCs/>
          <w:sz w:val="24"/>
          <w:szCs w:val="24"/>
          <w:u w:color="000000"/>
        </w:rPr>
        <w:t>Appendix 1. Database search strategies, including search terms</w:t>
      </w:r>
    </w:p>
    <w:p w14:paraId="2B4EBA0C" w14:textId="36EA050F" w:rsidR="00480E20" w:rsidRPr="003B6CF7" w:rsidRDefault="00480E20" w:rsidP="00FE4938">
      <w:pPr>
        <w:spacing w:after="0" w:line="240" w:lineRule="auto"/>
        <w:rPr>
          <w:rFonts w:eastAsia="Arial Unicode MS" w:cstheme="minorHAnsi"/>
          <w:sz w:val="24"/>
          <w:szCs w:val="24"/>
          <w:u w:color="000000"/>
        </w:rPr>
      </w:pPr>
      <w:r w:rsidRPr="003B6CF7">
        <w:rPr>
          <w:rFonts w:eastAsia="Arial Unicode MS" w:cstheme="minorHAnsi"/>
          <w:sz w:val="24"/>
          <w:szCs w:val="24"/>
          <w:u w:val="single" w:color="000000"/>
        </w:rPr>
        <w:t>Table 1</w:t>
      </w:r>
      <w:r w:rsidRPr="003B6CF7">
        <w:rPr>
          <w:rFonts w:eastAsia="Arial Unicode MS" w:cstheme="minorHAnsi"/>
          <w:sz w:val="24"/>
          <w:szCs w:val="24"/>
          <w:u w:color="000000"/>
        </w:rPr>
        <w:t>: Study databases and search strategy</w:t>
      </w:r>
    </w:p>
    <w:tbl>
      <w:tblPr>
        <w:tblW w:w="11152" w:type="dxa"/>
        <w:tblInd w:w="-910" w:type="dxa"/>
        <w:shd w:val="clear" w:color="auto" w:fill="CED7E7"/>
        <w:tblLayout w:type="fixed"/>
        <w:tblLook w:val="0000" w:firstRow="0" w:lastRow="0" w:firstColumn="0" w:lastColumn="0" w:noHBand="0" w:noVBand="0"/>
      </w:tblPr>
      <w:tblGrid>
        <w:gridCol w:w="2520"/>
        <w:gridCol w:w="8632"/>
      </w:tblGrid>
      <w:tr w:rsidR="00FE4938" w:rsidRPr="00FE4938" w14:paraId="1F4CA057" w14:textId="77777777" w:rsidTr="00FE4938">
        <w:trPr>
          <w:cantSplit/>
          <w:trHeight w:val="325"/>
        </w:trPr>
        <w:tc>
          <w:tcPr>
            <w:tcW w:w="2520" w:type="dxa"/>
            <w:tcBorders>
              <w:top w:val="single" w:sz="8" w:space="0" w:color="000000"/>
              <w:left w:val="single" w:sz="8" w:space="0" w:color="000000"/>
              <w:bottom w:val="single" w:sz="8" w:space="0" w:color="000000"/>
              <w:right w:val="single" w:sz="8" w:space="0" w:color="000000"/>
            </w:tcBorders>
            <w:shd w:val="clear" w:color="auto" w:fill="CFE2F3"/>
            <w:tcMar>
              <w:top w:w="80" w:type="dxa"/>
              <w:left w:w="80" w:type="dxa"/>
              <w:bottom w:w="80" w:type="dxa"/>
              <w:right w:w="80" w:type="dxa"/>
            </w:tcMar>
          </w:tcPr>
          <w:p w14:paraId="099EE31A" w14:textId="77777777" w:rsidR="00FE4938" w:rsidRPr="00FE4938" w:rsidRDefault="00FE4938" w:rsidP="00FE4938">
            <w:pPr>
              <w:widowControl w:val="0"/>
              <w:spacing w:after="0" w:line="240" w:lineRule="auto"/>
              <w:rPr>
                <w:rFonts w:ascii="Times New Roman" w:eastAsia="Arial Unicode MS" w:hAnsi="Times New Roman" w:cs="Arial Unicode MS"/>
                <w:b/>
                <w:bCs/>
                <w:color w:val="000000"/>
                <w:sz w:val="24"/>
                <w:szCs w:val="24"/>
                <w:u w:color="000000"/>
              </w:rPr>
            </w:pPr>
            <w:r w:rsidRPr="00FE4938">
              <w:rPr>
                <w:rFonts w:ascii="Times New Roman" w:eastAsia="Arial Unicode MS" w:hAnsi="Times New Roman" w:cs="Arial Unicode MS"/>
                <w:b/>
                <w:bCs/>
                <w:color w:val="000000"/>
                <w:sz w:val="24"/>
                <w:szCs w:val="24"/>
                <w:u w:color="000000"/>
              </w:rPr>
              <w:t xml:space="preserve">Database(s) </w:t>
            </w:r>
          </w:p>
        </w:tc>
        <w:tc>
          <w:tcPr>
            <w:tcW w:w="8632" w:type="dxa"/>
            <w:tcBorders>
              <w:top w:val="single" w:sz="8" w:space="0" w:color="000000"/>
              <w:left w:val="single" w:sz="8" w:space="0" w:color="000000"/>
              <w:bottom w:val="single" w:sz="8" w:space="0" w:color="000000"/>
              <w:right w:val="single" w:sz="8" w:space="0" w:color="000000"/>
            </w:tcBorders>
            <w:shd w:val="clear" w:color="auto" w:fill="CFE2F3"/>
            <w:tcMar>
              <w:top w:w="80" w:type="dxa"/>
              <w:left w:w="80" w:type="dxa"/>
              <w:bottom w:w="80" w:type="dxa"/>
              <w:right w:w="80" w:type="dxa"/>
            </w:tcMar>
          </w:tcPr>
          <w:p w14:paraId="2F7B111F" w14:textId="77777777" w:rsidR="00FE4938" w:rsidRPr="00FE4938" w:rsidRDefault="00FE4938" w:rsidP="00FE4938">
            <w:pPr>
              <w:widowControl w:val="0"/>
              <w:spacing w:after="0" w:line="240" w:lineRule="auto"/>
              <w:rPr>
                <w:rFonts w:ascii="Times New Roman" w:eastAsia="Arial Unicode MS" w:hAnsi="Times New Roman" w:cs="Arial Unicode MS"/>
                <w:b/>
                <w:bCs/>
                <w:color w:val="000000"/>
                <w:sz w:val="24"/>
                <w:szCs w:val="24"/>
                <w:u w:color="000000"/>
              </w:rPr>
            </w:pPr>
            <w:r w:rsidRPr="00FE4938">
              <w:rPr>
                <w:rFonts w:ascii="Times New Roman" w:eastAsia="Arial Unicode MS" w:hAnsi="Times New Roman" w:cs="Arial Unicode MS"/>
                <w:b/>
                <w:bCs/>
                <w:color w:val="000000"/>
                <w:sz w:val="24"/>
                <w:szCs w:val="24"/>
                <w:u w:color="000000"/>
              </w:rPr>
              <w:t xml:space="preserve">Search strategy </w:t>
            </w:r>
          </w:p>
        </w:tc>
      </w:tr>
      <w:tr w:rsidR="00FE4938" w:rsidRPr="00FE4938" w14:paraId="2BED1E9D" w14:textId="77777777" w:rsidTr="00FE4938">
        <w:trPr>
          <w:cantSplit/>
          <w:trHeight w:val="3479"/>
        </w:trPr>
        <w:tc>
          <w:tcPr>
            <w:tcW w:w="252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9AFE76C" w14:textId="77777777" w:rsidR="00FE4938" w:rsidRPr="00FE4938" w:rsidRDefault="00FE4938" w:rsidP="00FE4938">
            <w:pPr>
              <w:widowControl w:val="0"/>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 xml:space="preserve">PubMed </w:t>
            </w:r>
          </w:p>
        </w:tc>
        <w:tc>
          <w:tcPr>
            <w:tcW w:w="86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C4DEE74" w14:textId="77777777" w:rsidR="00FE4938" w:rsidRPr="00FE4938" w:rsidRDefault="00FE4938" w:rsidP="00FE4938">
            <w:pPr>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("community health workers"[MESH] OR community health distributor[Title/Abstract]  OR community health surveyors[Title/Abstract] OR community health assistants[Title/Abstract]  OR community health promoters[Title/Abstract]  OR female community health volunteers[Title/Abstract] OR health extension workers[Title/Abstract] OR  health surveillance assistant[Title/Abstract]  OR community based volunteers[Title/Abstract]  OR lay health workers[Title/Abstract]  OR lady health workers[Title/Abstract] OR volunteer health worker[Title/Abstract] OR voluntary health worker[Title/Abstract])</w:t>
            </w:r>
          </w:p>
          <w:p w14:paraId="64C1B846" w14:textId="77777777" w:rsidR="00FE4938" w:rsidRPr="00FE4938" w:rsidRDefault="00FE4938" w:rsidP="00FE4938">
            <w:pPr>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AND</w:t>
            </w:r>
          </w:p>
          <w:p w14:paraId="76C730FD" w14:textId="77777777" w:rsidR="00FE4938" w:rsidRPr="00FE4938" w:rsidRDefault="00FE4938" w:rsidP="00FE4938">
            <w:pPr>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 xml:space="preserve">(products[Title/Abstract] OR product[title/abstract] OR commodities[Title/Abstract] OR commodity[title/abstract] OR supplies[Title/Abstract] OR supply[title/abstract]) </w:t>
            </w:r>
          </w:p>
          <w:p w14:paraId="52AF58C3" w14:textId="77777777" w:rsidR="00FE4938" w:rsidRPr="00FE4938" w:rsidRDefault="00FE4938" w:rsidP="00FE4938">
            <w:pPr>
              <w:widowControl w:val="0"/>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 xml:space="preserve">Restriction applied </w:t>
            </w:r>
          </w:p>
        </w:tc>
      </w:tr>
      <w:tr w:rsidR="00FE4938" w:rsidRPr="00FE4938" w14:paraId="269C1C53" w14:textId="77777777" w:rsidTr="00FE4938">
        <w:trPr>
          <w:cantSplit/>
          <w:trHeight w:val="2533"/>
        </w:trPr>
        <w:tc>
          <w:tcPr>
            <w:tcW w:w="252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2BC247B" w14:textId="77777777" w:rsidR="00FE4938" w:rsidRPr="00FE4938" w:rsidRDefault="00FE4938" w:rsidP="00FE4938">
            <w:pPr>
              <w:widowControl w:val="0"/>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Global Health via Ovid</w:t>
            </w:r>
          </w:p>
        </w:tc>
        <w:tc>
          <w:tcPr>
            <w:tcW w:w="86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6D06C68" w14:textId="77777777" w:rsidR="00FE4938" w:rsidRPr="00FE4938" w:rsidRDefault="00FE4938" w:rsidP="00FE4938">
            <w:pPr>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("community health workers" OR "community health distributor" OR "community health surveyors" OR "community health assistants" OR "community health promoters” OR "female community health volunteers" OR "health extension workers" OR  "health surveillance assistant"  OR "community based volunteers"  OR "lay health workers" OR "lady health workers" OR "volunteer health worker" OR "voluntary health worker")</w:t>
            </w:r>
          </w:p>
          <w:p w14:paraId="44DBB6EF" w14:textId="77777777" w:rsidR="00FE4938" w:rsidRPr="00FE4938" w:rsidRDefault="00FE4938" w:rsidP="00FE4938">
            <w:pPr>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AND</w:t>
            </w:r>
          </w:p>
          <w:p w14:paraId="3C05D0E8" w14:textId="77777777" w:rsidR="00FE4938" w:rsidRPr="00FE4938" w:rsidRDefault="00FE4938" w:rsidP="00FE4938">
            <w:pPr>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 xml:space="preserve">(products OR product OR commodities OR commodity OR supplies OR supply) </w:t>
            </w:r>
          </w:p>
          <w:p w14:paraId="462C2534" w14:textId="77777777" w:rsidR="00FE4938" w:rsidRPr="00FE4938" w:rsidRDefault="00FE4938" w:rsidP="00FE4938">
            <w:pPr>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 xml:space="preserve">Restriction applied </w:t>
            </w:r>
          </w:p>
        </w:tc>
      </w:tr>
      <w:tr w:rsidR="00FE4938" w:rsidRPr="00FE4938" w14:paraId="57905218" w14:textId="77777777" w:rsidTr="00FE4938">
        <w:trPr>
          <w:cantSplit/>
          <w:trHeight w:val="325"/>
        </w:trPr>
        <w:tc>
          <w:tcPr>
            <w:tcW w:w="252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DF76D39" w14:textId="77777777" w:rsidR="00FE4938" w:rsidRPr="00FE4938" w:rsidRDefault="00FE4938" w:rsidP="00FE4938">
            <w:pPr>
              <w:widowControl w:val="0"/>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 xml:space="preserve">Web of Science </w:t>
            </w:r>
          </w:p>
        </w:tc>
        <w:tc>
          <w:tcPr>
            <w:tcW w:w="86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8261214" w14:textId="77777777" w:rsidR="00FE4938" w:rsidRPr="00FE4938" w:rsidRDefault="00FE4938" w:rsidP="00FE4938">
            <w:pPr>
              <w:widowControl w:val="0"/>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Please see above (Global Health via Ovid strategy)</w:t>
            </w:r>
          </w:p>
        </w:tc>
      </w:tr>
      <w:tr w:rsidR="00FE4938" w:rsidRPr="00FE4938" w14:paraId="60022519" w14:textId="77777777" w:rsidTr="00FE4938">
        <w:trPr>
          <w:cantSplit/>
          <w:trHeight w:val="325"/>
        </w:trPr>
        <w:tc>
          <w:tcPr>
            <w:tcW w:w="252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6AA51D6" w14:textId="77777777" w:rsidR="00FE4938" w:rsidRPr="00FE4938" w:rsidRDefault="00FE4938" w:rsidP="00FE4938">
            <w:pPr>
              <w:widowControl w:val="0"/>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 xml:space="preserve">Embase via OVID </w:t>
            </w:r>
          </w:p>
        </w:tc>
        <w:tc>
          <w:tcPr>
            <w:tcW w:w="86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F1266E4" w14:textId="77777777" w:rsidR="00FE4938" w:rsidRPr="00FE4938" w:rsidRDefault="00FE4938" w:rsidP="00FE4938">
            <w:pPr>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Please see above (Global Health via Ovid strategy)</w:t>
            </w:r>
          </w:p>
        </w:tc>
      </w:tr>
      <w:tr w:rsidR="00FE4938" w:rsidRPr="00FE4938" w14:paraId="68F74E39" w14:textId="77777777" w:rsidTr="00FE4938">
        <w:trPr>
          <w:cantSplit/>
          <w:trHeight w:val="226"/>
        </w:trPr>
        <w:tc>
          <w:tcPr>
            <w:tcW w:w="252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D561BFA" w14:textId="77777777" w:rsidR="00FE4938" w:rsidRPr="00FE4938" w:rsidRDefault="00FE4938" w:rsidP="00FE4938">
            <w:pPr>
              <w:widowControl w:val="0"/>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Google scholars</w:t>
            </w:r>
          </w:p>
        </w:tc>
        <w:tc>
          <w:tcPr>
            <w:tcW w:w="863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B7C353C" w14:textId="77777777" w:rsidR="00FE4938" w:rsidRPr="00FE4938" w:rsidRDefault="00FE4938" w:rsidP="00FE4938">
            <w:pPr>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(community health worker OR community health distributor OR community health promoter OR OR lady health worker OR volunteer health worker) AND</w:t>
            </w:r>
          </w:p>
          <w:p w14:paraId="671342D2" w14:textId="77777777" w:rsidR="00FE4938" w:rsidRPr="00FE4938" w:rsidRDefault="00FE4938" w:rsidP="00FE4938">
            <w:pPr>
              <w:spacing w:after="0" w:line="240" w:lineRule="auto"/>
              <w:rPr>
                <w:rFonts w:ascii="Times New Roman" w:eastAsia="Arial Unicode MS" w:hAnsi="Times New Roman" w:cs="Arial Unicode MS"/>
                <w:color w:val="000000"/>
                <w:sz w:val="24"/>
                <w:szCs w:val="24"/>
                <w:u w:color="000000"/>
              </w:rPr>
            </w:pPr>
            <w:r w:rsidRPr="00FE4938">
              <w:rPr>
                <w:rFonts w:ascii="Times New Roman" w:eastAsia="Arial Unicode MS" w:hAnsi="Times New Roman" w:cs="Arial Unicode MS"/>
                <w:color w:val="000000"/>
                <w:sz w:val="24"/>
                <w:szCs w:val="24"/>
                <w:u w:color="000000"/>
              </w:rPr>
              <w:t xml:space="preserve">(product OR commodity OR supply) </w:t>
            </w:r>
          </w:p>
        </w:tc>
      </w:tr>
    </w:tbl>
    <w:p w14:paraId="7280DC09" w14:textId="77777777" w:rsidR="00FE4938" w:rsidRPr="00FE4938" w:rsidRDefault="00FE4938" w:rsidP="00FE4938">
      <w:pPr>
        <w:widowControl w:val="0"/>
        <w:spacing w:after="0" w:line="240" w:lineRule="auto"/>
        <w:ind w:left="100" w:hanging="100"/>
        <w:rPr>
          <w:rFonts w:ascii="Times New Roman" w:eastAsia="Arial Unicode MS" w:hAnsi="Times New Roman" w:cs="Arial Unicode MS"/>
          <w:color w:val="000000"/>
          <w:sz w:val="24"/>
          <w:szCs w:val="24"/>
          <w:u w:color="000000"/>
        </w:rPr>
      </w:pPr>
    </w:p>
    <w:p w14:paraId="548644B9" w14:textId="77777777" w:rsidR="00FE4938" w:rsidRPr="00FE4938" w:rsidRDefault="00FE4938" w:rsidP="00FE4938">
      <w:pPr>
        <w:spacing w:after="0" w:line="240" w:lineRule="auto"/>
        <w:rPr>
          <w:rFonts w:ascii="Times New Roman" w:eastAsia="Arial Unicode MS" w:hAnsi="Times New Roman" w:cs="Arial Unicode MS"/>
          <w:color w:val="000000"/>
          <w:sz w:val="24"/>
          <w:szCs w:val="24"/>
          <w:u w:color="000000"/>
        </w:rPr>
      </w:pPr>
    </w:p>
    <w:p w14:paraId="5E823710" w14:textId="77777777" w:rsidR="00691EB0" w:rsidRDefault="00691EB0">
      <w:pPr>
        <w:rPr>
          <w:rFonts w:ascii="Times New Roman" w:eastAsia="Arial Unicode MS" w:hAnsi="Times New Roman" w:cs="Arial Unicode MS"/>
          <w:b/>
          <w:bCs/>
          <w:i/>
          <w:iCs/>
          <w:color w:val="000000"/>
          <w:sz w:val="24"/>
          <w:szCs w:val="24"/>
          <w:u w:color="000000"/>
        </w:rPr>
        <w:sectPr w:rsidR="00691EB0" w:rsidSect="00691EB0">
          <w:headerReference w:type="default" r:id="rId8"/>
          <w:pgSz w:w="12240" w:h="15840"/>
          <w:pgMar w:top="1440" w:right="1089" w:bottom="1440" w:left="1440" w:header="0" w:footer="720" w:gutter="0"/>
          <w:pgNumType w:start="1"/>
          <w:cols w:space="720"/>
          <w:docGrid w:linePitch="299"/>
        </w:sectPr>
      </w:pPr>
    </w:p>
    <w:p w14:paraId="0189ACFE" w14:textId="54EBDE64" w:rsidR="000135AF" w:rsidRPr="00480E20" w:rsidRDefault="00480E20" w:rsidP="00480E20">
      <w:pPr>
        <w:rPr>
          <w:rFonts w:ascii="Times New Roman" w:eastAsia="Arial Unicode MS" w:hAnsi="Times New Roman" w:cs="Arial Unicode MS"/>
          <w:b/>
          <w:bCs/>
          <w:color w:val="000000"/>
          <w:sz w:val="24"/>
          <w:szCs w:val="24"/>
          <w:u w:color="000000"/>
        </w:rPr>
      </w:pPr>
      <w:r>
        <w:rPr>
          <w:rFonts w:ascii="Times New Roman" w:eastAsia="Arial Unicode MS" w:hAnsi="Times New Roman" w:cs="Arial Unicode MS"/>
          <w:b/>
          <w:bCs/>
          <w:color w:val="000000"/>
          <w:sz w:val="24"/>
          <w:szCs w:val="24"/>
          <w:u w:color="000000"/>
        </w:rPr>
        <w:lastRenderedPageBreak/>
        <w:t>Appendix 2</w:t>
      </w:r>
      <w:r w:rsidRPr="00480E20">
        <w:rPr>
          <w:rFonts w:ascii="Times New Roman" w:eastAsia="Arial Unicode MS" w:hAnsi="Times New Roman" w:cs="Arial Unicode MS"/>
          <w:b/>
          <w:bCs/>
          <w:color w:val="000000"/>
          <w:sz w:val="24"/>
          <w:szCs w:val="24"/>
          <w:u w:color="000000"/>
        </w:rPr>
        <w:t>.</w:t>
      </w:r>
      <w:r>
        <w:rPr>
          <w:rFonts w:ascii="Times New Roman" w:eastAsia="Arial Unicode MS" w:hAnsi="Times New Roman" w:cs="Arial Unicode MS"/>
          <w:b/>
          <w:bCs/>
          <w:color w:val="000000"/>
          <w:sz w:val="24"/>
          <w:szCs w:val="24"/>
          <w:u w:color="000000"/>
        </w:rPr>
        <w:t xml:space="preserve"> </w:t>
      </w:r>
      <w:r w:rsidR="000135AF" w:rsidRPr="00480E20">
        <w:rPr>
          <w:rFonts w:ascii="Times New Roman" w:eastAsia="Arial Unicode MS" w:hAnsi="Times New Roman" w:cs="Arial Unicode MS"/>
          <w:b/>
          <w:bCs/>
          <w:color w:val="000000"/>
          <w:sz w:val="24"/>
          <w:szCs w:val="24"/>
          <w:u w:color="000000"/>
        </w:rPr>
        <w:t>Calculat</w:t>
      </w:r>
      <w:r w:rsidR="0029213B" w:rsidRPr="00480E20">
        <w:rPr>
          <w:rFonts w:ascii="Times New Roman" w:eastAsia="Arial Unicode MS" w:hAnsi="Times New Roman" w:cs="Arial Unicode MS"/>
          <w:b/>
          <w:bCs/>
          <w:color w:val="000000"/>
          <w:sz w:val="24"/>
          <w:szCs w:val="24"/>
          <w:u w:color="000000"/>
        </w:rPr>
        <w:t xml:space="preserve">ing </w:t>
      </w:r>
      <w:r w:rsidR="000135AF" w:rsidRPr="00480E20">
        <w:rPr>
          <w:rFonts w:ascii="Times New Roman" w:eastAsia="Arial Unicode MS" w:hAnsi="Times New Roman" w:cs="Arial Unicode MS"/>
          <w:b/>
          <w:bCs/>
          <w:color w:val="000000"/>
          <w:sz w:val="24"/>
          <w:szCs w:val="24"/>
          <w:u w:color="000000"/>
        </w:rPr>
        <w:t xml:space="preserve">means </w:t>
      </w:r>
      <w:r w:rsidR="0029213B" w:rsidRPr="00480E20">
        <w:rPr>
          <w:rFonts w:ascii="Times New Roman" w:eastAsia="Arial Unicode MS" w:hAnsi="Times New Roman" w:cs="Arial Unicode MS"/>
          <w:b/>
          <w:bCs/>
          <w:color w:val="000000"/>
          <w:sz w:val="24"/>
          <w:szCs w:val="24"/>
          <w:u w:color="000000"/>
        </w:rPr>
        <w:t xml:space="preserve">and </w:t>
      </w:r>
      <w:r w:rsidR="00AA2DD6">
        <w:rPr>
          <w:rFonts w:ascii="Times New Roman" w:eastAsia="Arial Unicode MS" w:hAnsi="Times New Roman" w:cs="Arial Unicode MS"/>
          <w:b/>
          <w:bCs/>
          <w:color w:val="000000"/>
          <w:sz w:val="24"/>
          <w:szCs w:val="24"/>
          <w:u w:color="000000"/>
        </w:rPr>
        <w:t xml:space="preserve">comparison of means </w:t>
      </w:r>
      <w:r w:rsidR="000135AF" w:rsidRPr="00480E20">
        <w:rPr>
          <w:rFonts w:ascii="Times New Roman" w:eastAsia="Arial Unicode MS" w:hAnsi="Times New Roman" w:cs="Arial Unicode MS"/>
          <w:b/>
          <w:bCs/>
          <w:color w:val="000000"/>
          <w:sz w:val="24"/>
          <w:szCs w:val="24"/>
          <w:u w:color="000000"/>
        </w:rPr>
        <w:t xml:space="preserve"> </w:t>
      </w:r>
    </w:p>
    <w:p w14:paraId="24FA2237" w14:textId="07B20106" w:rsidR="00A608C4" w:rsidRDefault="00480E20" w:rsidP="00480E20">
      <w:pPr>
        <w:spacing w:after="0"/>
        <w:rPr>
          <w:rFonts w:ascii="Times New Roman" w:eastAsia="Arial Unicode MS" w:hAnsi="Times New Roman" w:cs="Arial Unicode MS"/>
          <w:color w:val="000000"/>
          <w:sz w:val="24"/>
          <w:szCs w:val="24"/>
          <w:u w:color="000000"/>
        </w:rPr>
      </w:pPr>
      <w:r w:rsidRPr="00480E20">
        <w:rPr>
          <w:u w:val="single" w:color="000000"/>
        </w:rPr>
        <w:t xml:space="preserve">Table </w:t>
      </w:r>
      <w:r>
        <w:rPr>
          <w:u w:val="single" w:color="000000"/>
        </w:rPr>
        <w:t>2</w:t>
      </w:r>
      <w:r>
        <w:rPr>
          <w:u w:color="000000"/>
        </w:rPr>
        <w:t xml:space="preserve">: </w:t>
      </w:r>
      <w:r>
        <w:t>Summary of findings from studies that assessed stock-out of essential medicine</w:t>
      </w:r>
    </w:p>
    <w:tbl>
      <w:tblPr>
        <w:tblW w:w="14575" w:type="dxa"/>
        <w:jc w:val="center"/>
        <w:tblLook w:val="04A0" w:firstRow="1" w:lastRow="0" w:firstColumn="1" w:lastColumn="0" w:noHBand="0" w:noVBand="1"/>
      </w:tblPr>
      <w:tblGrid>
        <w:gridCol w:w="1789"/>
        <w:gridCol w:w="1849"/>
        <w:gridCol w:w="1577"/>
        <w:gridCol w:w="1141"/>
        <w:gridCol w:w="1425"/>
        <w:gridCol w:w="1710"/>
        <w:gridCol w:w="1806"/>
        <w:gridCol w:w="1568"/>
        <w:gridCol w:w="1710"/>
      </w:tblGrid>
      <w:tr w:rsidR="00A67FDD" w:rsidRPr="00A67FDD" w14:paraId="07BA89ED" w14:textId="77777777" w:rsidTr="00263554">
        <w:trPr>
          <w:trHeight w:val="600"/>
          <w:jc w:val="center"/>
        </w:trPr>
        <w:tc>
          <w:tcPr>
            <w:tcW w:w="1789" w:type="dxa"/>
            <w:tcBorders>
              <w:top w:val="single" w:sz="4" w:space="0" w:color="auto"/>
              <w:left w:val="single" w:sz="4" w:space="0" w:color="auto"/>
              <w:bottom w:val="single" w:sz="4" w:space="0" w:color="auto"/>
              <w:right w:val="single" w:sz="4" w:space="0" w:color="auto"/>
            </w:tcBorders>
            <w:shd w:val="clear" w:color="auto" w:fill="auto"/>
            <w:hideMark/>
          </w:tcPr>
          <w:p w14:paraId="5E941AFA" w14:textId="77777777" w:rsidR="00A67FDD" w:rsidRPr="00A67FDD" w:rsidRDefault="00A67FDD" w:rsidP="00A67FDD">
            <w:pPr>
              <w:spacing w:after="0" w:line="240" w:lineRule="auto"/>
              <w:rPr>
                <w:rFonts w:ascii="Calibri" w:eastAsia="Times New Roman" w:hAnsi="Calibri" w:cs="Calibri"/>
                <w:b/>
                <w:bCs/>
                <w:color w:val="000000"/>
              </w:rPr>
            </w:pPr>
            <w:r w:rsidRPr="00A67FDD">
              <w:rPr>
                <w:rFonts w:ascii="Calibri" w:eastAsia="Times New Roman" w:hAnsi="Calibri" w:cs="Calibri"/>
                <w:b/>
                <w:bCs/>
                <w:color w:val="000000"/>
              </w:rPr>
              <w:t>Author</w:t>
            </w:r>
          </w:p>
        </w:tc>
        <w:tc>
          <w:tcPr>
            <w:tcW w:w="1849" w:type="dxa"/>
            <w:tcBorders>
              <w:top w:val="single" w:sz="4" w:space="0" w:color="auto"/>
              <w:left w:val="nil"/>
              <w:bottom w:val="single" w:sz="4" w:space="0" w:color="auto"/>
              <w:right w:val="single" w:sz="4" w:space="0" w:color="auto"/>
            </w:tcBorders>
            <w:shd w:val="clear" w:color="auto" w:fill="auto"/>
            <w:hideMark/>
          </w:tcPr>
          <w:p w14:paraId="72DBDB3C" w14:textId="77777777" w:rsidR="00A67FDD" w:rsidRPr="00A67FDD" w:rsidRDefault="00A67FDD" w:rsidP="00A67FDD">
            <w:pPr>
              <w:spacing w:after="0" w:line="240" w:lineRule="auto"/>
              <w:rPr>
                <w:rFonts w:ascii="Calibri" w:eastAsia="Times New Roman" w:hAnsi="Calibri" w:cs="Calibri"/>
                <w:b/>
                <w:bCs/>
                <w:color w:val="000000"/>
              </w:rPr>
            </w:pPr>
            <w:r w:rsidRPr="00A67FDD">
              <w:rPr>
                <w:rFonts w:ascii="Calibri" w:eastAsia="Times New Roman" w:hAnsi="Calibri" w:cs="Calibri"/>
                <w:b/>
                <w:bCs/>
                <w:color w:val="000000"/>
              </w:rPr>
              <w:t>Study design</w:t>
            </w:r>
          </w:p>
        </w:tc>
        <w:tc>
          <w:tcPr>
            <w:tcW w:w="1577" w:type="dxa"/>
            <w:tcBorders>
              <w:top w:val="single" w:sz="4" w:space="0" w:color="auto"/>
              <w:left w:val="nil"/>
              <w:bottom w:val="single" w:sz="4" w:space="0" w:color="auto"/>
              <w:right w:val="single" w:sz="4" w:space="0" w:color="auto"/>
            </w:tcBorders>
            <w:shd w:val="clear" w:color="auto" w:fill="auto"/>
            <w:hideMark/>
          </w:tcPr>
          <w:p w14:paraId="77768BA6" w14:textId="77777777" w:rsidR="00A67FDD" w:rsidRPr="00A67FDD" w:rsidRDefault="00A67FDD" w:rsidP="00A67FDD">
            <w:pPr>
              <w:spacing w:after="0" w:line="240" w:lineRule="auto"/>
              <w:rPr>
                <w:rFonts w:ascii="Calibri" w:eastAsia="Times New Roman" w:hAnsi="Calibri" w:cs="Calibri"/>
                <w:b/>
                <w:bCs/>
                <w:color w:val="000000"/>
              </w:rPr>
            </w:pPr>
            <w:r w:rsidRPr="00A67FDD">
              <w:rPr>
                <w:rFonts w:ascii="Calibri" w:eastAsia="Times New Roman" w:hAnsi="Calibri" w:cs="Calibri"/>
                <w:b/>
                <w:bCs/>
                <w:color w:val="000000"/>
              </w:rPr>
              <w:t>Focus</w:t>
            </w:r>
          </w:p>
        </w:tc>
        <w:tc>
          <w:tcPr>
            <w:tcW w:w="1141" w:type="dxa"/>
            <w:tcBorders>
              <w:top w:val="single" w:sz="4" w:space="0" w:color="auto"/>
              <w:left w:val="nil"/>
              <w:bottom w:val="single" w:sz="4" w:space="0" w:color="auto"/>
              <w:right w:val="single" w:sz="4" w:space="0" w:color="auto"/>
            </w:tcBorders>
            <w:shd w:val="clear" w:color="auto" w:fill="auto"/>
            <w:hideMark/>
          </w:tcPr>
          <w:p w14:paraId="19D84D14" w14:textId="77777777" w:rsidR="00A67FDD" w:rsidRPr="00A67FDD" w:rsidRDefault="00A67FDD" w:rsidP="00A67FDD">
            <w:pPr>
              <w:spacing w:after="0" w:line="240" w:lineRule="auto"/>
              <w:rPr>
                <w:rFonts w:ascii="Calibri" w:eastAsia="Times New Roman" w:hAnsi="Calibri" w:cs="Calibri"/>
                <w:b/>
                <w:bCs/>
                <w:color w:val="000000"/>
              </w:rPr>
            </w:pPr>
            <w:r w:rsidRPr="00A67FDD">
              <w:rPr>
                <w:rFonts w:ascii="Calibri" w:eastAsia="Times New Roman" w:hAnsi="Calibri" w:cs="Calibri"/>
                <w:b/>
                <w:bCs/>
                <w:color w:val="000000"/>
              </w:rPr>
              <w:t>Sample size (f)</w:t>
            </w:r>
          </w:p>
        </w:tc>
        <w:tc>
          <w:tcPr>
            <w:tcW w:w="1425" w:type="dxa"/>
            <w:tcBorders>
              <w:top w:val="single" w:sz="4" w:space="0" w:color="auto"/>
              <w:left w:val="nil"/>
              <w:bottom w:val="single" w:sz="4" w:space="0" w:color="auto"/>
              <w:right w:val="single" w:sz="4" w:space="0" w:color="auto"/>
            </w:tcBorders>
            <w:shd w:val="clear" w:color="auto" w:fill="auto"/>
            <w:hideMark/>
          </w:tcPr>
          <w:p w14:paraId="1A11AFCA" w14:textId="77777777" w:rsidR="00A67FDD" w:rsidRPr="00A67FDD" w:rsidRDefault="00A67FDD" w:rsidP="00A67FDD">
            <w:pPr>
              <w:spacing w:after="0" w:line="240" w:lineRule="auto"/>
              <w:rPr>
                <w:rFonts w:ascii="Calibri" w:eastAsia="Times New Roman" w:hAnsi="Calibri" w:cs="Calibri"/>
                <w:b/>
                <w:bCs/>
                <w:color w:val="000000"/>
              </w:rPr>
            </w:pPr>
            <w:r w:rsidRPr="00A67FDD">
              <w:rPr>
                <w:rFonts w:ascii="Calibri" w:eastAsia="Times New Roman" w:hAnsi="Calibri" w:cs="Calibri"/>
                <w:b/>
                <w:bCs/>
                <w:color w:val="000000"/>
              </w:rPr>
              <w:t>% Stock-out (x)</w:t>
            </w:r>
          </w:p>
        </w:tc>
        <w:tc>
          <w:tcPr>
            <w:tcW w:w="1710" w:type="dxa"/>
            <w:tcBorders>
              <w:top w:val="single" w:sz="4" w:space="0" w:color="auto"/>
              <w:left w:val="nil"/>
              <w:bottom w:val="single" w:sz="4" w:space="0" w:color="auto"/>
              <w:right w:val="single" w:sz="4" w:space="0" w:color="auto"/>
            </w:tcBorders>
            <w:shd w:val="clear" w:color="auto" w:fill="auto"/>
            <w:hideMark/>
          </w:tcPr>
          <w:p w14:paraId="3391A2B6" w14:textId="47BD4AC2" w:rsidR="00A67FDD" w:rsidRPr="00A67FDD" w:rsidRDefault="00A67FDD" w:rsidP="00A67FDD">
            <w:pPr>
              <w:spacing w:after="0" w:line="240" w:lineRule="auto"/>
              <w:rPr>
                <w:rFonts w:ascii="Calibri" w:eastAsia="Times New Roman" w:hAnsi="Calibri" w:cs="Calibri"/>
                <w:b/>
                <w:bCs/>
                <w:color w:val="000000"/>
              </w:rPr>
            </w:pPr>
            <w:r w:rsidRPr="00A67FDD">
              <w:rPr>
                <w:rFonts w:ascii="Calibri" w:eastAsia="Times New Roman" w:hAnsi="Calibri" w:cs="Calibri"/>
                <w:b/>
                <w:bCs/>
                <w:color w:val="000000"/>
              </w:rPr>
              <w:t xml:space="preserve">fx </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751C0125" w14:textId="77777777" w:rsidR="00A67FDD" w:rsidRPr="00A67FDD" w:rsidRDefault="00A67FDD" w:rsidP="00A67FDD">
            <w:pPr>
              <w:spacing w:after="0" w:line="240" w:lineRule="auto"/>
              <w:rPr>
                <w:rFonts w:ascii="Calibri" w:eastAsia="Times New Roman" w:hAnsi="Calibri" w:cs="Calibri"/>
                <w:b/>
                <w:bCs/>
                <w:color w:val="000000"/>
              </w:rPr>
            </w:pPr>
            <w:r w:rsidRPr="00A67FDD">
              <w:rPr>
                <w:rFonts w:ascii="Calibri" w:eastAsia="Times New Roman" w:hAnsi="Calibri" w:cs="Calibri"/>
                <w:b/>
                <w:bCs/>
                <w:color w:val="000000"/>
              </w:rPr>
              <w:t>f(x-X̄) ^2 [2006-2021]</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4E64F143" w14:textId="77777777" w:rsidR="00A67FDD" w:rsidRPr="00A67FDD" w:rsidRDefault="00A67FDD" w:rsidP="00A67FDD">
            <w:pPr>
              <w:spacing w:after="0" w:line="240" w:lineRule="auto"/>
              <w:rPr>
                <w:rFonts w:ascii="Calibri" w:eastAsia="Times New Roman" w:hAnsi="Calibri" w:cs="Calibri"/>
                <w:b/>
                <w:bCs/>
                <w:color w:val="000000"/>
              </w:rPr>
            </w:pPr>
            <w:r w:rsidRPr="00A67FDD">
              <w:rPr>
                <w:rFonts w:ascii="Calibri" w:eastAsia="Times New Roman" w:hAnsi="Calibri" w:cs="Calibri"/>
                <w:b/>
                <w:bCs/>
                <w:color w:val="000000"/>
              </w:rPr>
              <w:t>f(x-X̄) ^2 [2006-2015]</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118864E5" w14:textId="77777777" w:rsidR="00A67FDD" w:rsidRPr="00A67FDD" w:rsidRDefault="00A67FDD" w:rsidP="00A67FDD">
            <w:pPr>
              <w:spacing w:after="0" w:line="240" w:lineRule="auto"/>
              <w:rPr>
                <w:rFonts w:ascii="Calibri" w:eastAsia="Times New Roman" w:hAnsi="Calibri" w:cs="Calibri"/>
                <w:b/>
                <w:bCs/>
                <w:color w:val="000000"/>
              </w:rPr>
            </w:pPr>
            <w:r w:rsidRPr="00A67FDD">
              <w:rPr>
                <w:rFonts w:ascii="Calibri" w:eastAsia="Times New Roman" w:hAnsi="Calibri" w:cs="Calibri"/>
                <w:b/>
                <w:bCs/>
                <w:color w:val="000000"/>
              </w:rPr>
              <w:t xml:space="preserve">f(x-X̄) ^2 [2016-2021] </w:t>
            </w:r>
          </w:p>
          <w:p w14:paraId="38935898" w14:textId="77777777" w:rsidR="00A67FDD" w:rsidRPr="00A67FDD" w:rsidRDefault="00A67FDD" w:rsidP="00A67FDD">
            <w:pPr>
              <w:spacing w:after="0" w:line="240" w:lineRule="auto"/>
              <w:rPr>
                <w:rFonts w:ascii="Calibri" w:eastAsia="Times New Roman" w:hAnsi="Calibri" w:cs="Calibri"/>
                <w:b/>
                <w:bCs/>
                <w:color w:val="000000"/>
              </w:rPr>
            </w:pPr>
          </w:p>
        </w:tc>
      </w:tr>
      <w:tr w:rsidR="00A67FDD" w:rsidRPr="00A67FDD" w14:paraId="52D913BF"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A4A003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Akulayi 2017</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3F83EB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058BA7F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59B65C6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1263</w:t>
            </w:r>
          </w:p>
        </w:tc>
        <w:tc>
          <w:tcPr>
            <w:tcW w:w="1425" w:type="dxa"/>
            <w:tcBorders>
              <w:top w:val="single" w:sz="4" w:space="0" w:color="auto"/>
              <w:left w:val="nil"/>
              <w:bottom w:val="single" w:sz="4" w:space="0" w:color="auto"/>
              <w:right w:val="single" w:sz="4" w:space="0" w:color="auto"/>
            </w:tcBorders>
            <w:shd w:val="clear" w:color="auto" w:fill="auto"/>
            <w:hideMark/>
          </w:tcPr>
          <w:p w14:paraId="4403E0C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55.50</w:t>
            </w:r>
          </w:p>
        </w:tc>
        <w:tc>
          <w:tcPr>
            <w:tcW w:w="1710" w:type="dxa"/>
            <w:tcBorders>
              <w:top w:val="single" w:sz="4" w:space="0" w:color="auto"/>
              <w:left w:val="nil"/>
              <w:bottom w:val="single" w:sz="4" w:space="0" w:color="auto"/>
              <w:right w:val="single" w:sz="4" w:space="0" w:color="auto"/>
            </w:tcBorders>
            <w:shd w:val="clear" w:color="auto" w:fill="auto"/>
            <w:hideMark/>
          </w:tcPr>
          <w:p w14:paraId="63D38B8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70096.50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459BEA2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891423.41</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09735BB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2991A0F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59284.39</w:t>
            </w:r>
          </w:p>
        </w:tc>
      </w:tr>
      <w:tr w:rsidR="00A67FDD" w:rsidRPr="00A67FDD" w14:paraId="505282C2"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6CD7756E"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20C0DE25"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2216FB8C" w14:textId="29427E03"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66BCF5F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7A35B35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792EE96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17BDD12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680D241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5B2FB57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29D233A5"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86F1A1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Anand 2020</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49382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78FD034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1D74322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26</w:t>
            </w:r>
          </w:p>
        </w:tc>
        <w:tc>
          <w:tcPr>
            <w:tcW w:w="1425" w:type="dxa"/>
            <w:tcBorders>
              <w:top w:val="single" w:sz="4" w:space="0" w:color="auto"/>
              <w:left w:val="nil"/>
              <w:bottom w:val="single" w:sz="4" w:space="0" w:color="auto"/>
              <w:right w:val="single" w:sz="4" w:space="0" w:color="auto"/>
            </w:tcBorders>
            <w:shd w:val="clear" w:color="auto" w:fill="auto"/>
            <w:hideMark/>
          </w:tcPr>
          <w:p w14:paraId="0DB40CC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58.00</w:t>
            </w:r>
          </w:p>
        </w:tc>
        <w:tc>
          <w:tcPr>
            <w:tcW w:w="1710" w:type="dxa"/>
            <w:tcBorders>
              <w:top w:val="single" w:sz="4" w:space="0" w:color="auto"/>
              <w:left w:val="nil"/>
              <w:bottom w:val="single" w:sz="4" w:space="0" w:color="auto"/>
              <w:right w:val="single" w:sz="4" w:space="0" w:color="auto"/>
            </w:tcBorders>
            <w:shd w:val="clear" w:color="auto" w:fill="auto"/>
            <w:hideMark/>
          </w:tcPr>
          <w:p w14:paraId="4F5A301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1508.00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51F4A6D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21966.95</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31B286C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28E9BBB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2273.58</w:t>
            </w:r>
          </w:p>
        </w:tc>
      </w:tr>
      <w:tr w:rsidR="00A67FDD" w:rsidRPr="00A67FDD" w14:paraId="55C162B4"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0013F937"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194C7645"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2561ECE4" w14:textId="649F5C1E"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38C9B45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35</w:t>
            </w:r>
          </w:p>
        </w:tc>
        <w:tc>
          <w:tcPr>
            <w:tcW w:w="1425" w:type="dxa"/>
            <w:tcBorders>
              <w:top w:val="single" w:sz="4" w:space="0" w:color="auto"/>
              <w:left w:val="nil"/>
              <w:bottom w:val="single" w:sz="4" w:space="0" w:color="auto"/>
              <w:right w:val="single" w:sz="4" w:space="0" w:color="auto"/>
            </w:tcBorders>
            <w:shd w:val="clear" w:color="auto" w:fill="auto"/>
            <w:hideMark/>
          </w:tcPr>
          <w:p w14:paraId="2D179F1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47.70</w:t>
            </w:r>
          </w:p>
        </w:tc>
        <w:tc>
          <w:tcPr>
            <w:tcW w:w="1710" w:type="dxa"/>
            <w:tcBorders>
              <w:top w:val="single" w:sz="4" w:space="0" w:color="auto"/>
              <w:left w:val="nil"/>
              <w:bottom w:val="single" w:sz="4" w:space="0" w:color="auto"/>
              <w:right w:val="single" w:sz="4" w:space="0" w:color="auto"/>
            </w:tcBorders>
            <w:shd w:val="clear" w:color="auto" w:fill="auto"/>
            <w:hideMark/>
          </w:tcPr>
          <w:p w14:paraId="7E3EB4A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1669.50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46A65F1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15937.91</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7799B95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5F68E26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39094.52</w:t>
            </w:r>
          </w:p>
        </w:tc>
      </w:tr>
      <w:tr w:rsidR="00A67FDD" w:rsidRPr="00A67FDD" w14:paraId="0A3C89F4"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6F4677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Andersson 2013</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931EC1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2B3A05B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6BF9360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2591</w:t>
            </w:r>
          </w:p>
        </w:tc>
        <w:tc>
          <w:tcPr>
            <w:tcW w:w="1425" w:type="dxa"/>
            <w:tcBorders>
              <w:top w:val="single" w:sz="4" w:space="0" w:color="auto"/>
              <w:left w:val="nil"/>
              <w:bottom w:val="single" w:sz="4" w:space="0" w:color="auto"/>
              <w:right w:val="single" w:sz="4" w:space="0" w:color="auto"/>
            </w:tcBorders>
            <w:shd w:val="clear" w:color="auto" w:fill="auto"/>
            <w:hideMark/>
          </w:tcPr>
          <w:p w14:paraId="5299DB5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77.00</w:t>
            </w:r>
          </w:p>
        </w:tc>
        <w:tc>
          <w:tcPr>
            <w:tcW w:w="1710" w:type="dxa"/>
            <w:tcBorders>
              <w:top w:val="single" w:sz="4" w:space="0" w:color="auto"/>
              <w:left w:val="nil"/>
              <w:bottom w:val="single" w:sz="4" w:space="0" w:color="auto"/>
              <w:right w:val="single" w:sz="4" w:space="0" w:color="auto"/>
            </w:tcBorders>
            <w:shd w:val="clear" w:color="auto" w:fill="auto"/>
            <w:hideMark/>
          </w:tcPr>
          <w:p w14:paraId="7380991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199507.00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277E8E5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5986307.82</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3D28021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6644220.76</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2E5F03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775F1067"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4F851CAC"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40A9D3D1"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4E2FD0E4" w14:textId="510147C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1B6D9E1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5757657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4EDDA45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27F7347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51A57BC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548B198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3770E43E"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50540B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Bagonza 2014</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591A6A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3FB2D7D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4B0E388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336</w:t>
            </w:r>
          </w:p>
        </w:tc>
        <w:tc>
          <w:tcPr>
            <w:tcW w:w="1425" w:type="dxa"/>
            <w:tcBorders>
              <w:top w:val="single" w:sz="4" w:space="0" w:color="auto"/>
              <w:left w:val="nil"/>
              <w:bottom w:val="single" w:sz="4" w:space="0" w:color="auto"/>
              <w:right w:val="single" w:sz="4" w:space="0" w:color="auto"/>
            </w:tcBorders>
            <w:shd w:val="clear" w:color="auto" w:fill="auto"/>
            <w:hideMark/>
          </w:tcPr>
          <w:p w14:paraId="7B9B777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68.00</w:t>
            </w:r>
          </w:p>
        </w:tc>
        <w:tc>
          <w:tcPr>
            <w:tcW w:w="1710" w:type="dxa"/>
            <w:tcBorders>
              <w:top w:val="single" w:sz="4" w:space="0" w:color="auto"/>
              <w:left w:val="nil"/>
              <w:bottom w:val="single" w:sz="4" w:space="0" w:color="auto"/>
              <w:right w:val="single" w:sz="4" w:space="0" w:color="auto"/>
            </w:tcBorders>
            <w:shd w:val="clear" w:color="auto" w:fill="auto"/>
            <w:hideMark/>
          </w:tcPr>
          <w:p w14:paraId="1642398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22848.00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05A636F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512809.95</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5497F87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582569.36</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65242A1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077D56EC"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00F0F778"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37525B02"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6D7A4034" w14:textId="54E4D53F"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05FE067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7D4A317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2259355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5361306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528A2C9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19DE7D6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42011B14"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E7C5D4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Bagonza 2015</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41403F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7EE95FD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5A0F9D8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300</w:t>
            </w:r>
          </w:p>
        </w:tc>
        <w:tc>
          <w:tcPr>
            <w:tcW w:w="1425" w:type="dxa"/>
            <w:tcBorders>
              <w:top w:val="single" w:sz="4" w:space="0" w:color="auto"/>
              <w:left w:val="nil"/>
              <w:bottom w:val="single" w:sz="4" w:space="0" w:color="auto"/>
              <w:right w:val="single" w:sz="4" w:space="0" w:color="auto"/>
            </w:tcBorders>
            <w:shd w:val="clear" w:color="auto" w:fill="auto"/>
            <w:hideMark/>
          </w:tcPr>
          <w:p w14:paraId="241AB11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57.50</w:t>
            </w:r>
          </w:p>
        </w:tc>
        <w:tc>
          <w:tcPr>
            <w:tcW w:w="1710" w:type="dxa"/>
            <w:tcBorders>
              <w:top w:val="single" w:sz="4" w:space="0" w:color="auto"/>
              <w:left w:val="nil"/>
              <w:bottom w:val="single" w:sz="4" w:space="0" w:color="auto"/>
              <w:right w:val="single" w:sz="4" w:space="0" w:color="auto"/>
            </w:tcBorders>
            <w:shd w:val="clear" w:color="auto" w:fill="auto"/>
            <w:hideMark/>
          </w:tcPr>
          <w:p w14:paraId="2F08748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17250.00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726C441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244819.77</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3E7C7A9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290898.17</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878166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13A1CF17"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3F78B30B"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1479929A"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16F9DD1D" w14:textId="447D5800"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0AA459B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5E133D9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232F925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730DF96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7A26EB6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221540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6FFC7E31"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192557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Brunie 2018</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5E55AD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6ADBF00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129446A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874</w:t>
            </w:r>
          </w:p>
        </w:tc>
        <w:tc>
          <w:tcPr>
            <w:tcW w:w="1425" w:type="dxa"/>
            <w:tcBorders>
              <w:top w:val="single" w:sz="4" w:space="0" w:color="auto"/>
              <w:left w:val="nil"/>
              <w:bottom w:val="single" w:sz="4" w:space="0" w:color="auto"/>
              <w:right w:val="single" w:sz="4" w:space="0" w:color="auto"/>
            </w:tcBorders>
            <w:shd w:val="clear" w:color="auto" w:fill="auto"/>
            <w:hideMark/>
          </w:tcPr>
          <w:p w14:paraId="5D66AC1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64.00</w:t>
            </w:r>
          </w:p>
        </w:tc>
        <w:tc>
          <w:tcPr>
            <w:tcW w:w="1710" w:type="dxa"/>
            <w:tcBorders>
              <w:top w:val="single" w:sz="4" w:space="0" w:color="auto"/>
              <w:left w:val="nil"/>
              <w:bottom w:val="single" w:sz="4" w:space="0" w:color="auto"/>
              <w:right w:val="single" w:sz="4" w:space="0" w:color="auto"/>
            </w:tcBorders>
            <w:shd w:val="clear" w:color="auto" w:fill="auto"/>
            <w:hideMark/>
          </w:tcPr>
          <w:p w14:paraId="46E3BB4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55936.00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299467F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1074744.83</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3D661C8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1161CCD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205967.05</w:t>
            </w:r>
          </w:p>
        </w:tc>
      </w:tr>
      <w:tr w:rsidR="00A67FDD" w:rsidRPr="00A67FDD" w14:paraId="088D1C79"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44820414"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4AE34ADB"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0CBB9A5D" w14:textId="51EE1A11"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141D9D5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4F2A6F0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29F2E1A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65C853C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5143FB3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380A91E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6BB435B1" w14:textId="77777777" w:rsidTr="00263554">
        <w:trPr>
          <w:trHeight w:val="323"/>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88A0C9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Callaghan-Koru 2013</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3121DB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790B41B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3FE5A8F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131</w:t>
            </w:r>
          </w:p>
        </w:tc>
        <w:tc>
          <w:tcPr>
            <w:tcW w:w="1425" w:type="dxa"/>
            <w:tcBorders>
              <w:top w:val="single" w:sz="4" w:space="0" w:color="auto"/>
              <w:left w:val="nil"/>
              <w:bottom w:val="single" w:sz="4" w:space="0" w:color="auto"/>
              <w:right w:val="single" w:sz="4" w:space="0" w:color="auto"/>
            </w:tcBorders>
            <w:shd w:val="clear" w:color="auto" w:fill="auto"/>
            <w:hideMark/>
          </w:tcPr>
          <w:p w14:paraId="68907D5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31.30</w:t>
            </w:r>
          </w:p>
        </w:tc>
        <w:tc>
          <w:tcPr>
            <w:tcW w:w="1710" w:type="dxa"/>
            <w:tcBorders>
              <w:top w:val="single" w:sz="4" w:space="0" w:color="auto"/>
              <w:left w:val="nil"/>
              <w:bottom w:val="single" w:sz="4" w:space="0" w:color="auto"/>
              <w:right w:val="single" w:sz="4" w:space="0" w:color="auto"/>
            </w:tcBorders>
            <w:shd w:val="clear" w:color="auto" w:fill="auto"/>
            <w:hideMark/>
          </w:tcPr>
          <w:p w14:paraId="0A269DB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4100.30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067C9CF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733.87</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759F824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3196.06</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0354EA7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774E9A19"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7B7CAC4E"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78EB178E"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6DF3A017" w14:textId="3CBCD9D0"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365175C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6E207B5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6F293C0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1BEFEC9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5E5380C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47FD65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472AA5FE"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D7AB0C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Chandani 2012</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6DBF01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3E96BEF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3828889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700</w:t>
            </w:r>
          </w:p>
        </w:tc>
        <w:tc>
          <w:tcPr>
            <w:tcW w:w="1425" w:type="dxa"/>
            <w:tcBorders>
              <w:top w:val="single" w:sz="4" w:space="0" w:color="auto"/>
              <w:left w:val="nil"/>
              <w:bottom w:val="single" w:sz="4" w:space="0" w:color="auto"/>
              <w:right w:val="single" w:sz="4" w:space="0" w:color="auto"/>
            </w:tcBorders>
            <w:shd w:val="clear" w:color="auto" w:fill="auto"/>
            <w:hideMark/>
          </w:tcPr>
          <w:p w14:paraId="060D86B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41.35</w:t>
            </w:r>
          </w:p>
        </w:tc>
        <w:tc>
          <w:tcPr>
            <w:tcW w:w="1710" w:type="dxa"/>
            <w:tcBorders>
              <w:top w:val="single" w:sz="4" w:space="0" w:color="auto"/>
              <w:left w:val="nil"/>
              <w:bottom w:val="single" w:sz="4" w:space="0" w:color="auto"/>
              <w:right w:val="single" w:sz="4" w:space="0" w:color="auto"/>
            </w:tcBorders>
            <w:shd w:val="clear" w:color="auto" w:fill="auto"/>
            <w:hideMark/>
          </w:tcPr>
          <w:p w14:paraId="4FF5DD3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28945.00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2635674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107925.01</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69C884E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157276.91</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CA092C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27C6C638"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4A2EDDBC"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02FD54AF"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4BA679D1" w14:textId="07C92248"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4C9C224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1CDB654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27C9B8E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00C63FE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508EEC5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160DBAD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540B28E3"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FAF179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Chadani 2014</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B285C4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666A30D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12E0A8C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700</w:t>
            </w:r>
          </w:p>
        </w:tc>
        <w:tc>
          <w:tcPr>
            <w:tcW w:w="1425" w:type="dxa"/>
            <w:tcBorders>
              <w:top w:val="single" w:sz="4" w:space="0" w:color="auto"/>
              <w:left w:val="nil"/>
              <w:bottom w:val="single" w:sz="4" w:space="0" w:color="auto"/>
              <w:right w:val="single" w:sz="4" w:space="0" w:color="auto"/>
            </w:tcBorders>
            <w:shd w:val="clear" w:color="auto" w:fill="auto"/>
            <w:hideMark/>
          </w:tcPr>
          <w:p w14:paraId="4FB6EF9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63.94</w:t>
            </w:r>
          </w:p>
        </w:tc>
        <w:tc>
          <w:tcPr>
            <w:tcW w:w="1710" w:type="dxa"/>
            <w:tcBorders>
              <w:top w:val="single" w:sz="4" w:space="0" w:color="auto"/>
              <w:left w:val="nil"/>
              <w:bottom w:val="single" w:sz="4" w:space="0" w:color="auto"/>
              <w:right w:val="single" w:sz="4" w:space="0" w:color="auto"/>
            </w:tcBorders>
            <w:shd w:val="clear" w:color="auto" w:fill="auto"/>
            <w:hideMark/>
          </w:tcPr>
          <w:p w14:paraId="3812813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44758.00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38F51E5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857836.52</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2E9A8C6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988546.50</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7A095B9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681B8FA9"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4B2C6A80"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01FE88C5"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1CD19FFF" w14:textId="6863B1F8"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30F3B67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10AC6A0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416D0E4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0FC96AF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3D18A5B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759B767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098ACEF4" w14:textId="77777777" w:rsidTr="00263554">
        <w:trPr>
          <w:trHeight w:val="39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46332AB" w14:textId="77777777" w:rsidR="00A67FDD" w:rsidRPr="00A67FDD" w:rsidRDefault="00A67FDD" w:rsidP="00A67FDD">
            <w:pPr>
              <w:spacing w:after="240" w:line="240" w:lineRule="auto"/>
              <w:rPr>
                <w:rFonts w:ascii="Calibri" w:eastAsia="Times New Roman" w:hAnsi="Calibri" w:cs="Calibri"/>
                <w:color w:val="000000"/>
              </w:rPr>
            </w:pPr>
            <w:r w:rsidRPr="00A67FDD">
              <w:rPr>
                <w:rFonts w:ascii="Calibri" w:eastAsia="Times New Roman" w:hAnsi="Calibri" w:cs="Calibri"/>
                <w:color w:val="000000"/>
              </w:rPr>
              <w:t>Chipukuma 2020</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C9B8FA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26E2E91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6A14CEB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34</w:t>
            </w:r>
          </w:p>
        </w:tc>
        <w:tc>
          <w:tcPr>
            <w:tcW w:w="1425" w:type="dxa"/>
            <w:tcBorders>
              <w:top w:val="single" w:sz="4" w:space="0" w:color="auto"/>
              <w:left w:val="nil"/>
              <w:bottom w:val="single" w:sz="4" w:space="0" w:color="auto"/>
              <w:right w:val="single" w:sz="4" w:space="0" w:color="auto"/>
            </w:tcBorders>
            <w:shd w:val="clear" w:color="auto" w:fill="auto"/>
            <w:hideMark/>
          </w:tcPr>
          <w:p w14:paraId="3B4B985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74.00</w:t>
            </w:r>
          </w:p>
        </w:tc>
        <w:tc>
          <w:tcPr>
            <w:tcW w:w="1710" w:type="dxa"/>
            <w:tcBorders>
              <w:top w:val="single" w:sz="4" w:space="0" w:color="auto"/>
              <w:left w:val="nil"/>
              <w:bottom w:val="single" w:sz="4" w:space="0" w:color="auto"/>
              <w:right w:val="single" w:sz="4" w:space="0" w:color="auto"/>
            </w:tcBorders>
            <w:shd w:val="clear" w:color="auto" w:fill="auto"/>
            <w:hideMark/>
          </w:tcPr>
          <w:p w14:paraId="5E1F916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2516.00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7C1AE44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69054.77</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2EB558C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7E1BBF6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21851.28</w:t>
            </w:r>
          </w:p>
        </w:tc>
      </w:tr>
      <w:tr w:rsidR="00A67FDD" w:rsidRPr="00A67FDD" w14:paraId="626DBEC9"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2D3215EC"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757FC9CF"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426E0A8D" w14:textId="0BC5C433"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1297A2E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5E51766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7637F1E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5B483CB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7D4E97B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B1E3F4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71E00637"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73D0FD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Colin 2018</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C96923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6774F8C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0D7933E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60</w:t>
            </w:r>
          </w:p>
        </w:tc>
        <w:tc>
          <w:tcPr>
            <w:tcW w:w="1425" w:type="dxa"/>
            <w:tcBorders>
              <w:top w:val="single" w:sz="4" w:space="0" w:color="auto"/>
              <w:left w:val="nil"/>
              <w:bottom w:val="single" w:sz="4" w:space="0" w:color="auto"/>
              <w:right w:val="single" w:sz="4" w:space="0" w:color="auto"/>
            </w:tcBorders>
            <w:shd w:val="clear" w:color="auto" w:fill="auto"/>
            <w:hideMark/>
          </w:tcPr>
          <w:p w14:paraId="7DC9DD1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21.00</w:t>
            </w:r>
          </w:p>
        </w:tc>
        <w:tc>
          <w:tcPr>
            <w:tcW w:w="1710" w:type="dxa"/>
            <w:tcBorders>
              <w:top w:val="single" w:sz="4" w:space="0" w:color="auto"/>
              <w:left w:val="nil"/>
              <w:bottom w:val="single" w:sz="4" w:space="0" w:color="auto"/>
              <w:right w:val="single" w:sz="4" w:space="0" w:color="auto"/>
            </w:tcBorders>
            <w:shd w:val="clear" w:color="auto" w:fill="auto"/>
            <w:hideMark/>
          </w:tcPr>
          <w:p w14:paraId="4432CA7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1260.00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6B8D0ED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3776.08</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1D802ED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5992DAC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45867.27</w:t>
            </w:r>
          </w:p>
        </w:tc>
      </w:tr>
      <w:tr w:rsidR="00A67FDD" w:rsidRPr="00A67FDD" w14:paraId="31FCF742"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3A5B6AD6"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601E5B26"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079B9E9E" w14:textId="7589B0DB"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7820D6C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1EDBB5A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6DD3C3B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700848B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08D9F9B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2D4E5AC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51B4CF59"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0A6619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Cover 2014</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9FAA3B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3F667BD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59AAC0D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35</w:t>
            </w:r>
          </w:p>
        </w:tc>
        <w:tc>
          <w:tcPr>
            <w:tcW w:w="1425" w:type="dxa"/>
            <w:tcBorders>
              <w:top w:val="single" w:sz="4" w:space="0" w:color="auto"/>
              <w:left w:val="nil"/>
              <w:bottom w:val="single" w:sz="4" w:space="0" w:color="auto"/>
              <w:right w:val="single" w:sz="4" w:space="0" w:color="auto"/>
            </w:tcBorders>
            <w:shd w:val="clear" w:color="auto" w:fill="auto"/>
            <w:hideMark/>
          </w:tcPr>
          <w:p w14:paraId="06B43BF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54.30</w:t>
            </w:r>
          </w:p>
        </w:tc>
        <w:tc>
          <w:tcPr>
            <w:tcW w:w="1710" w:type="dxa"/>
            <w:tcBorders>
              <w:top w:val="single" w:sz="4" w:space="0" w:color="auto"/>
              <w:left w:val="nil"/>
              <w:bottom w:val="single" w:sz="4" w:space="0" w:color="auto"/>
              <w:right w:val="single" w:sz="4" w:space="0" w:color="auto"/>
            </w:tcBorders>
            <w:shd w:val="clear" w:color="auto" w:fill="auto"/>
            <w:hideMark/>
          </w:tcPr>
          <w:p w14:paraId="4B6C457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1900.50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13B2F4C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22521.73</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53652F6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27321.30</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6BD7D28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156A9CD0"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208373A8"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6DF8C434"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7B8BE65D" w14:textId="068CF6DA"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4111782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23</w:t>
            </w:r>
          </w:p>
        </w:tc>
        <w:tc>
          <w:tcPr>
            <w:tcW w:w="1425" w:type="dxa"/>
            <w:tcBorders>
              <w:top w:val="single" w:sz="4" w:space="0" w:color="auto"/>
              <w:left w:val="nil"/>
              <w:bottom w:val="single" w:sz="4" w:space="0" w:color="auto"/>
              <w:right w:val="single" w:sz="4" w:space="0" w:color="auto"/>
            </w:tcBorders>
            <w:shd w:val="clear" w:color="auto" w:fill="auto"/>
            <w:hideMark/>
          </w:tcPr>
          <w:p w14:paraId="563AEEB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60.90</w:t>
            </w:r>
          </w:p>
        </w:tc>
        <w:tc>
          <w:tcPr>
            <w:tcW w:w="1710" w:type="dxa"/>
            <w:tcBorders>
              <w:top w:val="single" w:sz="4" w:space="0" w:color="auto"/>
              <w:left w:val="nil"/>
              <w:bottom w:val="single" w:sz="4" w:space="0" w:color="auto"/>
              <w:right w:val="single" w:sz="4" w:space="0" w:color="auto"/>
            </w:tcBorders>
            <w:shd w:val="clear" w:color="auto" w:fill="auto"/>
            <w:hideMark/>
          </w:tcPr>
          <w:p w14:paraId="2DE5DDE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1400.70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667F539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61550.64</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3DB7A6A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64872.24</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981D8E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1E8E8019" w14:textId="77777777" w:rsidTr="00263554">
        <w:trPr>
          <w:trHeight w:val="27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60EA65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CTwatch Group 2017</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B0F213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3E7AA9E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02D5CCA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145</w:t>
            </w:r>
          </w:p>
        </w:tc>
        <w:tc>
          <w:tcPr>
            <w:tcW w:w="1425" w:type="dxa"/>
            <w:tcBorders>
              <w:top w:val="single" w:sz="4" w:space="0" w:color="auto"/>
              <w:left w:val="nil"/>
              <w:bottom w:val="single" w:sz="4" w:space="0" w:color="auto"/>
              <w:right w:val="single" w:sz="4" w:space="0" w:color="auto"/>
            </w:tcBorders>
            <w:shd w:val="clear" w:color="auto" w:fill="auto"/>
            <w:hideMark/>
          </w:tcPr>
          <w:p w14:paraId="5F19F20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40.60</w:t>
            </w:r>
          </w:p>
        </w:tc>
        <w:tc>
          <w:tcPr>
            <w:tcW w:w="1710" w:type="dxa"/>
            <w:tcBorders>
              <w:top w:val="single" w:sz="4" w:space="0" w:color="auto"/>
              <w:left w:val="nil"/>
              <w:bottom w:val="single" w:sz="4" w:space="0" w:color="auto"/>
              <w:right w:val="single" w:sz="4" w:space="0" w:color="auto"/>
            </w:tcBorders>
            <w:shd w:val="clear" w:color="auto" w:fill="auto"/>
            <w:hideMark/>
          </w:tcPr>
          <w:p w14:paraId="0167911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5887.00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7D365BA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19736.79</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2966DAE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69E8AF0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9393.49</w:t>
            </w:r>
          </w:p>
        </w:tc>
      </w:tr>
      <w:tr w:rsidR="00A67FDD" w:rsidRPr="00A67FDD" w14:paraId="482AFF01"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5BD5048A"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161C0A96"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4CCED7E9" w14:textId="75FDCE5F"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363DE10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298</w:t>
            </w:r>
          </w:p>
        </w:tc>
        <w:tc>
          <w:tcPr>
            <w:tcW w:w="1425" w:type="dxa"/>
            <w:tcBorders>
              <w:top w:val="single" w:sz="4" w:space="0" w:color="auto"/>
              <w:left w:val="nil"/>
              <w:bottom w:val="single" w:sz="4" w:space="0" w:color="auto"/>
              <w:right w:val="single" w:sz="4" w:space="0" w:color="auto"/>
            </w:tcBorders>
            <w:shd w:val="clear" w:color="auto" w:fill="auto"/>
            <w:hideMark/>
          </w:tcPr>
          <w:p w14:paraId="7EEFC70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5.00</w:t>
            </w:r>
          </w:p>
        </w:tc>
        <w:tc>
          <w:tcPr>
            <w:tcW w:w="1710" w:type="dxa"/>
            <w:tcBorders>
              <w:top w:val="single" w:sz="4" w:space="0" w:color="auto"/>
              <w:left w:val="nil"/>
              <w:bottom w:val="single" w:sz="4" w:space="0" w:color="auto"/>
              <w:right w:val="single" w:sz="4" w:space="0" w:color="auto"/>
            </w:tcBorders>
            <w:shd w:val="clear" w:color="auto" w:fill="auto"/>
            <w:hideMark/>
          </w:tcPr>
          <w:p w14:paraId="4FB240F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1490.00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04720D6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5178.96</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267A116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33FB3B9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567754.12</w:t>
            </w:r>
          </w:p>
        </w:tc>
      </w:tr>
      <w:tr w:rsidR="00A67FDD" w:rsidRPr="00A67FDD" w14:paraId="7E4EB5F1"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485A4B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Doherty 2014</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60C50F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218B5A8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7A1C4FA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44833</w:t>
            </w:r>
          </w:p>
        </w:tc>
        <w:tc>
          <w:tcPr>
            <w:tcW w:w="1425" w:type="dxa"/>
            <w:tcBorders>
              <w:top w:val="single" w:sz="4" w:space="0" w:color="auto"/>
              <w:left w:val="nil"/>
              <w:bottom w:val="single" w:sz="4" w:space="0" w:color="auto"/>
              <w:right w:val="single" w:sz="4" w:space="0" w:color="auto"/>
            </w:tcBorders>
            <w:shd w:val="clear" w:color="auto" w:fill="auto"/>
            <w:hideMark/>
          </w:tcPr>
          <w:p w14:paraId="2B294B8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20.27</w:t>
            </w:r>
          </w:p>
        </w:tc>
        <w:tc>
          <w:tcPr>
            <w:tcW w:w="1710" w:type="dxa"/>
            <w:tcBorders>
              <w:top w:val="single" w:sz="4" w:space="0" w:color="auto"/>
              <w:left w:val="nil"/>
              <w:bottom w:val="single" w:sz="4" w:space="0" w:color="auto"/>
              <w:right w:val="single" w:sz="4" w:space="0" w:color="auto"/>
            </w:tcBorders>
            <w:shd w:val="clear" w:color="auto" w:fill="auto"/>
            <w:hideMark/>
          </w:tcPr>
          <w:p w14:paraId="6A43765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908764.91</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39201B4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3364710.96</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1FC3890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1663113.15</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2B6C8C4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67E3D763"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2CA6CE32"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16412085"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5B894550" w14:textId="334C8B18"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3C34F45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568E851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3495D61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73433CC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757F3A8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2CF5AC6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0906FC66"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ACAE75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Garg 2020</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51A413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1B4576F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52F17EE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348</w:t>
            </w:r>
          </w:p>
        </w:tc>
        <w:tc>
          <w:tcPr>
            <w:tcW w:w="1425" w:type="dxa"/>
            <w:tcBorders>
              <w:top w:val="single" w:sz="4" w:space="0" w:color="auto"/>
              <w:left w:val="nil"/>
              <w:bottom w:val="single" w:sz="4" w:space="0" w:color="auto"/>
              <w:right w:val="single" w:sz="4" w:space="0" w:color="auto"/>
            </w:tcBorders>
            <w:shd w:val="clear" w:color="auto" w:fill="auto"/>
            <w:hideMark/>
          </w:tcPr>
          <w:p w14:paraId="159D4A7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12.50</w:t>
            </w:r>
          </w:p>
        </w:tc>
        <w:tc>
          <w:tcPr>
            <w:tcW w:w="1710" w:type="dxa"/>
            <w:tcBorders>
              <w:top w:val="single" w:sz="4" w:space="0" w:color="auto"/>
              <w:left w:val="nil"/>
              <w:bottom w:val="single" w:sz="4" w:space="0" w:color="auto"/>
              <w:right w:val="single" w:sz="4" w:space="0" w:color="auto"/>
            </w:tcBorders>
            <w:shd w:val="clear" w:color="auto" w:fill="auto"/>
            <w:hideMark/>
          </w:tcPr>
          <w:p w14:paraId="4E3E911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4350.00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5150313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93976.66</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0C7CBE0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289220F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454743.30</w:t>
            </w:r>
          </w:p>
        </w:tc>
      </w:tr>
      <w:tr w:rsidR="00A67FDD" w:rsidRPr="00A67FDD" w14:paraId="254CA4A4"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6C0D7AAB"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5C27D301"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7ED6A1F4" w14:textId="5B6D1E69"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0B10109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025A445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5BFD316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1B5DD85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7A40BBB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206D89D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319F2931"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854E44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Gilroy 2012</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BC609D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3774C16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152CFBD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131</w:t>
            </w:r>
          </w:p>
        </w:tc>
        <w:tc>
          <w:tcPr>
            <w:tcW w:w="1425" w:type="dxa"/>
            <w:tcBorders>
              <w:top w:val="single" w:sz="4" w:space="0" w:color="auto"/>
              <w:left w:val="nil"/>
              <w:bottom w:val="single" w:sz="4" w:space="0" w:color="auto"/>
              <w:right w:val="single" w:sz="4" w:space="0" w:color="auto"/>
            </w:tcBorders>
            <w:shd w:val="clear" w:color="auto" w:fill="auto"/>
            <w:hideMark/>
          </w:tcPr>
          <w:p w14:paraId="79C5418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31.00</w:t>
            </w:r>
          </w:p>
        </w:tc>
        <w:tc>
          <w:tcPr>
            <w:tcW w:w="1710" w:type="dxa"/>
            <w:tcBorders>
              <w:top w:val="single" w:sz="4" w:space="0" w:color="auto"/>
              <w:left w:val="nil"/>
              <w:bottom w:val="single" w:sz="4" w:space="0" w:color="auto"/>
              <w:right w:val="single" w:sz="4" w:space="0" w:color="auto"/>
            </w:tcBorders>
            <w:shd w:val="clear" w:color="auto" w:fill="auto"/>
            <w:hideMark/>
          </w:tcPr>
          <w:p w14:paraId="1F6F2E7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4061.00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07561FB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559.62</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0E0A6CF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2819.62</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1032B4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7917D259"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41FC08B4"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7CE6BB4D"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3AAC77FA" w14:textId="6E820D53"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0583872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21E52BD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6FCF281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794331B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21D7D88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709AAE2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06FB3D81"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1EDABE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Heidkamp 2015</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5E965D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55F57CB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45BD6EF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3717</w:t>
            </w:r>
          </w:p>
        </w:tc>
        <w:tc>
          <w:tcPr>
            <w:tcW w:w="1425" w:type="dxa"/>
            <w:tcBorders>
              <w:top w:val="single" w:sz="4" w:space="0" w:color="auto"/>
              <w:left w:val="nil"/>
              <w:bottom w:val="single" w:sz="4" w:space="0" w:color="auto"/>
              <w:right w:val="single" w:sz="4" w:space="0" w:color="auto"/>
            </w:tcBorders>
            <w:shd w:val="clear" w:color="auto" w:fill="auto"/>
            <w:hideMark/>
          </w:tcPr>
          <w:p w14:paraId="0F57ADD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40.00</w:t>
            </w:r>
          </w:p>
        </w:tc>
        <w:tc>
          <w:tcPr>
            <w:tcW w:w="1710" w:type="dxa"/>
            <w:tcBorders>
              <w:top w:val="single" w:sz="4" w:space="0" w:color="auto"/>
              <w:left w:val="nil"/>
              <w:bottom w:val="single" w:sz="4" w:space="0" w:color="auto"/>
              <w:right w:val="single" w:sz="4" w:space="0" w:color="auto"/>
            </w:tcBorders>
            <w:shd w:val="clear" w:color="auto" w:fill="auto"/>
            <w:hideMark/>
          </w:tcPr>
          <w:p w14:paraId="31B4C0F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148680.00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7E5C600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455241.60</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38DC0C1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691482.79</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6CC970D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7D253A11"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6F733D53"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33049396"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519EB3D6" w14:textId="3487FB90"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50660A7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75AD068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09E0F7F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1696513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1FB5AC0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1796541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74D350D1"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831891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IRC-Sierra Leone 2018</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F6565B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Database review</w:t>
            </w:r>
          </w:p>
        </w:tc>
        <w:tc>
          <w:tcPr>
            <w:tcW w:w="1577" w:type="dxa"/>
            <w:tcBorders>
              <w:top w:val="single" w:sz="4" w:space="0" w:color="auto"/>
              <w:left w:val="nil"/>
              <w:bottom w:val="single" w:sz="4" w:space="0" w:color="auto"/>
              <w:right w:val="single" w:sz="4" w:space="0" w:color="auto"/>
            </w:tcBorders>
            <w:shd w:val="clear" w:color="auto" w:fill="auto"/>
            <w:hideMark/>
          </w:tcPr>
          <w:p w14:paraId="2FFBEAF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6E718BC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3385</w:t>
            </w:r>
          </w:p>
        </w:tc>
        <w:tc>
          <w:tcPr>
            <w:tcW w:w="1425" w:type="dxa"/>
            <w:tcBorders>
              <w:top w:val="single" w:sz="4" w:space="0" w:color="auto"/>
              <w:left w:val="nil"/>
              <w:bottom w:val="single" w:sz="4" w:space="0" w:color="auto"/>
              <w:right w:val="single" w:sz="4" w:space="0" w:color="auto"/>
            </w:tcBorders>
            <w:shd w:val="clear" w:color="auto" w:fill="auto"/>
            <w:hideMark/>
          </w:tcPr>
          <w:p w14:paraId="150D064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46.00</w:t>
            </w:r>
          </w:p>
        </w:tc>
        <w:tc>
          <w:tcPr>
            <w:tcW w:w="1710" w:type="dxa"/>
            <w:tcBorders>
              <w:top w:val="single" w:sz="4" w:space="0" w:color="auto"/>
              <w:left w:val="nil"/>
              <w:bottom w:val="single" w:sz="4" w:space="0" w:color="auto"/>
              <w:right w:val="single" w:sz="4" w:space="0" w:color="auto"/>
            </w:tcBorders>
            <w:shd w:val="clear" w:color="auto" w:fill="auto"/>
            <w:hideMark/>
          </w:tcPr>
          <w:p w14:paraId="2FB76EB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155710.00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2B2066C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985975.86</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1513045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159AF5C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3406134.78</w:t>
            </w:r>
          </w:p>
        </w:tc>
      </w:tr>
      <w:tr w:rsidR="00A67FDD" w:rsidRPr="00A67FDD" w14:paraId="4EC3881F"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69D0625A"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7A59FD6B"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695BF332" w14:textId="7988E385"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078DB2C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621098E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31C654C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20AFD42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146A9EE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595FE43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42D1ECFC" w14:textId="77777777" w:rsidTr="00263554">
        <w:trPr>
          <w:trHeight w:val="27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000000" w:fill="FFFFFF"/>
            <w:hideMark/>
          </w:tcPr>
          <w:p w14:paraId="3E49DB30" w14:textId="77777777" w:rsidR="00A67FDD" w:rsidRPr="00A67FDD" w:rsidRDefault="00A67FDD" w:rsidP="00A67FDD">
            <w:pPr>
              <w:spacing w:after="0" w:line="240" w:lineRule="auto"/>
              <w:rPr>
                <w:rFonts w:ascii="Times New Roman" w:eastAsia="Times New Roman" w:hAnsi="Times New Roman" w:cs="Times New Roman"/>
                <w:color w:val="000000"/>
              </w:rPr>
            </w:pPr>
            <w:r w:rsidRPr="00A67FDD">
              <w:rPr>
                <w:rFonts w:ascii="Times New Roman" w:eastAsia="Times New Roman" w:hAnsi="Times New Roman" w:cs="Times New Roman"/>
                <w:color w:val="000000"/>
              </w:rPr>
              <w:t xml:space="preserve">Jarrah </w:t>
            </w:r>
            <w:r w:rsidRPr="00A67FDD">
              <w:rPr>
                <w:rFonts w:ascii="Calibri" w:eastAsia="Times New Roman" w:hAnsi="Calibri" w:cs="Calibri"/>
                <w:color w:val="000000"/>
              </w:rPr>
              <w:t>2014</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26A96A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Costing assessment</w:t>
            </w:r>
          </w:p>
        </w:tc>
        <w:tc>
          <w:tcPr>
            <w:tcW w:w="1577" w:type="dxa"/>
            <w:tcBorders>
              <w:top w:val="single" w:sz="4" w:space="0" w:color="auto"/>
              <w:left w:val="nil"/>
              <w:bottom w:val="single" w:sz="4" w:space="0" w:color="auto"/>
              <w:right w:val="single" w:sz="4" w:space="0" w:color="auto"/>
            </w:tcBorders>
            <w:shd w:val="clear" w:color="auto" w:fill="auto"/>
            <w:hideMark/>
          </w:tcPr>
          <w:p w14:paraId="3E236DA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70333ED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40</w:t>
            </w:r>
          </w:p>
        </w:tc>
        <w:tc>
          <w:tcPr>
            <w:tcW w:w="1425" w:type="dxa"/>
            <w:tcBorders>
              <w:top w:val="single" w:sz="4" w:space="0" w:color="auto"/>
              <w:left w:val="nil"/>
              <w:bottom w:val="single" w:sz="4" w:space="0" w:color="auto"/>
              <w:right w:val="single" w:sz="4" w:space="0" w:color="auto"/>
            </w:tcBorders>
            <w:shd w:val="clear" w:color="auto" w:fill="auto"/>
            <w:hideMark/>
          </w:tcPr>
          <w:p w14:paraId="78FFAD4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38.00</w:t>
            </w:r>
          </w:p>
        </w:tc>
        <w:tc>
          <w:tcPr>
            <w:tcW w:w="1710" w:type="dxa"/>
            <w:tcBorders>
              <w:top w:val="single" w:sz="4" w:space="0" w:color="auto"/>
              <w:left w:val="nil"/>
              <w:bottom w:val="single" w:sz="4" w:space="0" w:color="auto"/>
              <w:right w:val="single" w:sz="4" w:space="0" w:color="auto"/>
            </w:tcBorders>
            <w:shd w:val="clear" w:color="auto" w:fill="auto"/>
            <w:hideMark/>
          </w:tcPr>
          <w:p w14:paraId="03A671F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1520.00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236E614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3288.32</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5C97A1A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5419.00</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020BBD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2BABB9D8"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0A7D51E6" w14:textId="77777777" w:rsidR="00A67FDD" w:rsidRPr="00A67FDD" w:rsidRDefault="00A67FDD" w:rsidP="00A67FDD">
            <w:pPr>
              <w:spacing w:after="0" w:line="240" w:lineRule="auto"/>
              <w:rPr>
                <w:rFonts w:ascii="Times New Roman" w:eastAsia="Times New Roman" w:hAnsi="Times New Roman" w:cs="Times New Roman"/>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04BB8993"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2999758A" w14:textId="31995B35"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7F3EFE4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2EACFCA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3D64471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4B08035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0D74ED1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59B9101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26588331"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6056BB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JSI 2010</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902E416" w14:textId="4818FD03" w:rsidR="00A67FDD" w:rsidRPr="00A67FDD" w:rsidRDefault="003B6CF7"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0EF5034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688B61C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208</w:t>
            </w:r>
          </w:p>
        </w:tc>
        <w:tc>
          <w:tcPr>
            <w:tcW w:w="1425" w:type="dxa"/>
            <w:tcBorders>
              <w:top w:val="single" w:sz="4" w:space="0" w:color="auto"/>
              <w:left w:val="nil"/>
              <w:bottom w:val="single" w:sz="4" w:space="0" w:color="auto"/>
              <w:right w:val="single" w:sz="4" w:space="0" w:color="auto"/>
            </w:tcBorders>
            <w:shd w:val="clear" w:color="auto" w:fill="auto"/>
            <w:hideMark/>
          </w:tcPr>
          <w:p w14:paraId="4632145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50.00</w:t>
            </w:r>
          </w:p>
        </w:tc>
        <w:tc>
          <w:tcPr>
            <w:tcW w:w="1710" w:type="dxa"/>
            <w:tcBorders>
              <w:top w:val="single" w:sz="4" w:space="0" w:color="auto"/>
              <w:left w:val="nil"/>
              <w:bottom w:val="single" w:sz="4" w:space="0" w:color="auto"/>
              <w:right w:val="single" w:sz="4" w:space="0" w:color="auto"/>
            </w:tcBorders>
            <w:shd w:val="clear" w:color="auto" w:fill="auto"/>
            <w:hideMark/>
          </w:tcPr>
          <w:p w14:paraId="0A42FE5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10400.00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4722F91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92313.08</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23BA996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520000.00</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89C118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584D83CA"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2CADB5E9"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1F286D95"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6D00C0F9" w14:textId="13525F2F"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50F7F41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85</w:t>
            </w:r>
          </w:p>
        </w:tc>
        <w:tc>
          <w:tcPr>
            <w:tcW w:w="1425" w:type="dxa"/>
            <w:tcBorders>
              <w:top w:val="single" w:sz="4" w:space="0" w:color="auto"/>
              <w:left w:val="nil"/>
              <w:bottom w:val="single" w:sz="4" w:space="0" w:color="auto"/>
              <w:right w:val="single" w:sz="4" w:space="0" w:color="auto"/>
            </w:tcBorders>
            <w:shd w:val="clear" w:color="auto" w:fill="auto"/>
            <w:hideMark/>
          </w:tcPr>
          <w:p w14:paraId="535CC67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64.00</w:t>
            </w:r>
          </w:p>
        </w:tc>
        <w:tc>
          <w:tcPr>
            <w:tcW w:w="1710" w:type="dxa"/>
            <w:tcBorders>
              <w:top w:val="single" w:sz="4" w:space="0" w:color="auto"/>
              <w:left w:val="nil"/>
              <w:bottom w:val="single" w:sz="4" w:space="0" w:color="auto"/>
              <w:right w:val="single" w:sz="4" w:space="0" w:color="auto"/>
            </w:tcBorders>
            <w:shd w:val="clear" w:color="auto" w:fill="auto"/>
            <w:hideMark/>
          </w:tcPr>
          <w:p w14:paraId="29378DF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5440.00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534E0D6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255548.95</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7466007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268550.37</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082D98D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0E0FBDD7" w14:textId="77777777" w:rsidTr="00263554">
        <w:trPr>
          <w:trHeight w:val="255"/>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0C5B6BF" w14:textId="77777777" w:rsidR="00A67FDD" w:rsidRPr="00A67FDD" w:rsidRDefault="00A67FDD" w:rsidP="00A67FDD">
            <w:pPr>
              <w:spacing w:after="240" w:line="240" w:lineRule="auto"/>
              <w:rPr>
                <w:rFonts w:ascii="Calibri" w:eastAsia="Times New Roman" w:hAnsi="Calibri" w:cs="Calibri"/>
                <w:color w:val="000000"/>
              </w:rPr>
            </w:pPr>
            <w:r w:rsidRPr="00A67FDD">
              <w:rPr>
                <w:rFonts w:ascii="Calibri" w:eastAsia="Times New Roman" w:hAnsi="Calibri" w:cs="Calibri"/>
                <w:color w:val="000000"/>
              </w:rPr>
              <w:t>Leon 2020</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C00997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Systematic review</w:t>
            </w:r>
          </w:p>
        </w:tc>
        <w:tc>
          <w:tcPr>
            <w:tcW w:w="1577" w:type="dxa"/>
            <w:tcBorders>
              <w:top w:val="single" w:sz="4" w:space="0" w:color="auto"/>
              <w:left w:val="nil"/>
              <w:bottom w:val="single" w:sz="4" w:space="0" w:color="auto"/>
              <w:right w:val="single" w:sz="4" w:space="0" w:color="auto"/>
            </w:tcBorders>
            <w:shd w:val="clear" w:color="auto" w:fill="auto"/>
            <w:hideMark/>
          </w:tcPr>
          <w:p w14:paraId="2E0C99D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3477842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248</w:t>
            </w:r>
          </w:p>
        </w:tc>
        <w:tc>
          <w:tcPr>
            <w:tcW w:w="1425" w:type="dxa"/>
            <w:tcBorders>
              <w:top w:val="single" w:sz="4" w:space="0" w:color="auto"/>
              <w:left w:val="nil"/>
              <w:bottom w:val="single" w:sz="4" w:space="0" w:color="auto"/>
              <w:right w:val="single" w:sz="4" w:space="0" w:color="auto"/>
            </w:tcBorders>
            <w:shd w:val="clear" w:color="auto" w:fill="auto"/>
            <w:hideMark/>
          </w:tcPr>
          <w:p w14:paraId="6814E5D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27.00</w:t>
            </w:r>
          </w:p>
        </w:tc>
        <w:tc>
          <w:tcPr>
            <w:tcW w:w="1710" w:type="dxa"/>
            <w:tcBorders>
              <w:top w:val="single" w:sz="4" w:space="0" w:color="auto"/>
              <w:left w:val="nil"/>
              <w:bottom w:val="single" w:sz="4" w:space="0" w:color="auto"/>
              <w:right w:val="single" w:sz="4" w:space="0" w:color="auto"/>
            </w:tcBorders>
            <w:shd w:val="clear" w:color="auto" w:fill="auto"/>
            <w:hideMark/>
          </w:tcPr>
          <w:p w14:paraId="04C1582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6696.00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085E64E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926.78</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2851718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577DBED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116229.98</w:t>
            </w:r>
          </w:p>
        </w:tc>
      </w:tr>
      <w:tr w:rsidR="00A67FDD" w:rsidRPr="00A67FDD" w14:paraId="6B69E1EF"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0CF29243"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50E1CDCF"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01A16441" w14:textId="3BA7F786"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278FD43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53CD7AE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0CF0E05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0FDB923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7584562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70EA667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478319E2"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80D6DA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Munos 2016</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634AC2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7DBD6A7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66AA8C0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386</w:t>
            </w:r>
          </w:p>
        </w:tc>
        <w:tc>
          <w:tcPr>
            <w:tcW w:w="1425" w:type="dxa"/>
            <w:tcBorders>
              <w:top w:val="single" w:sz="4" w:space="0" w:color="auto"/>
              <w:left w:val="nil"/>
              <w:bottom w:val="single" w:sz="4" w:space="0" w:color="auto"/>
              <w:right w:val="single" w:sz="4" w:space="0" w:color="auto"/>
            </w:tcBorders>
            <w:shd w:val="clear" w:color="auto" w:fill="auto"/>
            <w:hideMark/>
          </w:tcPr>
          <w:p w14:paraId="37CAF44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91.00</w:t>
            </w:r>
          </w:p>
        </w:tc>
        <w:tc>
          <w:tcPr>
            <w:tcW w:w="1710" w:type="dxa"/>
            <w:tcBorders>
              <w:top w:val="single" w:sz="4" w:space="0" w:color="auto"/>
              <w:left w:val="nil"/>
              <w:bottom w:val="single" w:sz="4" w:space="0" w:color="auto"/>
              <w:right w:val="single" w:sz="4" w:space="0" w:color="auto"/>
            </w:tcBorders>
            <w:shd w:val="clear" w:color="auto" w:fill="auto"/>
            <w:hideMark/>
          </w:tcPr>
          <w:p w14:paraId="000A652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35126.00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29D7010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1486986.25</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384E3E8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2CC2C81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692339.88</w:t>
            </w:r>
          </w:p>
        </w:tc>
      </w:tr>
      <w:tr w:rsidR="00A67FDD" w:rsidRPr="00A67FDD" w14:paraId="2A0879CA"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0B84D2CA"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01974124"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22AAA692" w14:textId="7C872F63"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07C4F42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29D640B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82.00</w:t>
            </w:r>
          </w:p>
        </w:tc>
        <w:tc>
          <w:tcPr>
            <w:tcW w:w="1710" w:type="dxa"/>
            <w:tcBorders>
              <w:top w:val="single" w:sz="4" w:space="0" w:color="auto"/>
              <w:left w:val="nil"/>
              <w:bottom w:val="single" w:sz="4" w:space="0" w:color="auto"/>
              <w:right w:val="single" w:sz="4" w:space="0" w:color="auto"/>
            </w:tcBorders>
            <w:shd w:val="clear" w:color="auto" w:fill="auto"/>
            <w:hideMark/>
          </w:tcPr>
          <w:p w14:paraId="1B7E4AF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570EE60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719C234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0E03275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45D5BBAF"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234FDA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Nancy 2012</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5F4674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6C2C018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6F43DBA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84</w:t>
            </w:r>
          </w:p>
        </w:tc>
        <w:tc>
          <w:tcPr>
            <w:tcW w:w="1425" w:type="dxa"/>
            <w:tcBorders>
              <w:top w:val="single" w:sz="4" w:space="0" w:color="auto"/>
              <w:left w:val="nil"/>
              <w:bottom w:val="single" w:sz="4" w:space="0" w:color="auto"/>
              <w:right w:val="single" w:sz="4" w:space="0" w:color="auto"/>
            </w:tcBorders>
            <w:shd w:val="clear" w:color="auto" w:fill="auto"/>
            <w:hideMark/>
          </w:tcPr>
          <w:p w14:paraId="194F863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88.00</w:t>
            </w:r>
          </w:p>
        </w:tc>
        <w:tc>
          <w:tcPr>
            <w:tcW w:w="1710" w:type="dxa"/>
            <w:tcBorders>
              <w:top w:val="single" w:sz="4" w:space="0" w:color="auto"/>
              <w:left w:val="nil"/>
              <w:bottom w:val="single" w:sz="4" w:space="0" w:color="auto"/>
              <w:right w:val="single" w:sz="4" w:space="0" w:color="auto"/>
            </w:tcBorders>
            <w:shd w:val="clear" w:color="auto" w:fill="auto"/>
            <w:hideMark/>
          </w:tcPr>
          <w:p w14:paraId="1ADDBEE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7392.00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47F0AD1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293067.16</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772CD55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319150.63</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0E008AB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4A9B549E"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338E0D6E"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6BA5FB2B"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59A18207" w14:textId="3B12C50F"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2406257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nil"/>
              <w:bottom w:val="single" w:sz="4" w:space="0" w:color="auto"/>
              <w:right w:val="single" w:sz="4" w:space="0" w:color="auto"/>
            </w:tcBorders>
            <w:shd w:val="clear" w:color="auto" w:fill="auto"/>
            <w:hideMark/>
          </w:tcPr>
          <w:p w14:paraId="1AD8987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025E746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7CA3BB4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305561C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5695C45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5A73B0F6" w14:textId="77777777" w:rsidTr="00263554">
        <w:trPr>
          <w:trHeight w:val="33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409FEA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O'Connell 2011</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E7B0A8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6150EB2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785979B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335</w:t>
            </w:r>
          </w:p>
        </w:tc>
        <w:tc>
          <w:tcPr>
            <w:tcW w:w="1425" w:type="dxa"/>
            <w:tcBorders>
              <w:top w:val="single" w:sz="4" w:space="0" w:color="auto"/>
              <w:left w:val="nil"/>
              <w:bottom w:val="single" w:sz="4" w:space="0" w:color="auto"/>
              <w:right w:val="single" w:sz="4" w:space="0" w:color="auto"/>
            </w:tcBorders>
            <w:shd w:val="clear" w:color="auto" w:fill="auto"/>
            <w:hideMark/>
          </w:tcPr>
          <w:p w14:paraId="1B9FB08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66.70</w:t>
            </w:r>
          </w:p>
        </w:tc>
        <w:tc>
          <w:tcPr>
            <w:tcW w:w="1710" w:type="dxa"/>
            <w:tcBorders>
              <w:top w:val="single" w:sz="4" w:space="0" w:color="auto"/>
              <w:left w:val="nil"/>
              <w:bottom w:val="single" w:sz="4" w:space="0" w:color="auto"/>
              <w:right w:val="single" w:sz="4" w:space="0" w:color="auto"/>
            </w:tcBorders>
            <w:shd w:val="clear" w:color="auto" w:fill="auto"/>
            <w:hideMark/>
          </w:tcPr>
          <w:p w14:paraId="5843404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22344.50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2705772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477822.64</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17B7DB3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545133.78</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0361CFF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72B908E1"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2358A7BC"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1B278D06"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5759DBB8" w14:textId="67353682"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2D4F190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1769</w:t>
            </w:r>
          </w:p>
        </w:tc>
        <w:tc>
          <w:tcPr>
            <w:tcW w:w="1425" w:type="dxa"/>
            <w:tcBorders>
              <w:top w:val="single" w:sz="4" w:space="0" w:color="auto"/>
              <w:left w:val="nil"/>
              <w:bottom w:val="single" w:sz="4" w:space="0" w:color="auto"/>
              <w:right w:val="single" w:sz="4" w:space="0" w:color="auto"/>
            </w:tcBorders>
            <w:shd w:val="clear" w:color="auto" w:fill="auto"/>
            <w:hideMark/>
          </w:tcPr>
          <w:p w14:paraId="4E81078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4.40</w:t>
            </w:r>
          </w:p>
        </w:tc>
        <w:tc>
          <w:tcPr>
            <w:tcW w:w="1710" w:type="dxa"/>
            <w:tcBorders>
              <w:top w:val="single" w:sz="4" w:space="0" w:color="auto"/>
              <w:left w:val="nil"/>
              <w:bottom w:val="single" w:sz="4" w:space="0" w:color="auto"/>
              <w:right w:val="single" w:sz="4" w:space="0" w:color="auto"/>
            </w:tcBorders>
            <w:shd w:val="clear" w:color="auto" w:fill="auto"/>
            <w:hideMark/>
          </w:tcPr>
          <w:p w14:paraId="470B816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7783.60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1F70AD8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40229.98</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40BCFA3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20345.31</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2CD7ED58"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2BABA4C6"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F969D9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Phok 2017</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029963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26753B7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single" w:sz="4" w:space="0" w:color="auto"/>
            </w:tcBorders>
            <w:shd w:val="clear" w:color="auto" w:fill="auto"/>
            <w:hideMark/>
          </w:tcPr>
          <w:p w14:paraId="7A77ED0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430</w:t>
            </w:r>
          </w:p>
        </w:tc>
        <w:tc>
          <w:tcPr>
            <w:tcW w:w="1425" w:type="dxa"/>
            <w:tcBorders>
              <w:top w:val="single" w:sz="4" w:space="0" w:color="auto"/>
              <w:left w:val="nil"/>
              <w:bottom w:val="single" w:sz="4" w:space="0" w:color="auto"/>
              <w:right w:val="single" w:sz="4" w:space="0" w:color="auto"/>
            </w:tcBorders>
            <w:shd w:val="clear" w:color="auto" w:fill="auto"/>
            <w:hideMark/>
          </w:tcPr>
          <w:p w14:paraId="65CCC50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25.90</w:t>
            </w:r>
          </w:p>
        </w:tc>
        <w:tc>
          <w:tcPr>
            <w:tcW w:w="1710" w:type="dxa"/>
            <w:tcBorders>
              <w:top w:val="single" w:sz="4" w:space="0" w:color="auto"/>
              <w:left w:val="nil"/>
              <w:bottom w:val="single" w:sz="4" w:space="0" w:color="auto"/>
              <w:right w:val="single" w:sz="4" w:space="0" w:color="auto"/>
            </w:tcBorders>
            <w:shd w:val="clear" w:color="auto" w:fill="auto"/>
            <w:hideMark/>
          </w:tcPr>
          <w:p w14:paraId="7BAEE90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11137.00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002E31F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3955.96</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0740BAB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59479F0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222527.82</w:t>
            </w:r>
          </w:p>
        </w:tc>
      </w:tr>
      <w:tr w:rsidR="00A67FDD" w:rsidRPr="00A67FDD" w14:paraId="3D853830"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72DD0C0E"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252463E8"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001987A3" w14:textId="6002EE79"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single" w:sz="4" w:space="0" w:color="auto"/>
            </w:tcBorders>
            <w:shd w:val="clear" w:color="auto" w:fill="auto"/>
            <w:hideMark/>
          </w:tcPr>
          <w:p w14:paraId="6E752F3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173</w:t>
            </w:r>
          </w:p>
        </w:tc>
        <w:tc>
          <w:tcPr>
            <w:tcW w:w="1425" w:type="dxa"/>
            <w:tcBorders>
              <w:top w:val="single" w:sz="4" w:space="0" w:color="auto"/>
              <w:left w:val="nil"/>
              <w:bottom w:val="single" w:sz="4" w:space="0" w:color="auto"/>
              <w:right w:val="single" w:sz="4" w:space="0" w:color="auto"/>
            </w:tcBorders>
            <w:shd w:val="clear" w:color="auto" w:fill="auto"/>
            <w:hideMark/>
          </w:tcPr>
          <w:p w14:paraId="20A110E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23.50</w:t>
            </w:r>
          </w:p>
        </w:tc>
        <w:tc>
          <w:tcPr>
            <w:tcW w:w="1710" w:type="dxa"/>
            <w:tcBorders>
              <w:top w:val="single" w:sz="4" w:space="0" w:color="auto"/>
              <w:left w:val="nil"/>
              <w:bottom w:val="single" w:sz="4" w:space="0" w:color="auto"/>
              <w:right w:val="single" w:sz="4" w:space="0" w:color="auto"/>
            </w:tcBorders>
            <w:shd w:val="clear" w:color="auto" w:fill="auto"/>
            <w:hideMark/>
          </w:tcPr>
          <w:p w14:paraId="5E12066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4065.50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748D1FE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35531.21</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650E6D8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758D01A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14710.74</w:t>
            </w:r>
          </w:p>
        </w:tc>
      </w:tr>
      <w:tr w:rsidR="00A67FDD" w:rsidRPr="00A67FDD" w14:paraId="18808201" w14:textId="77777777" w:rsidTr="00263554">
        <w:trPr>
          <w:trHeight w:val="345"/>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AC95F15" w14:textId="77777777" w:rsidR="00A67FDD" w:rsidRPr="00A67FDD" w:rsidRDefault="00A67FDD" w:rsidP="00A67FDD">
            <w:pPr>
              <w:spacing w:after="240" w:line="240" w:lineRule="auto"/>
              <w:rPr>
                <w:rFonts w:ascii="Calibri" w:eastAsia="Times New Roman" w:hAnsi="Calibri" w:cs="Calibri"/>
                <w:color w:val="000000"/>
              </w:rPr>
            </w:pPr>
            <w:r w:rsidRPr="00A67FDD">
              <w:rPr>
                <w:rFonts w:ascii="Calibri" w:eastAsia="Times New Roman" w:hAnsi="Calibri" w:cs="Calibri"/>
                <w:color w:val="000000"/>
              </w:rPr>
              <w:t>Shieshia 2014</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A5173B5"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01D0C0B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nil"/>
            </w:tcBorders>
            <w:shd w:val="clear" w:color="auto" w:fill="auto"/>
            <w:hideMark/>
          </w:tcPr>
          <w:p w14:paraId="407F18A2"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646</w:t>
            </w:r>
          </w:p>
        </w:tc>
        <w:tc>
          <w:tcPr>
            <w:tcW w:w="1425" w:type="dxa"/>
            <w:tcBorders>
              <w:top w:val="single" w:sz="4" w:space="0" w:color="auto"/>
              <w:left w:val="single" w:sz="4" w:space="0" w:color="auto"/>
              <w:bottom w:val="single" w:sz="4" w:space="0" w:color="auto"/>
              <w:right w:val="single" w:sz="4" w:space="0" w:color="auto"/>
            </w:tcBorders>
            <w:shd w:val="clear" w:color="auto" w:fill="auto"/>
            <w:hideMark/>
          </w:tcPr>
          <w:p w14:paraId="66E0D00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9.21</w:t>
            </w:r>
          </w:p>
        </w:tc>
        <w:tc>
          <w:tcPr>
            <w:tcW w:w="1710" w:type="dxa"/>
            <w:tcBorders>
              <w:top w:val="single" w:sz="4" w:space="0" w:color="auto"/>
              <w:left w:val="nil"/>
              <w:bottom w:val="single" w:sz="4" w:space="0" w:color="auto"/>
              <w:right w:val="single" w:sz="4" w:space="0" w:color="auto"/>
            </w:tcBorders>
            <w:shd w:val="clear" w:color="auto" w:fill="auto"/>
            <w:hideMark/>
          </w:tcPr>
          <w:p w14:paraId="599875F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5949.66</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48F2D9D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251295.28</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279B63F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190017.03</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0F5705A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46199192"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15082BE5"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7588A743"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1685A297" w14:textId="2F0755E2"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nil"/>
            </w:tcBorders>
            <w:shd w:val="clear" w:color="auto" w:fill="auto"/>
            <w:hideMark/>
          </w:tcPr>
          <w:p w14:paraId="1FBB280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single" w:sz="4" w:space="0" w:color="auto"/>
              <w:bottom w:val="single" w:sz="4" w:space="0" w:color="auto"/>
              <w:right w:val="single" w:sz="4" w:space="0" w:color="auto"/>
            </w:tcBorders>
            <w:shd w:val="clear" w:color="auto" w:fill="auto"/>
            <w:hideMark/>
          </w:tcPr>
          <w:p w14:paraId="69FBCF6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7C50EFC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480C3A3A"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1822AA1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04E4518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4977A6AC" w14:textId="77777777" w:rsidTr="00263554">
        <w:trPr>
          <w:trHeight w:val="300"/>
          <w:jc w:val="center"/>
        </w:trPr>
        <w:tc>
          <w:tcPr>
            <w:tcW w:w="178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DF277D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Smith 2013</w:t>
            </w:r>
          </w:p>
        </w:tc>
        <w:tc>
          <w:tcPr>
            <w:tcW w:w="184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9EC38D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Cross-sectional survey</w:t>
            </w:r>
          </w:p>
        </w:tc>
        <w:tc>
          <w:tcPr>
            <w:tcW w:w="1577" w:type="dxa"/>
            <w:tcBorders>
              <w:top w:val="single" w:sz="4" w:space="0" w:color="auto"/>
              <w:left w:val="nil"/>
              <w:bottom w:val="single" w:sz="4" w:space="0" w:color="auto"/>
              <w:right w:val="single" w:sz="4" w:space="0" w:color="auto"/>
            </w:tcBorders>
            <w:shd w:val="clear" w:color="auto" w:fill="auto"/>
            <w:hideMark/>
          </w:tcPr>
          <w:p w14:paraId="364E543F"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nil"/>
            </w:tcBorders>
            <w:shd w:val="clear" w:color="auto" w:fill="auto"/>
            <w:hideMark/>
          </w:tcPr>
          <w:p w14:paraId="7602C62E"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249</w:t>
            </w:r>
          </w:p>
        </w:tc>
        <w:tc>
          <w:tcPr>
            <w:tcW w:w="1425" w:type="dxa"/>
            <w:tcBorders>
              <w:top w:val="single" w:sz="4" w:space="0" w:color="auto"/>
              <w:left w:val="single" w:sz="4" w:space="0" w:color="auto"/>
              <w:bottom w:val="single" w:sz="4" w:space="0" w:color="auto"/>
              <w:right w:val="single" w:sz="4" w:space="0" w:color="auto"/>
            </w:tcBorders>
            <w:shd w:val="clear" w:color="auto" w:fill="auto"/>
            <w:hideMark/>
          </w:tcPr>
          <w:p w14:paraId="6379D5F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68.00</w:t>
            </w:r>
          </w:p>
        </w:tc>
        <w:tc>
          <w:tcPr>
            <w:tcW w:w="1710" w:type="dxa"/>
            <w:tcBorders>
              <w:top w:val="single" w:sz="4" w:space="0" w:color="auto"/>
              <w:left w:val="nil"/>
              <w:bottom w:val="single" w:sz="4" w:space="0" w:color="auto"/>
              <w:right w:val="single" w:sz="4" w:space="0" w:color="auto"/>
            </w:tcBorders>
            <w:shd w:val="clear" w:color="auto" w:fill="auto"/>
            <w:hideMark/>
          </w:tcPr>
          <w:p w14:paraId="5413076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16932.00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790EDE1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380028.80</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4A6C027C"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431725.51</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2CA823F1"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619AC596" w14:textId="77777777" w:rsidTr="00263554">
        <w:trPr>
          <w:trHeight w:val="300"/>
          <w:jc w:val="center"/>
        </w:trPr>
        <w:tc>
          <w:tcPr>
            <w:tcW w:w="1789" w:type="dxa"/>
            <w:vMerge/>
            <w:tcBorders>
              <w:top w:val="single" w:sz="4" w:space="0" w:color="auto"/>
              <w:left w:val="single" w:sz="4" w:space="0" w:color="auto"/>
              <w:bottom w:val="single" w:sz="4" w:space="0" w:color="auto"/>
              <w:right w:val="single" w:sz="4" w:space="0" w:color="auto"/>
            </w:tcBorders>
            <w:vAlign w:val="center"/>
            <w:hideMark/>
          </w:tcPr>
          <w:p w14:paraId="0E41F153" w14:textId="77777777" w:rsidR="00A67FDD" w:rsidRPr="00A67FDD" w:rsidRDefault="00A67FDD" w:rsidP="00A67FDD">
            <w:pPr>
              <w:spacing w:after="0" w:line="240" w:lineRule="auto"/>
              <w:rPr>
                <w:rFonts w:ascii="Calibri" w:eastAsia="Times New Roman" w:hAnsi="Calibri" w:cs="Calibri"/>
                <w:color w:val="000000"/>
              </w:rPr>
            </w:pPr>
          </w:p>
        </w:tc>
        <w:tc>
          <w:tcPr>
            <w:tcW w:w="1849" w:type="dxa"/>
            <w:vMerge/>
            <w:tcBorders>
              <w:top w:val="single" w:sz="4" w:space="0" w:color="auto"/>
              <w:left w:val="single" w:sz="4" w:space="0" w:color="auto"/>
              <w:bottom w:val="single" w:sz="4" w:space="0" w:color="auto"/>
              <w:right w:val="single" w:sz="4" w:space="0" w:color="auto"/>
            </w:tcBorders>
            <w:vAlign w:val="center"/>
            <w:hideMark/>
          </w:tcPr>
          <w:p w14:paraId="12D3B2A7"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5E797EAB" w14:textId="29D0BE81"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nil"/>
            </w:tcBorders>
            <w:shd w:val="clear" w:color="auto" w:fill="auto"/>
            <w:hideMark/>
          </w:tcPr>
          <w:p w14:paraId="75FD4354"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single" w:sz="4" w:space="0" w:color="auto"/>
              <w:bottom w:val="single" w:sz="4" w:space="0" w:color="auto"/>
              <w:right w:val="single" w:sz="4" w:space="0" w:color="auto"/>
            </w:tcBorders>
            <w:shd w:val="clear" w:color="auto" w:fill="auto"/>
            <w:hideMark/>
          </w:tcPr>
          <w:p w14:paraId="100CEC39"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5ACF002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5246A466"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7B1DC607"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042E6BD"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A2DD6" w:rsidRPr="00A67FDD" w14:paraId="28A52714" w14:textId="77777777" w:rsidTr="00AA2DD6">
        <w:trPr>
          <w:trHeight w:val="360"/>
          <w:jc w:val="center"/>
        </w:trPr>
        <w:tc>
          <w:tcPr>
            <w:tcW w:w="1789" w:type="dxa"/>
            <w:tcBorders>
              <w:top w:val="single" w:sz="4" w:space="0" w:color="auto"/>
              <w:left w:val="single" w:sz="4" w:space="0" w:color="auto"/>
              <w:bottom w:val="single" w:sz="4" w:space="0" w:color="auto"/>
              <w:right w:val="single" w:sz="4" w:space="0" w:color="auto"/>
            </w:tcBorders>
            <w:shd w:val="clear" w:color="auto" w:fill="auto"/>
            <w:hideMark/>
          </w:tcPr>
          <w:p w14:paraId="099AFF09" w14:textId="77777777" w:rsidR="00AA2DD6" w:rsidRPr="00A67FDD" w:rsidRDefault="00AA2DD6"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Williams 2010</w:t>
            </w:r>
          </w:p>
        </w:tc>
        <w:tc>
          <w:tcPr>
            <w:tcW w:w="1849" w:type="dxa"/>
            <w:tcBorders>
              <w:top w:val="single" w:sz="4" w:space="0" w:color="auto"/>
              <w:left w:val="single" w:sz="4" w:space="0" w:color="auto"/>
              <w:bottom w:val="single" w:sz="4" w:space="0" w:color="auto"/>
              <w:right w:val="single" w:sz="4" w:space="0" w:color="auto"/>
            </w:tcBorders>
            <w:shd w:val="clear" w:color="auto" w:fill="auto"/>
            <w:hideMark/>
          </w:tcPr>
          <w:p w14:paraId="1A36B332" w14:textId="77777777" w:rsidR="00AA2DD6" w:rsidRPr="00A67FDD" w:rsidRDefault="00AA2DD6"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documented</w:t>
            </w:r>
          </w:p>
        </w:tc>
        <w:tc>
          <w:tcPr>
            <w:tcW w:w="1577" w:type="dxa"/>
            <w:tcBorders>
              <w:top w:val="single" w:sz="4" w:space="0" w:color="auto"/>
              <w:left w:val="nil"/>
              <w:bottom w:val="single" w:sz="4" w:space="0" w:color="auto"/>
              <w:right w:val="single" w:sz="4" w:space="0" w:color="auto"/>
            </w:tcBorders>
            <w:shd w:val="clear" w:color="auto" w:fill="auto"/>
            <w:hideMark/>
          </w:tcPr>
          <w:p w14:paraId="3F853E1C" w14:textId="77777777" w:rsidR="00AA2DD6" w:rsidRPr="00A67FDD" w:rsidRDefault="00AA2DD6"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CHWs</w:t>
            </w:r>
          </w:p>
        </w:tc>
        <w:tc>
          <w:tcPr>
            <w:tcW w:w="1141" w:type="dxa"/>
            <w:tcBorders>
              <w:top w:val="single" w:sz="4" w:space="0" w:color="auto"/>
              <w:left w:val="nil"/>
              <w:bottom w:val="single" w:sz="4" w:space="0" w:color="auto"/>
              <w:right w:val="nil"/>
            </w:tcBorders>
            <w:shd w:val="clear" w:color="auto" w:fill="auto"/>
            <w:hideMark/>
          </w:tcPr>
          <w:p w14:paraId="75AC93CE" w14:textId="77777777" w:rsidR="00AA2DD6" w:rsidRPr="00A67FDD" w:rsidRDefault="00AA2DD6"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137</w:t>
            </w:r>
          </w:p>
        </w:tc>
        <w:tc>
          <w:tcPr>
            <w:tcW w:w="1425" w:type="dxa"/>
            <w:tcBorders>
              <w:top w:val="single" w:sz="4" w:space="0" w:color="auto"/>
              <w:left w:val="single" w:sz="4" w:space="0" w:color="auto"/>
              <w:bottom w:val="single" w:sz="4" w:space="0" w:color="auto"/>
              <w:right w:val="single" w:sz="4" w:space="0" w:color="auto"/>
            </w:tcBorders>
            <w:shd w:val="clear" w:color="auto" w:fill="auto"/>
            <w:hideMark/>
          </w:tcPr>
          <w:p w14:paraId="78AF4BA8" w14:textId="77777777" w:rsidR="00AA2DD6" w:rsidRPr="00A67FDD" w:rsidRDefault="00AA2DD6"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66</w:t>
            </w:r>
          </w:p>
        </w:tc>
        <w:tc>
          <w:tcPr>
            <w:tcW w:w="1710" w:type="dxa"/>
            <w:tcBorders>
              <w:top w:val="single" w:sz="4" w:space="0" w:color="auto"/>
              <w:left w:val="nil"/>
              <w:bottom w:val="single" w:sz="4" w:space="0" w:color="auto"/>
              <w:right w:val="single" w:sz="4" w:space="0" w:color="auto"/>
            </w:tcBorders>
            <w:shd w:val="clear" w:color="auto" w:fill="auto"/>
            <w:hideMark/>
          </w:tcPr>
          <w:p w14:paraId="77F655C1" w14:textId="77777777" w:rsidR="00AA2DD6" w:rsidRPr="00A67FDD" w:rsidRDefault="00AA2DD6"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9042.00</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4044B257" w14:textId="77777777" w:rsidR="00AA2DD6" w:rsidRPr="00A67FDD" w:rsidRDefault="00AA2DD6"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188231.51</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267A9CBB" w14:textId="77777777" w:rsidR="00AA2DD6" w:rsidRPr="00A67FDD" w:rsidRDefault="00AA2DD6"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215265.35</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8DB85B4" w14:textId="77777777" w:rsidR="00AA2DD6" w:rsidRPr="00A67FDD" w:rsidRDefault="00AA2DD6"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r w:rsidR="00A67FDD" w:rsidRPr="00A67FDD" w14:paraId="27F7320D" w14:textId="77777777" w:rsidTr="00AA2DD6">
        <w:trPr>
          <w:trHeight w:val="330"/>
          <w:jc w:val="center"/>
        </w:trPr>
        <w:tc>
          <w:tcPr>
            <w:tcW w:w="1789" w:type="dxa"/>
            <w:tcBorders>
              <w:top w:val="single" w:sz="4" w:space="0" w:color="auto"/>
              <w:left w:val="single" w:sz="4" w:space="0" w:color="auto"/>
              <w:bottom w:val="single" w:sz="4" w:space="0" w:color="auto"/>
              <w:right w:val="single" w:sz="4" w:space="0" w:color="auto"/>
            </w:tcBorders>
            <w:vAlign w:val="center"/>
            <w:hideMark/>
          </w:tcPr>
          <w:p w14:paraId="62D8F830" w14:textId="77777777" w:rsidR="00A67FDD" w:rsidRPr="00A67FDD" w:rsidRDefault="00A67FDD" w:rsidP="00A67FDD">
            <w:pPr>
              <w:spacing w:after="0" w:line="240" w:lineRule="auto"/>
              <w:rPr>
                <w:rFonts w:ascii="Calibri" w:eastAsia="Times New Roman" w:hAnsi="Calibri" w:cs="Calibri"/>
                <w:color w:val="000000"/>
              </w:rPr>
            </w:pPr>
          </w:p>
        </w:tc>
        <w:tc>
          <w:tcPr>
            <w:tcW w:w="1849" w:type="dxa"/>
            <w:tcBorders>
              <w:top w:val="single" w:sz="4" w:space="0" w:color="auto"/>
              <w:left w:val="single" w:sz="4" w:space="0" w:color="auto"/>
              <w:bottom w:val="single" w:sz="4" w:space="0" w:color="auto"/>
              <w:right w:val="single" w:sz="4" w:space="0" w:color="auto"/>
            </w:tcBorders>
            <w:vAlign w:val="center"/>
            <w:hideMark/>
          </w:tcPr>
          <w:p w14:paraId="38B6460B" w14:textId="77777777" w:rsidR="00A67FDD" w:rsidRPr="00A67FDD" w:rsidRDefault="00A67FDD" w:rsidP="00A67FDD">
            <w:pPr>
              <w:spacing w:after="0" w:line="240" w:lineRule="auto"/>
              <w:rPr>
                <w:rFonts w:ascii="Calibri" w:eastAsia="Times New Roman" w:hAnsi="Calibri" w:cs="Calibri"/>
                <w:color w:val="000000"/>
              </w:rPr>
            </w:pPr>
          </w:p>
        </w:tc>
        <w:tc>
          <w:tcPr>
            <w:tcW w:w="1577" w:type="dxa"/>
            <w:tcBorders>
              <w:top w:val="single" w:sz="4" w:space="0" w:color="auto"/>
              <w:left w:val="nil"/>
              <w:bottom w:val="single" w:sz="4" w:space="0" w:color="auto"/>
              <w:right w:val="single" w:sz="4" w:space="0" w:color="auto"/>
            </w:tcBorders>
            <w:shd w:val="clear" w:color="auto" w:fill="auto"/>
            <w:hideMark/>
          </w:tcPr>
          <w:p w14:paraId="43A9F075" w14:textId="6BF51BCF"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 xml:space="preserve">Health </w:t>
            </w:r>
            <w:r w:rsidR="003B6CF7">
              <w:rPr>
                <w:rFonts w:ascii="Calibri" w:eastAsia="Times New Roman" w:hAnsi="Calibri" w:cs="Calibri"/>
                <w:color w:val="000000"/>
              </w:rPr>
              <w:t>center</w:t>
            </w:r>
          </w:p>
        </w:tc>
        <w:tc>
          <w:tcPr>
            <w:tcW w:w="1141" w:type="dxa"/>
            <w:tcBorders>
              <w:top w:val="single" w:sz="4" w:space="0" w:color="auto"/>
              <w:left w:val="nil"/>
              <w:bottom w:val="single" w:sz="4" w:space="0" w:color="auto"/>
              <w:right w:val="nil"/>
            </w:tcBorders>
            <w:shd w:val="clear" w:color="auto" w:fill="auto"/>
            <w:hideMark/>
          </w:tcPr>
          <w:p w14:paraId="697A97E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425" w:type="dxa"/>
            <w:tcBorders>
              <w:top w:val="single" w:sz="4" w:space="0" w:color="auto"/>
              <w:left w:val="single" w:sz="4" w:space="0" w:color="auto"/>
              <w:bottom w:val="single" w:sz="4" w:space="0" w:color="auto"/>
              <w:right w:val="single" w:sz="4" w:space="0" w:color="auto"/>
            </w:tcBorders>
            <w:shd w:val="clear" w:color="auto" w:fill="auto"/>
            <w:hideMark/>
          </w:tcPr>
          <w:p w14:paraId="1F21C21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Missing</w:t>
            </w:r>
          </w:p>
        </w:tc>
        <w:tc>
          <w:tcPr>
            <w:tcW w:w="1710" w:type="dxa"/>
            <w:tcBorders>
              <w:top w:val="single" w:sz="4" w:space="0" w:color="auto"/>
              <w:left w:val="nil"/>
              <w:bottom w:val="single" w:sz="4" w:space="0" w:color="auto"/>
              <w:right w:val="single" w:sz="4" w:space="0" w:color="auto"/>
            </w:tcBorders>
            <w:shd w:val="clear" w:color="auto" w:fill="auto"/>
            <w:hideMark/>
          </w:tcPr>
          <w:p w14:paraId="6D1F07E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806" w:type="dxa"/>
            <w:tcBorders>
              <w:top w:val="single" w:sz="4" w:space="0" w:color="auto"/>
              <w:left w:val="single" w:sz="4" w:space="0" w:color="auto"/>
              <w:bottom w:val="single" w:sz="4" w:space="0" w:color="auto"/>
              <w:right w:val="single" w:sz="4" w:space="0" w:color="auto"/>
            </w:tcBorders>
            <w:shd w:val="clear" w:color="auto" w:fill="auto"/>
            <w:hideMark/>
          </w:tcPr>
          <w:p w14:paraId="5A7E0653"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568" w:type="dxa"/>
            <w:tcBorders>
              <w:top w:val="single" w:sz="4" w:space="0" w:color="auto"/>
              <w:left w:val="single" w:sz="4" w:space="0" w:color="auto"/>
              <w:bottom w:val="single" w:sz="4" w:space="0" w:color="auto"/>
              <w:right w:val="single" w:sz="4" w:space="0" w:color="auto"/>
            </w:tcBorders>
            <w:shd w:val="clear" w:color="auto" w:fill="auto"/>
            <w:hideMark/>
          </w:tcPr>
          <w:p w14:paraId="2FC57200"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14:paraId="44B3274B" w14:textId="77777777" w:rsidR="00A67FDD" w:rsidRPr="00A67FDD" w:rsidRDefault="00A67FDD" w:rsidP="00A67FDD">
            <w:pPr>
              <w:spacing w:after="0" w:line="240" w:lineRule="auto"/>
              <w:rPr>
                <w:rFonts w:ascii="Calibri" w:eastAsia="Times New Roman" w:hAnsi="Calibri" w:cs="Calibri"/>
                <w:color w:val="000000"/>
              </w:rPr>
            </w:pPr>
            <w:r w:rsidRPr="00A67FDD">
              <w:rPr>
                <w:rFonts w:ascii="Calibri" w:eastAsia="Times New Roman" w:hAnsi="Calibri" w:cs="Calibri"/>
                <w:color w:val="000000"/>
              </w:rPr>
              <w:t>Not Applicable</w:t>
            </w:r>
          </w:p>
        </w:tc>
      </w:tr>
    </w:tbl>
    <w:p w14:paraId="5BCF988A" w14:textId="77777777" w:rsidR="00AA2DD6" w:rsidRDefault="00AA2DD6" w:rsidP="00A608C4">
      <w:pPr>
        <w:spacing w:after="0" w:line="240" w:lineRule="auto"/>
        <w:rPr>
          <w:rFonts w:ascii="Segoe UI" w:hAnsi="Segoe UI" w:cs="Segoe UI"/>
          <w:color w:val="242729"/>
          <w:sz w:val="23"/>
          <w:szCs w:val="23"/>
          <w:shd w:val="clear" w:color="auto" w:fill="FFFFFF"/>
        </w:rPr>
      </w:pPr>
    </w:p>
    <w:p w14:paraId="356099EF" w14:textId="2D1BEFD5" w:rsidR="00AA2DD6" w:rsidRDefault="00AA2DD6" w:rsidP="00A608C4">
      <w:pPr>
        <w:spacing w:after="0" w:line="240" w:lineRule="auto"/>
        <w:rPr>
          <w:rFonts w:ascii="Segoe UI" w:hAnsi="Segoe UI" w:cs="Segoe UI"/>
          <w:color w:val="242729"/>
          <w:sz w:val="23"/>
          <w:szCs w:val="23"/>
          <w:shd w:val="clear" w:color="auto" w:fill="FFFFFF"/>
        </w:rPr>
      </w:pPr>
      <w:r>
        <w:rPr>
          <w:rFonts w:ascii="Segoe UI" w:hAnsi="Segoe UI" w:cs="Segoe UI"/>
          <w:color w:val="242729"/>
          <w:sz w:val="23"/>
          <w:szCs w:val="23"/>
          <w:shd w:val="clear" w:color="auto" w:fill="FFFFFF"/>
        </w:rPr>
        <w:t>Table 3: Calculation of standard deviation</w:t>
      </w:r>
    </w:p>
    <w:tbl>
      <w:tblPr>
        <w:tblStyle w:val="TableGrid"/>
        <w:tblW w:w="0" w:type="auto"/>
        <w:tblLook w:val="04A0" w:firstRow="1" w:lastRow="0" w:firstColumn="1" w:lastColumn="0" w:noHBand="0" w:noVBand="1"/>
      </w:tblPr>
      <w:tblGrid>
        <w:gridCol w:w="625"/>
        <w:gridCol w:w="4410"/>
        <w:gridCol w:w="1620"/>
        <w:gridCol w:w="1710"/>
      </w:tblGrid>
      <w:tr w:rsidR="00AA2DD6" w:rsidRPr="00AA2DD6" w14:paraId="71F66366" w14:textId="77777777" w:rsidTr="00AA2DD6">
        <w:trPr>
          <w:cantSplit/>
          <w:trHeight w:val="288"/>
          <w:tblHeader/>
        </w:trPr>
        <w:tc>
          <w:tcPr>
            <w:tcW w:w="8365" w:type="dxa"/>
            <w:gridSpan w:val="4"/>
          </w:tcPr>
          <w:p w14:paraId="62445178" w14:textId="1F5FDD9E" w:rsidR="00AA2DD6" w:rsidRPr="00AA2DD6" w:rsidRDefault="00AA2DD6" w:rsidP="00AA2DD6">
            <w:pPr>
              <w:rPr>
                <w:rFonts w:ascii="Segoe UI" w:hAnsi="Segoe UI" w:cs="Segoe UI"/>
                <w:b/>
                <w:bCs/>
                <w:color w:val="242729"/>
                <w:sz w:val="23"/>
                <w:szCs w:val="23"/>
                <w:shd w:val="clear" w:color="auto" w:fill="FFFFFF"/>
              </w:rPr>
            </w:pPr>
            <w:r w:rsidRPr="00AA2DD6">
              <w:rPr>
                <w:rFonts w:ascii="Segoe UI" w:hAnsi="Segoe UI" w:cs="Segoe UI"/>
                <w:b/>
                <w:bCs/>
                <w:color w:val="242729"/>
                <w:sz w:val="23"/>
                <w:szCs w:val="23"/>
                <w:shd w:val="clear" w:color="auto" w:fill="FFFFFF"/>
              </w:rPr>
              <w:t>Drug stock-out</w:t>
            </w:r>
          </w:p>
        </w:tc>
      </w:tr>
      <w:tr w:rsidR="00AA2DD6" w:rsidRPr="00AA2DD6" w14:paraId="6D7A3275" w14:textId="77777777" w:rsidTr="00AA2DD6">
        <w:trPr>
          <w:cantSplit/>
          <w:trHeight w:val="288"/>
          <w:tblHeader/>
        </w:trPr>
        <w:tc>
          <w:tcPr>
            <w:tcW w:w="5035" w:type="dxa"/>
            <w:gridSpan w:val="2"/>
          </w:tcPr>
          <w:p w14:paraId="14503518" w14:textId="060F70A9" w:rsidR="00AA2DD6" w:rsidRPr="00AA2DD6" w:rsidRDefault="00AA2DD6" w:rsidP="00AA2DD6">
            <w:pPr>
              <w:rPr>
                <w:rFonts w:ascii="Segoe UI" w:hAnsi="Segoe UI" w:cs="Segoe UI"/>
                <w:b/>
                <w:bCs/>
                <w:color w:val="242729"/>
                <w:sz w:val="23"/>
                <w:szCs w:val="23"/>
                <w:shd w:val="clear" w:color="auto" w:fill="FFFFFF"/>
              </w:rPr>
            </w:pPr>
            <w:r w:rsidRPr="00AA2DD6">
              <w:rPr>
                <w:rFonts w:ascii="Segoe UI" w:hAnsi="Segoe UI" w:cs="Segoe UI"/>
                <w:b/>
                <w:bCs/>
                <w:color w:val="242729"/>
                <w:sz w:val="23"/>
                <w:szCs w:val="23"/>
                <w:shd w:val="clear" w:color="auto" w:fill="FFFFFF"/>
              </w:rPr>
              <w:t> </w:t>
            </w:r>
          </w:p>
        </w:tc>
        <w:tc>
          <w:tcPr>
            <w:tcW w:w="1620" w:type="dxa"/>
            <w:hideMark/>
          </w:tcPr>
          <w:p w14:paraId="6411A911" w14:textId="4EC80BE3" w:rsidR="00AA2DD6" w:rsidRPr="00AA2DD6" w:rsidRDefault="00AA2DD6" w:rsidP="00AA2DD6">
            <w:pPr>
              <w:rPr>
                <w:rFonts w:ascii="Segoe UI" w:hAnsi="Segoe UI" w:cs="Segoe UI"/>
                <w:b/>
                <w:bCs/>
                <w:color w:val="242729"/>
                <w:sz w:val="23"/>
                <w:szCs w:val="23"/>
                <w:shd w:val="clear" w:color="auto" w:fill="FFFFFF"/>
              </w:rPr>
            </w:pPr>
            <w:r>
              <w:rPr>
                <w:rFonts w:ascii="Segoe UI" w:hAnsi="Segoe UI" w:cs="Segoe UI"/>
                <w:b/>
                <w:bCs/>
                <w:color w:val="242729"/>
                <w:sz w:val="23"/>
                <w:szCs w:val="23"/>
                <w:shd w:val="clear" w:color="auto" w:fill="FFFFFF"/>
              </w:rPr>
              <w:t>CHW</w:t>
            </w:r>
          </w:p>
        </w:tc>
        <w:tc>
          <w:tcPr>
            <w:tcW w:w="1710" w:type="dxa"/>
            <w:hideMark/>
          </w:tcPr>
          <w:p w14:paraId="148FD8BB" w14:textId="404F9B13" w:rsidR="00AA2DD6" w:rsidRPr="00AA2DD6" w:rsidRDefault="00AA2DD6" w:rsidP="00AA2DD6">
            <w:pPr>
              <w:rPr>
                <w:rFonts w:ascii="Segoe UI" w:hAnsi="Segoe UI" w:cs="Segoe UI"/>
                <w:b/>
                <w:bCs/>
                <w:color w:val="242729"/>
                <w:sz w:val="23"/>
                <w:szCs w:val="23"/>
                <w:shd w:val="clear" w:color="auto" w:fill="FFFFFF"/>
              </w:rPr>
            </w:pPr>
            <w:r>
              <w:rPr>
                <w:rFonts w:ascii="Segoe UI" w:hAnsi="Segoe UI" w:cs="Segoe UI"/>
                <w:b/>
                <w:bCs/>
                <w:color w:val="242729"/>
                <w:sz w:val="23"/>
                <w:szCs w:val="23"/>
                <w:shd w:val="clear" w:color="auto" w:fill="FFFFFF"/>
              </w:rPr>
              <w:t>Health center</w:t>
            </w:r>
          </w:p>
        </w:tc>
      </w:tr>
      <w:tr w:rsidR="00AA2DD6" w:rsidRPr="00AA2DD6" w14:paraId="4163ABBD" w14:textId="77777777" w:rsidTr="00AA2DD6">
        <w:trPr>
          <w:cantSplit/>
          <w:trHeight w:val="288"/>
        </w:trPr>
        <w:tc>
          <w:tcPr>
            <w:tcW w:w="625" w:type="dxa"/>
            <w:vMerge w:val="restart"/>
            <w:textDirection w:val="btLr"/>
            <w:vAlign w:val="center"/>
          </w:tcPr>
          <w:p w14:paraId="7A15579D" w14:textId="1D833155" w:rsidR="00AA2DD6" w:rsidRPr="00AA2DD6" w:rsidRDefault="00AA2DD6" w:rsidP="00AA2DD6">
            <w:pPr>
              <w:ind w:left="113" w:right="113"/>
              <w:jc w:val="center"/>
              <w:rPr>
                <w:rFonts w:ascii="Segoe UI" w:hAnsi="Segoe UI" w:cs="Segoe UI"/>
                <w:b/>
                <w:bCs/>
                <w:color w:val="242729"/>
                <w:sz w:val="23"/>
                <w:szCs w:val="23"/>
                <w:shd w:val="clear" w:color="auto" w:fill="FFFFFF"/>
              </w:rPr>
            </w:pPr>
            <w:r w:rsidRPr="00AA2DD6">
              <w:rPr>
                <w:rFonts w:ascii="Segoe UI" w:hAnsi="Segoe UI" w:cs="Segoe UI"/>
                <w:b/>
                <w:bCs/>
                <w:color w:val="242729"/>
                <w:sz w:val="23"/>
                <w:szCs w:val="23"/>
                <w:shd w:val="clear" w:color="auto" w:fill="FFFFFF"/>
              </w:rPr>
              <w:t>2006 - 2021</w:t>
            </w:r>
          </w:p>
        </w:tc>
        <w:tc>
          <w:tcPr>
            <w:tcW w:w="4410" w:type="dxa"/>
            <w:hideMark/>
          </w:tcPr>
          <w:p w14:paraId="03EE9903" w14:textId="0178DED9"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 xml:space="preserve">Sum fx </w:t>
            </w:r>
          </w:p>
        </w:tc>
        <w:tc>
          <w:tcPr>
            <w:tcW w:w="1620" w:type="dxa"/>
            <w:noWrap/>
            <w:hideMark/>
          </w:tcPr>
          <w:p w14:paraId="7370A7C8"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1804617.37</w:t>
            </w:r>
          </w:p>
        </w:tc>
        <w:tc>
          <w:tcPr>
            <w:tcW w:w="1710" w:type="dxa"/>
            <w:noWrap/>
            <w:hideMark/>
          </w:tcPr>
          <w:p w14:paraId="43E19D7D" w14:textId="44EDE2C6"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21849.3</w:t>
            </w:r>
            <w:r>
              <w:rPr>
                <w:rFonts w:ascii="Segoe UI" w:hAnsi="Segoe UI" w:cs="Segoe UI"/>
                <w:color w:val="242729"/>
                <w:sz w:val="23"/>
                <w:szCs w:val="23"/>
                <w:shd w:val="clear" w:color="auto" w:fill="FFFFFF"/>
              </w:rPr>
              <w:t>0</w:t>
            </w:r>
          </w:p>
        </w:tc>
      </w:tr>
      <w:tr w:rsidR="00AA2DD6" w:rsidRPr="00AA2DD6" w14:paraId="286BAF5E" w14:textId="77777777" w:rsidTr="00AA2DD6">
        <w:trPr>
          <w:cantSplit/>
          <w:trHeight w:val="288"/>
        </w:trPr>
        <w:tc>
          <w:tcPr>
            <w:tcW w:w="625" w:type="dxa"/>
            <w:vMerge/>
          </w:tcPr>
          <w:p w14:paraId="64DD9875"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27C037A5" w14:textId="1509D02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 xml:space="preserve">Sum f </w:t>
            </w:r>
          </w:p>
        </w:tc>
        <w:tc>
          <w:tcPr>
            <w:tcW w:w="1620" w:type="dxa"/>
            <w:noWrap/>
            <w:hideMark/>
          </w:tcPr>
          <w:p w14:paraId="14238172"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62372</w:t>
            </w:r>
          </w:p>
        </w:tc>
        <w:tc>
          <w:tcPr>
            <w:tcW w:w="1710" w:type="dxa"/>
            <w:hideMark/>
          </w:tcPr>
          <w:p w14:paraId="3129B759"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2383</w:t>
            </w:r>
          </w:p>
        </w:tc>
      </w:tr>
      <w:tr w:rsidR="00AA2DD6" w:rsidRPr="00AA2DD6" w14:paraId="00C8DE4A" w14:textId="77777777" w:rsidTr="00AA2DD6">
        <w:trPr>
          <w:cantSplit/>
          <w:trHeight w:val="288"/>
        </w:trPr>
        <w:tc>
          <w:tcPr>
            <w:tcW w:w="625" w:type="dxa"/>
            <w:vMerge/>
          </w:tcPr>
          <w:p w14:paraId="307E531C"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4633816A" w14:textId="242EBFBC"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 xml:space="preserve">X̄ = </w:t>
            </w:r>
            <w:r w:rsidRPr="00AA2DD6">
              <w:rPr>
                <w:rFonts w:ascii="Segoe UI" w:hAnsi="Segoe UI" w:cs="Segoe UI"/>
                <w:color w:val="242729"/>
                <w:sz w:val="23"/>
                <w:szCs w:val="23"/>
                <w:u w:val="single"/>
                <w:shd w:val="clear" w:color="auto" w:fill="FFFFFF"/>
              </w:rPr>
              <w:t>Sum fx</w:t>
            </w:r>
            <w:r w:rsidRPr="00AA2DD6">
              <w:rPr>
                <w:rFonts w:ascii="Segoe UI" w:hAnsi="Segoe UI" w:cs="Segoe UI"/>
                <w:color w:val="242729"/>
                <w:sz w:val="23"/>
                <w:szCs w:val="23"/>
                <w:shd w:val="clear" w:color="auto" w:fill="FFFFFF"/>
              </w:rPr>
              <w:br/>
              <w:t xml:space="preserve">      Sum of f </w:t>
            </w:r>
          </w:p>
        </w:tc>
        <w:tc>
          <w:tcPr>
            <w:tcW w:w="1620" w:type="dxa"/>
            <w:hideMark/>
          </w:tcPr>
          <w:p w14:paraId="40F8984C"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28.93</w:t>
            </w:r>
          </w:p>
        </w:tc>
        <w:tc>
          <w:tcPr>
            <w:tcW w:w="1710" w:type="dxa"/>
            <w:hideMark/>
          </w:tcPr>
          <w:p w14:paraId="1BF77ED1"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9.17</w:t>
            </w:r>
          </w:p>
        </w:tc>
      </w:tr>
      <w:tr w:rsidR="00AA2DD6" w:rsidRPr="00AA2DD6" w14:paraId="5E860BEC" w14:textId="77777777" w:rsidTr="00AA2DD6">
        <w:trPr>
          <w:cantSplit/>
          <w:trHeight w:val="288"/>
        </w:trPr>
        <w:tc>
          <w:tcPr>
            <w:tcW w:w="625" w:type="dxa"/>
            <w:vMerge/>
          </w:tcPr>
          <w:p w14:paraId="37F35480"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35045F80" w14:textId="79471B68"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Variance = Sum (f(x-X̄)^2)/ Sum f-1</w:t>
            </w:r>
          </w:p>
        </w:tc>
        <w:tc>
          <w:tcPr>
            <w:tcW w:w="1620" w:type="dxa"/>
            <w:hideMark/>
          </w:tcPr>
          <w:p w14:paraId="03D08832"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286.86</w:t>
            </w:r>
          </w:p>
        </w:tc>
        <w:tc>
          <w:tcPr>
            <w:tcW w:w="1710" w:type="dxa"/>
            <w:hideMark/>
          </w:tcPr>
          <w:p w14:paraId="7205AB35"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173.79</w:t>
            </w:r>
          </w:p>
        </w:tc>
      </w:tr>
      <w:tr w:rsidR="00AA2DD6" w:rsidRPr="00AA2DD6" w14:paraId="317663B3" w14:textId="77777777" w:rsidTr="00AA2DD6">
        <w:trPr>
          <w:cantSplit/>
          <w:trHeight w:val="288"/>
        </w:trPr>
        <w:tc>
          <w:tcPr>
            <w:tcW w:w="625" w:type="dxa"/>
            <w:vMerge/>
          </w:tcPr>
          <w:p w14:paraId="7500C2A8"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5784421C" w14:textId="35235734"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Std dev.</w:t>
            </w:r>
            <w:r>
              <w:rPr>
                <w:rFonts w:ascii="Segoe UI" w:hAnsi="Segoe UI" w:cs="Segoe UI"/>
                <w:color w:val="242729"/>
                <w:sz w:val="23"/>
                <w:szCs w:val="23"/>
                <w:shd w:val="clear" w:color="auto" w:fill="FFFFFF"/>
              </w:rPr>
              <w:t xml:space="preserve"> = √variance</w:t>
            </w:r>
          </w:p>
        </w:tc>
        <w:tc>
          <w:tcPr>
            <w:tcW w:w="1620" w:type="dxa"/>
            <w:hideMark/>
          </w:tcPr>
          <w:p w14:paraId="07E92329"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16.94</w:t>
            </w:r>
          </w:p>
        </w:tc>
        <w:tc>
          <w:tcPr>
            <w:tcW w:w="1710" w:type="dxa"/>
            <w:hideMark/>
          </w:tcPr>
          <w:p w14:paraId="15F6A075"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13.18</w:t>
            </w:r>
          </w:p>
        </w:tc>
      </w:tr>
      <w:tr w:rsidR="00AA2DD6" w:rsidRPr="00AA2DD6" w14:paraId="508E0AB2" w14:textId="77777777" w:rsidTr="00AA2DD6">
        <w:trPr>
          <w:cantSplit/>
          <w:trHeight w:val="288"/>
        </w:trPr>
        <w:tc>
          <w:tcPr>
            <w:tcW w:w="625" w:type="dxa"/>
            <w:vMerge/>
          </w:tcPr>
          <w:p w14:paraId="4A3E5F88"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25DB9089" w14:textId="393891CE"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No of studies (count)</w:t>
            </w:r>
          </w:p>
        </w:tc>
        <w:tc>
          <w:tcPr>
            <w:tcW w:w="1620" w:type="dxa"/>
            <w:hideMark/>
          </w:tcPr>
          <w:p w14:paraId="7344AEAF"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28</w:t>
            </w:r>
          </w:p>
        </w:tc>
        <w:tc>
          <w:tcPr>
            <w:tcW w:w="1710" w:type="dxa"/>
            <w:hideMark/>
          </w:tcPr>
          <w:p w14:paraId="2CEE6464"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28</w:t>
            </w:r>
          </w:p>
        </w:tc>
      </w:tr>
      <w:tr w:rsidR="00AA2DD6" w:rsidRPr="00AA2DD6" w14:paraId="1A5D91C6" w14:textId="77777777" w:rsidTr="00AA2DD6">
        <w:trPr>
          <w:cantSplit/>
          <w:trHeight w:val="288"/>
        </w:trPr>
        <w:tc>
          <w:tcPr>
            <w:tcW w:w="625" w:type="dxa"/>
            <w:vMerge w:val="restart"/>
            <w:textDirection w:val="btLr"/>
            <w:vAlign w:val="center"/>
          </w:tcPr>
          <w:p w14:paraId="1C682FAD" w14:textId="56DF2764" w:rsidR="00AA2DD6" w:rsidRPr="00AA2DD6" w:rsidRDefault="00AA2DD6" w:rsidP="00AA2DD6">
            <w:pPr>
              <w:ind w:left="113" w:right="113"/>
              <w:jc w:val="center"/>
              <w:rPr>
                <w:rFonts w:ascii="Segoe UI" w:hAnsi="Segoe UI" w:cs="Segoe UI"/>
                <w:b/>
                <w:bCs/>
                <w:color w:val="242729"/>
                <w:sz w:val="23"/>
                <w:szCs w:val="23"/>
                <w:shd w:val="clear" w:color="auto" w:fill="FFFFFF"/>
              </w:rPr>
            </w:pPr>
            <w:r w:rsidRPr="00AA2DD6">
              <w:rPr>
                <w:rFonts w:ascii="Segoe UI" w:hAnsi="Segoe UI" w:cs="Segoe UI"/>
                <w:b/>
                <w:bCs/>
                <w:color w:val="242729"/>
                <w:sz w:val="23"/>
                <w:szCs w:val="23"/>
                <w:shd w:val="clear" w:color="auto" w:fill="FFFFFF"/>
              </w:rPr>
              <w:t>2006</w:t>
            </w:r>
            <w:r>
              <w:rPr>
                <w:rFonts w:ascii="Segoe UI" w:hAnsi="Segoe UI" w:cs="Segoe UI"/>
                <w:b/>
                <w:bCs/>
                <w:color w:val="242729"/>
                <w:sz w:val="23"/>
                <w:szCs w:val="23"/>
                <w:shd w:val="clear" w:color="auto" w:fill="FFFFFF"/>
              </w:rPr>
              <w:t xml:space="preserve"> </w:t>
            </w:r>
            <w:r w:rsidRPr="00AA2DD6">
              <w:rPr>
                <w:rFonts w:ascii="Segoe UI" w:hAnsi="Segoe UI" w:cs="Segoe UI"/>
                <w:b/>
                <w:bCs/>
                <w:color w:val="242729"/>
                <w:sz w:val="23"/>
                <w:szCs w:val="23"/>
                <w:shd w:val="clear" w:color="auto" w:fill="FFFFFF"/>
              </w:rPr>
              <w:t>-2015</w:t>
            </w:r>
          </w:p>
        </w:tc>
        <w:tc>
          <w:tcPr>
            <w:tcW w:w="4410" w:type="dxa"/>
            <w:hideMark/>
          </w:tcPr>
          <w:p w14:paraId="743D3B9B" w14:textId="49F719BE"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 xml:space="preserve"> Sum fx </w:t>
            </w:r>
          </w:p>
        </w:tc>
        <w:tc>
          <w:tcPr>
            <w:tcW w:w="1620" w:type="dxa"/>
            <w:hideMark/>
          </w:tcPr>
          <w:p w14:paraId="6C24AD8E"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1454394.87</w:t>
            </w:r>
          </w:p>
        </w:tc>
        <w:tc>
          <w:tcPr>
            <w:tcW w:w="1710" w:type="dxa"/>
            <w:hideMark/>
          </w:tcPr>
          <w:p w14:paraId="5623115A"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14624.30</w:t>
            </w:r>
          </w:p>
        </w:tc>
      </w:tr>
      <w:tr w:rsidR="00AA2DD6" w:rsidRPr="00AA2DD6" w14:paraId="3F98A8A8" w14:textId="77777777" w:rsidTr="00AA2DD6">
        <w:trPr>
          <w:cantSplit/>
          <w:trHeight w:val="288"/>
        </w:trPr>
        <w:tc>
          <w:tcPr>
            <w:tcW w:w="625" w:type="dxa"/>
            <w:vMerge/>
          </w:tcPr>
          <w:p w14:paraId="7CC8EFAD"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12AE17DF" w14:textId="27A375E0"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 xml:space="preserve">Sum of f </w:t>
            </w:r>
          </w:p>
        </w:tc>
        <w:tc>
          <w:tcPr>
            <w:tcW w:w="1620" w:type="dxa"/>
            <w:hideMark/>
          </w:tcPr>
          <w:p w14:paraId="3BD68FAB"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55173</w:t>
            </w:r>
          </w:p>
        </w:tc>
        <w:tc>
          <w:tcPr>
            <w:tcW w:w="1710" w:type="dxa"/>
            <w:hideMark/>
          </w:tcPr>
          <w:p w14:paraId="31525BCE"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1877.00</w:t>
            </w:r>
          </w:p>
        </w:tc>
      </w:tr>
      <w:tr w:rsidR="00AA2DD6" w:rsidRPr="00AA2DD6" w14:paraId="5069A32C" w14:textId="77777777" w:rsidTr="00AA2DD6">
        <w:trPr>
          <w:cantSplit/>
          <w:trHeight w:val="288"/>
        </w:trPr>
        <w:tc>
          <w:tcPr>
            <w:tcW w:w="625" w:type="dxa"/>
            <w:vMerge/>
          </w:tcPr>
          <w:p w14:paraId="60C2F979"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5E8AFF0F" w14:textId="75219BF2"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 xml:space="preserve">X̄= </w:t>
            </w:r>
            <w:r w:rsidRPr="00AA2DD6">
              <w:rPr>
                <w:rFonts w:ascii="Segoe UI" w:hAnsi="Segoe UI" w:cs="Segoe UI"/>
                <w:color w:val="242729"/>
                <w:sz w:val="23"/>
                <w:szCs w:val="23"/>
                <w:u w:val="single"/>
                <w:shd w:val="clear" w:color="auto" w:fill="FFFFFF"/>
              </w:rPr>
              <w:t>Sum x</w:t>
            </w:r>
            <w:r w:rsidRPr="00AA2DD6">
              <w:rPr>
                <w:rFonts w:ascii="Segoe UI" w:hAnsi="Segoe UI" w:cs="Segoe UI"/>
                <w:color w:val="242729"/>
                <w:sz w:val="23"/>
                <w:szCs w:val="23"/>
                <w:shd w:val="clear" w:color="auto" w:fill="FFFFFF"/>
              </w:rPr>
              <w:br/>
              <w:t xml:space="preserve">      Sum of f </w:t>
            </w:r>
          </w:p>
        </w:tc>
        <w:tc>
          <w:tcPr>
            <w:tcW w:w="1620" w:type="dxa"/>
            <w:hideMark/>
          </w:tcPr>
          <w:p w14:paraId="1567CDF9"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26.36</w:t>
            </w:r>
          </w:p>
        </w:tc>
        <w:tc>
          <w:tcPr>
            <w:tcW w:w="1710" w:type="dxa"/>
            <w:hideMark/>
          </w:tcPr>
          <w:p w14:paraId="4A559609"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7.79</w:t>
            </w:r>
          </w:p>
        </w:tc>
      </w:tr>
      <w:tr w:rsidR="00AA2DD6" w:rsidRPr="00AA2DD6" w14:paraId="4D868FCB" w14:textId="77777777" w:rsidTr="00AA2DD6">
        <w:trPr>
          <w:cantSplit/>
          <w:trHeight w:val="288"/>
        </w:trPr>
        <w:tc>
          <w:tcPr>
            <w:tcW w:w="625" w:type="dxa"/>
            <w:vMerge/>
          </w:tcPr>
          <w:p w14:paraId="437612CE"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7FA5A8E5" w14:textId="32E983E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Variance = Sum (f(x-xbar)^2)/ Sum f-1</w:t>
            </w:r>
          </w:p>
        </w:tc>
        <w:tc>
          <w:tcPr>
            <w:tcW w:w="1620" w:type="dxa"/>
            <w:hideMark/>
          </w:tcPr>
          <w:p w14:paraId="114D5833"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240.67</w:t>
            </w:r>
          </w:p>
        </w:tc>
        <w:tc>
          <w:tcPr>
            <w:tcW w:w="1710" w:type="dxa"/>
            <w:hideMark/>
          </w:tcPr>
          <w:p w14:paraId="5F3D4B81"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188.58</w:t>
            </w:r>
          </w:p>
        </w:tc>
      </w:tr>
      <w:tr w:rsidR="00AA2DD6" w:rsidRPr="00AA2DD6" w14:paraId="3996138B" w14:textId="77777777" w:rsidTr="00AA2DD6">
        <w:trPr>
          <w:cantSplit/>
          <w:trHeight w:val="288"/>
        </w:trPr>
        <w:tc>
          <w:tcPr>
            <w:tcW w:w="625" w:type="dxa"/>
            <w:vMerge/>
          </w:tcPr>
          <w:p w14:paraId="0603B34B"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3E474938" w14:textId="32A4865C"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Std dev.</w:t>
            </w:r>
            <w:r>
              <w:rPr>
                <w:rFonts w:ascii="Segoe UI" w:hAnsi="Segoe UI" w:cs="Segoe UI"/>
                <w:color w:val="242729"/>
                <w:sz w:val="23"/>
                <w:szCs w:val="23"/>
                <w:shd w:val="clear" w:color="auto" w:fill="FFFFFF"/>
              </w:rPr>
              <w:t xml:space="preserve"> = √variance</w:t>
            </w:r>
          </w:p>
        </w:tc>
        <w:tc>
          <w:tcPr>
            <w:tcW w:w="1620" w:type="dxa"/>
            <w:hideMark/>
          </w:tcPr>
          <w:p w14:paraId="4FD0C774"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15.51</w:t>
            </w:r>
          </w:p>
        </w:tc>
        <w:tc>
          <w:tcPr>
            <w:tcW w:w="1710" w:type="dxa"/>
            <w:hideMark/>
          </w:tcPr>
          <w:p w14:paraId="17808C61"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13.73</w:t>
            </w:r>
          </w:p>
        </w:tc>
      </w:tr>
      <w:tr w:rsidR="00AA2DD6" w:rsidRPr="00AA2DD6" w14:paraId="58D610A3" w14:textId="77777777" w:rsidTr="00AA2DD6">
        <w:trPr>
          <w:cantSplit/>
          <w:trHeight w:val="288"/>
        </w:trPr>
        <w:tc>
          <w:tcPr>
            <w:tcW w:w="625" w:type="dxa"/>
            <w:vMerge/>
          </w:tcPr>
          <w:p w14:paraId="02D3D703"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4D789F13" w14:textId="57020056"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No of studies (count)</w:t>
            </w:r>
          </w:p>
        </w:tc>
        <w:tc>
          <w:tcPr>
            <w:tcW w:w="1620" w:type="dxa"/>
            <w:hideMark/>
          </w:tcPr>
          <w:p w14:paraId="277B851A"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17</w:t>
            </w:r>
          </w:p>
        </w:tc>
        <w:tc>
          <w:tcPr>
            <w:tcW w:w="1710" w:type="dxa"/>
            <w:hideMark/>
          </w:tcPr>
          <w:p w14:paraId="48AE112F"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17</w:t>
            </w:r>
          </w:p>
        </w:tc>
      </w:tr>
      <w:tr w:rsidR="00AA2DD6" w:rsidRPr="00AA2DD6" w14:paraId="79DFC776" w14:textId="77777777" w:rsidTr="00AA2DD6">
        <w:trPr>
          <w:cantSplit/>
          <w:trHeight w:val="288"/>
        </w:trPr>
        <w:tc>
          <w:tcPr>
            <w:tcW w:w="625" w:type="dxa"/>
            <w:vMerge w:val="restart"/>
            <w:textDirection w:val="btLr"/>
            <w:vAlign w:val="center"/>
          </w:tcPr>
          <w:p w14:paraId="6782A188" w14:textId="7013E0EB" w:rsidR="00AA2DD6" w:rsidRPr="00AA2DD6" w:rsidRDefault="00AA2DD6" w:rsidP="00AA2DD6">
            <w:pPr>
              <w:ind w:left="113" w:right="113"/>
              <w:jc w:val="center"/>
              <w:rPr>
                <w:rFonts w:ascii="Segoe UI" w:hAnsi="Segoe UI" w:cs="Segoe UI"/>
                <w:b/>
                <w:bCs/>
                <w:color w:val="242729"/>
                <w:sz w:val="23"/>
                <w:szCs w:val="23"/>
                <w:shd w:val="clear" w:color="auto" w:fill="FFFFFF"/>
              </w:rPr>
            </w:pPr>
            <w:r w:rsidRPr="00AA2DD6">
              <w:rPr>
                <w:rFonts w:ascii="Segoe UI" w:hAnsi="Segoe UI" w:cs="Segoe UI"/>
                <w:b/>
                <w:bCs/>
                <w:color w:val="242729"/>
                <w:sz w:val="23"/>
                <w:szCs w:val="23"/>
                <w:shd w:val="clear" w:color="auto" w:fill="FFFFFF"/>
              </w:rPr>
              <w:t>2016-2021</w:t>
            </w:r>
          </w:p>
        </w:tc>
        <w:tc>
          <w:tcPr>
            <w:tcW w:w="4410" w:type="dxa"/>
            <w:hideMark/>
          </w:tcPr>
          <w:p w14:paraId="274931E1" w14:textId="61E80A80"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 xml:space="preserve">Sum </w:t>
            </w:r>
            <w:r>
              <w:rPr>
                <w:rFonts w:ascii="Segoe UI" w:hAnsi="Segoe UI" w:cs="Segoe UI"/>
                <w:color w:val="242729"/>
                <w:sz w:val="23"/>
                <w:szCs w:val="23"/>
                <w:shd w:val="clear" w:color="auto" w:fill="FFFFFF"/>
              </w:rPr>
              <w:t>f</w:t>
            </w:r>
            <w:r w:rsidRPr="00AA2DD6">
              <w:rPr>
                <w:rFonts w:ascii="Segoe UI" w:hAnsi="Segoe UI" w:cs="Segoe UI"/>
                <w:color w:val="242729"/>
                <w:sz w:val="23"/>
                <w:szCs w:val="23"/>
                <w:shd w:val="clear" w:color="auto" w:fill="FFFFFF"/>
              </w:rPr>
              <w:t xml:space="preserve">x </w:t>
            </w:r>
          </w:p>
        </w:tc>
        <w:tc>
          <w:tcPr>
            <w:tcW w:w="1620" w:type="dxa"/>
            <w:hideMark/>
          </w:tcPr>
          <w:p w14:paraId="3E0B5776"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350222.50</w:t>
            </w:r>
          </w:p>
        </w:tc>
        <w:tc>
          <w:tcPr>
            <w:tcW w:w="1710" w:type="dxa"/>
            <w:hideMark/>
          </w:tcPr>
          <w:p w14:paraId="542711B9"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7225.00</w:t>
            </w:r>
          </w:p>
        </w:tc>
      </w:tr>
      <w:tr w:rsidR="00AA2DD6" w:rsidRPr="00AA2DD6" w14:paraId="4C3E9FEA" w14:textId="77777777" w:rsidTr="00AA2DD6">
        <w:trPr>
          <w:cantSplit/>
          <w:trHeight w:val="288"/>
        </w:trPr>
        <w:tc>
          <w:tcPr>
            <w:tcW w:w="625" w:type="dxa"/>
            <w:vMerge/>
          </w:tcPr>
          <w:p w14:paraId="3E3AADD0"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18F3F13B" w14:textId="65A54B47" w:rsidR="00AA2DD6" w:rsidRPr="00AA2DD6" w:rsidRDefault="00AA2DD6" w:rsidP="00AA2DD6">
            <w:pPr>
              <w:rPr>
                <w:rFonts w:ascii="Segoe UI" w:hAnsi="Segoe UI" w:cs="Segoe UI"/>
                <w:color w:val="242729"/>
                <w:sz w:val="23"/>
                <w:szCs w:val="23"/>
                <w:shd w:val="clear" w:color="auto" w:fill="FFFFFF"/>
              </w:rPr>
            </w:pPr>
            <w:r>
              <w:rPr>
                <w:rFonts w:ascii="Segoe UI" w:hAnsi="Segoe UI" w:cs="Segoe UI"/>
                <w:color w:val="242729"/>
                <w:sz w:val="23"/>
                <w:szCs w:val="23"/>
                <w:shd w:val="clear" w:color="auto" w:fill="FFFFFF"/>
              </w:rPr>
              <w:t>Sum f</w:t>
            </w:r>
          </w:p>
        </w:tc>
        <w:tc>
          <w:tcPr>
            <w:tcW w:w="1620" w:type="dxa"/>
            <w:hideMark/>
          </w:tcPr>
          <w:p w14:paraId="617A258B"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7199</w:t>
            </w:r>
          </w:p>
        </w:tc>
        <w:tc>
          <w:tcPr>
            <w:tcW w:w="1710" w:type="dxa"/>
            <w:hideMark/>
          </w:tcPr>
          <w:p w14:paraId="25FF3FC8" w14:textId="5F9694B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506</w:t>
            </w:r>
          </w:p>
        </w:tc>
      </w:tr>
      <w:tr w:rsidR="00AA2DD6" w:rsidRPr="00AA2DD6" w14:paraId="7CFA4A1B" w14:textId="77777777" w:rsidTr="00AA2DD6">
        <w:trPr>
          <w:cantSplit/>
          <w:trHeight w:val="288"/>
        </w:trPr>
        <w:tc>
          <w:tcPr>
            <w:tcW w:w="625" w:type="dxa"/>
            <w:vMerge/>
          </w:tcPr>
          <w:p w14:paraId="429A72FD"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1989C00F" w14:textId="1145C63A"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 xml:space="preserve">P= </w:t>
            </w:r>
            <w:r w:rsidRPr="00AA2DD6">
              <w:rPr>
                <w:rFonts w:ascii="Segoe UI" w:hAnsi="Segoe UI" w:cs="Segoe UI"/>
                <w:color w:val="242729"/>
                <w:sz w:val="23"/>
                <w:szCs w:val="23"/>
                <w:u w:val="single"/>
                <w:shd w:val="clear" w:color="auto" w:fill="FFFFFF"/>
              </w:rPr>
              <w:t>Sum fx</w:t>
            </w:r>
            <w:r w:rsidRPr="00AA2DD6">
              <w:rPr>
                <w:rFonts w:ascii="Segoe UI" w:hAnsi="Segoe UI" w:cs="Segoe UI"/>
                <w:color w:val="242729"/>
                <w:sz w:val="23"/>
                <w:szCs w:val="23"/>
                <w:shd w:val="clear" w:color="auto" w:fill="FFFFFF"/>
              </w:rPr>
              <w:br/>
              <w:t xml:space="preserve">      Sum of f </w:t>
            </w:r>
          </w:p>
        </w:tc>
        <w:tc>
          <w:tcPr>
            <w:tcW w:w="1620" w:type="dxa"/>
            <w:hideMark/>
          </w:tcPr>
          <w:p w14:paraId="5499B014"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48.65</w:t>
            </w:r>
          </w:p>
        </w:tc>
        <w:tc>
          <w:tcPr>
            <w:tcW w:w="1710" w:type="dxa"/>
            <w:hideMark/>
          </w:tcPr>
          <w:p w14:paraId="2704C4B0"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14.28</w:t>
            </w:r>
          </w:p>
        </w:tc>
      </w:tr>
      <w:tr w:rsidR="00AA2DD6" w:rsidRPr="00AA2DD6" w14:paraId="38CF5F4E" w14:textId="77777777" w:rsidTr="00AA2DD6">
        <w:trPr>
          <w:cantSplit/>
          <w:trHeight w:val="288"/>
        </w:trPr>
        <w:tc>
          <w:tcPr>
            <w:tcW w:w="625" w:type="dxa"/>
            <w:vMerge/>
          </w:tcPr>
          <w:p w14:paraId="6441F8B2"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28F9FA87" w14:textId="3A3A28F4"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Variance = Sum (f(x-xbar)^2)/ Sum f-1</w:t>
            </w:r>
          </w:p>
        </w:tc>
        <w:tc>
          <w:tcPr>
            <w:tcW w:w="1620" w:type="dxa"/>
            <w:hideMark/>
          </w:tcPr>
          <w:p w14:paraId="190CC551"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727.51</w:t>
            </w:r>
          </w:p>
        </w:tc>
        <w:tc>
          <w:tcPr>
            <w:tcW w:w="1710" w:type="dxa"/>
            <w:hideMark/>
          </w:tcPr>
          <w:p w14:paraId="19FA77B7"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1230.81</w:t>
            </w:r>
          </w:p>
        </w:tc>
      </w:tr>
      <w:tr w:rsidR="00AA2DD6" w:rsidRPr="00AA2DD6" w14:paraId="40C6EF1F" w14:textId="77777777" w:rsidTr="00AA2DD6">
        <w:trPr>
          <w:cantSplit/>
          <w:trHeight w:val="288"/>
        </w:trPr>
        <w:tc>
          <w:tcPr>
            <w:tcW w:w="625" w:type="dxa"/>
            <w:vMerge/>
          </w:tcPr>
          <w:p w14:paraId="4F3A135F"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0687F32E" w14:textId="5614A6E9"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Std dev.</w:t>
            </w:r>
            <w:r>
              <w:rPr>
                <w:rFonts w:ascii="Segoe UI" w:hAnsi="Segoe UI" w:cs="Segoe UI"/>
                <w:color w:val="242729"/>
                <w:sz w:val="23"/>
                <w:szCs w:val="23"/>
                <w:shd w:val="clear" w:color="auto" w:fill="FFFFFF"/>
              </w:rPr>
              <w:t xml:space="preserve"> = √variance</w:t>
            </w:r>
          </w:p>
        </w:tc>
        <w:tc>
          <w:tcPr>
            <w:tcW w:w="1620" w:type="dxa"/>
            <w:hideMark/>
          </w:tcPr>
          <w:p w14:paraId="2888D5E6"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26.97</w:t>
            </w:r>
          </w:p>
        </w:tc>
        <w:tc>
          <w:tcPr>
            <w:tcW w:w="1710" w:type="dxa"/>
            <w:hideMark/>
          </w:tcPr>
          <w:p w14:paraId="24829626"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35.08</w:t>
            </w:r>
          </w:p>
        </w:tc>
      </w:tr>
      <w:tr w:rsidR="00AA2DD6" w:rsidRPr="00AA2DD6" w14:paraId="6C6AC0C7" w14:textId="77777777" w:rsidTr="00AA2DD6">
        <w:trPr>
          <w:cantSplit/>
          <w:trHeight w:val="288"/>
        </w:trPr>
        <w:tc>
          <w:tcPr>
            <w:tcW w:w="625" w:type="dxa"/>
            <w:vMerge/>
          </w:tcPr>
          <w:p w14:paraId="3DC095BE" w14:textId="77777777" w:rsidR="00AA2DD6" w:rsidRPr="00AA2DD6" w:rsidRDefault="00AA2DD6" w:rsidP="00AA2DD6">
            <w:pPr>
              <w:rPr>
                <w:rFonts w:ascii="Segoe UI" w:hAnsi="Segoe UI" w:cs="Segoe UI"/>
                <w:color w:val="242729"/>
                <w:sz w:val="23"/>
                <w:szCs w:val="23"/>
                <w:shd w:val="clear" w:color="auto" w:fill="FFFFFF"/>
              </w:rPr>
            </w:pPr>
          </w:p>
        </w:tc>
        <w:tc>
          <w:tcPr>
            <w:tcW w:w="4410" w:type="dxa"/>
            <w:hideMark/>
          </w:tcPr>
          <w:p w14:paraId="2AD03E65" w14:textId="020610D6"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No of studies (count)</w:t>
            </w:r>
          </w:p>
        </w:tc>
        <w:tc>
          <w:tcPr>
            <w:tcW w:w="1620" w:type="dxa"/>
            <w:hideMark/>
          </w:tcPr>
          <w:p w14:paraId="11F68322"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11</w:t>
            </w:r>
          </w:p>
        </w:tc>
        <w:tc>
          <w:tcPr>
            <w:tcW w:w="1710" w:type="dxa"/>
            <w:hideMark/>
          </w:tcPr>
          <w:p w14:paraId="39116C0B" w14:textId="77777777" w:rsidR="00AA2DD6" w:rsidRPr="00AA2DD6" w:rsidRDefault="00AA2DD6" w:rsidP="00AA2DD6">
            <w:pPr>
              <w:rPr>
                <w:rFonts w:ascii="Segoe UI" w:hAnsi="Segoe UI" w:cs="Segoe UI"/>
                <w:color w:val="242729"/>
                <w:sz w:val="23"/>
                <w:szCs w:val="23"/>
                <w:shd w:val="clear" w:color="auto" w:fill="FFFFFF"/>
              </w:rPr>
            </w:pPr>
            <w:r w:rsidRPr="00AA2DD6">
              <w:rPr>
                <w:rFonts w:ascii="Segoe UI" w:hAnsi="Segoe UI" w:cs="Segoe UI"/>
                <w:color w:val="242729"/>
                <w:sz w:val="23"/>
                <w:szCs w:val="23"/>
                <w:shd w:val="clear" w:color="auto" w:fill="FFFFFF"/>
              </w:rPr>
              <w:t>11</w:t>
            </w:r>
          </w:p>
        </w:tc>
      </w:tr>
    </w:tbl>
    <w:p w14:paraId="167E2731" w14:textId="77777777" w:rsidR="00AA2DD6" w:rsidRDefault="00AA2DD6" w:rsidP="00A608C4">
      <w:pPr>
        <w:spacing w:after="0" w:line="240" w:lineRule="auto"/>
        <w:rPr>
          <w:rFonts w:ascii="Segoe UI" w:hAnsi="Segoe UI" w:cs="Segoe UI"/>
          <w:color w:val="242729"/>
          <w:sz w:val="23"/>
          <w:szCs w:val="23"/>
          <w:shd w:val="clear" w:color="auto" w:fill="FFFFFF"/>
        </w:rPr>
      </w:pPr>
    </w:p>
    <w:p w14:paraId="4FB0D546" w14:textId="77777777" w:rsidR="00AA2DD6" w:rsidRDefault="00AA2DD6" w:rsidP="00A608C4">
      <w:pPr>
        <w:spacing w:after="0" w:line="240" w:lineRule="auto"/>
        <w:rPr>
          <w:rFonts w:ascii="Segoe UI" w:hAnsi="Segoe UI" w:cs="Segoe UI"/>
          <w:color w:val="242729"/>
          <w:sz w:val="23"/>
          <w:szCs w:val="23"/>
          <w:shd w:val="clear" w:color="auto" w:fill="FFFFFF"/>
        </w:rPr>
      </w:pPr>
    </w:p>
    <w:p w14:paraId="76686B9C" w14:textId="77777777" w:rsidR="00AA2DD6" w:rsidRDefault="00AA2DD6" w:rsidP="00A608C4">
      <w:pPr>
        <w:spacing w:after="0" w:line="240" w:lineRule="auto"/>
        <w:rPr>
          <w:rFonts w:ascii="Segoe UI" w:hAnsi="Segoe UI" w:cs="Segoe UI"/>
          <w:color w:val="242729"/>
          <w:sz w:val="23"/>
          <w:szCs w:val="23"/>
          <w:shd w:val="clear" w:color="auto" w:fill="FFFFFF"/>
        </w:rPr>
      </w:pPr>
    </w:p>
    <w:p w14:paraId="3FF3F977" w14:textId="77777777" w:rsidR="00AA2DD6" w:rsidRDefault="00AA2DD6" w:rsidP="00A608C4">
      <w:pPr>
        <w:spacing w:after="0" w:line="240" w:lineRule="auto"/>
        <w:rPr>
          <w:rFonts w:ascii="Segoe UI" w:hAnsi="Segoe UI" w:cs="Segoe UI"/>
          <w:color w:val="242729"/>
          <w:sz w:val="23"/>
          <w:szCs w:val="23"/>
          <w:shd w:val="clear" w:color="auto" w:fill="FFFFFF"/>
        </w:rPr>
      </w:pPr>
    </w:p>
    <w:p w14:paraId="00AABA54" w14:textId="52448A7E" w:rsidR="00AA2DD6" w:rsidRDefault="00AA2DD6" w:rsidP="00AA2DD6">
      <w:pPr>
        <w:spacing w:after="0" w:line="240" w:lineRule="auto"/>
        <w:rPr>
          <w:rFonts w:ascii="Times New Roman" w:eastAsia="Arial Unicode MS" w:hAnsi="Times New Roman" w:cs="Arial Unicode MS"/>
          <w:color w:val="000000"/>
          <w:sz w:val="24"/>
          <w:szCs w:val="24"/>
          <w:u w:color="000000"/>
        </w:rPr>
      </w:pPr>
      <w:r>
        <w:rPr>
          <w:rFonts w:ascii="Segoe UI" w:hAnsi="Segoe UI" w:cs="Segoe UI"/>
          <w:color w:val="242729"/>
          <w:sz w:val="23"/>
          <w:szCs w:val="23"/>
          <w:shd w:val="clear" w:color="auto" w:fill="FFFFFF"/>
        </w:rPr>
        <w:lastRenderedPageBreak/>
        <w:t>Tables 2 and 3 illustrate how weighted means (</w:t>
      </w:r>
      <w:r w:rsidRPr="00AA2DD6">
        <w:rPr>
          <w:rFonts w:ascii="Segoe UI" w:hAnsi="Segoe UI" w:cs="Segoe UI"/>
          <w:color w:val="242729"/>
          <w:sz w:val="23"/>
          <w:szCs w:val="23"/>
          <w:shd w:val="clear" w:color="auto" w:fill="FFFFFF"/>
        </w:rPr>
        <w:t>X̄</w:t>
      </w:r>
      <w:r>
        <w:rPr>
          <w:rFonts w:ascii="Segoe UI" w:hAnsi="Segoe UI" w:cs="Segoe UI"/>
          <w:color w:val="242729"/>
          <w:sz w:val="23"/>
          <w:szCs w:val="23"/>
          <w:shd w:val="clear" w:color="auto" w:fill="FFFFFF"/>
        </w:rPr>
        <w:t xml:space="preserve"> ) were calculated by multiplying t</w:t>
      </w:r>
      <w:r>
        <w:rPr>
          <w:rFonts w:ascii="Times New Roman" w:eastAsia="Arial Unicode MS" w:hAnsi="Times New Roman" w:cs="Arial Unicode MS"/>
          <w:color w:val="000000"/>
          <w:sz w:val="24"/>
          <w:szCs w:val="24"/>
          <w:u w:color="000000"/>
        </w:rPr>
        <w:t>he mean of stock-out with teach study's sample size, summed each of these results, and divided this by the sum of all the sample sizes using the formula</w:t>
      </w:r>
      <w:r w:rsidRPr="00A608C4">
        <w:rPr>
          <w:rFonts w:ascii="Times New Roman" w:eastAsia="Arial Unicode MS" w:hAnsi="Times New Roman" w:cs="Arial Unicode MS"/>
          <w:color w:val="000000"/>
          <w:sz w:val="24"/>
          <w:szCs w:val="24"/>
          <w:u w:color="000000"/>
        </w:rPr>
        <w:t xml:space="preserve"> </w:t>
      </w:r>
      <w:r w:rsidRPr="00DA5593">
        <w:rPr>
          <w:rFonts w:ascii="Times New Roman" w:eastAsia="Arial Unicode MS" w:hAnsi="Times New Roman" w:cs="Arial Unicode MS"/>
          <w:b/>
          <w:bCs/>
          <w:color w:val="000000"/>
          <w:sz w:val="24"/>
          <w:szCs w:val="24"/>
          <w:u w:color="000000"/>
        </w:rPr>
        <w:t>Σ</w:t>
      </w:r>
      <w:r>
        <w:rPr>
          <w:rFonts w:ascii="Times New Roman" w:eastAsia="Arial Unicode MS" w:hAnsi="Times New Roman" w:cs="Arial Unicode MS"/>
          <w:b/>
          <w:bCs/>
          <w:color w:val="000000"/>
          <w:sz w:val="24"/>
          <w:szCs w:val="24"/>
          <w:u w:color="000000"/>
        </w:rPr>
        <w:t>f</w:t>
      </w:r>
      <w:r w:rsidRPr="00DA5593">
        <w:rPr>
          <w:rFonts w:ascii="Times New Roman" w:eastAsia="Arial Unicode MS" w:hAnsi="Times New Roman" w:cs="Arial Unicode MS"/>
          <w:b/>
          <w:bCs/>
          <w:color w:val="000000"/>
          <w:sz w:val="24"/>
          <w:szCs w:val="24"/>
          <w:u w:color="000000"/>
        </w:rPr>
        <w:t>x/Σ</w:t>
      </w:r>
      <w:r>
        <w:rPr>
          <w:rFonts w:ascii="Times New Roman" w:eastAsia="Arial Unicode MS" w:hAnsi="Times New Roman" w:cs="Arial Unicode MS"/>
          <w:b/>
          <w:bCs/>
          <w:color w:val="000000"/>
          <w:sz w:val="24"/>
          <w:szCs w:val="24"/>
          <w:u w:color="000000"/>
        </w:rPr>
        <w:t>f</w:t>
      </w:r>
      <w:r>
        <w:rPr>
          <w:rFonts w:ascii="Times New Roman" w:eastAsia="Arial Unicode MS" w:hAnsi="Times New Roman" w:cs="Arial Unicode MS"/>
          <w:color w:val="000000"/>
          <w:sz w:val="24"/>
          <w:szCs w:val="24"/>
          <w:u w:color="000000"/>
        </w:rPr>
        <w:t xml:space="preserve">. </w:t>
      </w:r>
    </w:p>
    <w:p w14:paraId="241DF76D" w14:textId="30BAE416" w:rsidR="00AA2DD6" w:rsidRDefault="00AA2DD6" w:rsidP="00A608C4">
      <w:pPr>
        <w:spacing w:after="0" w:line="240" w:lineRule="auto"/>
        <w:rPr>
          <w:rFonts w:ascii="Segoe UI" w:hAnsi="Segoe UI" w:cs="Segoe UI"/>
          <w:color w:val="242729"/>
          <w:sz w:val="23"/>
          <w:szCs w:val="23"/>
          <w:shd w:val="clear" w:color="auto" w:fill="FFFFFF"/>
        </w:rPr>
      </w:pPr>
    </w:p>
    <w:p w14:paraId="2E4DA25D" w14:textId="6EF06B0F" w:rsidR="00A608C4" w:rsidRPr="0029213B" w:rsidRDefault="0029213B" w:rsidP="00A608C4">
      <w:pPr>
        <w:spacing w:after="0" w:line="240" w:lineRule="auto"/>
        <w:rPr>
          <w:rFonts w:ascii="Times New Roman" w:hAnsi="Times New Roman" w:cs="Times New Roman"/>
          <w:color w:val="242729"/>
          <w:sz w:val="24"/>
          <w:szCs w:val="24"/>
          <w:shd w:val="clear" w:color="auto" w:fill="FFFFFF"/>
        </w:rPr>
      </w:pPr>
      <w:r w:rsidRPr="0029213B">
        <w:rPr>
          <w:rFonts w:ascii="Times New Roman" w:hAnsi="Times New Roman" w:cs="Times New Roman"/>
          <w:color w:val="242729"/>
          <w:sz w:val="24"/>
          <w:szCs w:val="24"/>
          <w:shd w:val="clear" w:color="auto" w:fill="FFFFFF"/>
        </w:rPr>
        <w:t xml:space="preserve">To calculate the standard deviation, we used the formula: </w:t>
      </w:r>
    </w:p>
    <w:p w14:paraId="4E64CF3B" w14:textId="77777777" w:rsidR="0029213B" w:rsidRDefault="0029213B" w:rsidP="00A608C4">
      <w:pPr>
        <w:spacing w:after="0" w:line="240" w:lineRule="auto"/>
        <w:rPr>
          <w:rFonts w:ascii="Segoe UI" w:hAnsi="Segoe UI" w:cs="Segoe UI"/>
          <w:noProof/>
          <w:color w:val="242729"/>
          <w:sz w:val="23"/>
          <w:szCs w:val="23"/>
          <w:shd w:val="clear" w:color="auto" w:fill="FFFFFF"/>
        </w:rPr>
      </w:pPr>
    </w:p>
    <w:p w14:paraId="184805DA" w14:textId="590D3CC7" w:rsidR="0029213B" w:rsidRDefault="0029213B" w:rsidP="00A608C4">
      <w:pPr>
        <w:spacing w:after="0" w:line="240" w:lineRule="auto"/>
        <w:rPr>
          <w:rFonts w:ascii="Segoe UI" w:hAnsi="Segoe UI" w:cs="Segoe UI"/>
          <w:color w:val="242729"/>
          <w:sz w:val="23"/>
          <w:szCs w:val="23"/>
          <w:shd w:val="clear" w:color="auto" w:fill="FFFFFF"/>
        </w:rPr>
      </w:pPr>
      <w:r>
        <w:rPr>
          <w:rFonts w:ascii="Segoe UI" w:hAnsi="Segoe UI" w:cs="Segoe UI"/>
          <w:noProof/>
          <w:color w:val="242729"/>
          <w:sz w:val="23"/>
          <w:szCs w:val="23"/>
        </w:rPr>
        <mc:AlternateContent>
          <mc:Choice Requires="wps">
            <w:drawing>
              <wp:anchor distT="0" distB="0" distL="114300" distR="114300" simplePos="0" relativeHeight="251659264" behindDoc="0" locked="0" layoutInCell="1" allowOverlap="1" wp14:anchorId="6BE1810C" wp14:editId="0674E357">
                <wp:simplePos x="0" y="0"/>
                <wp:positionH relativeFrom="column">
                  <wp:posOffset>-269875</wp:posOffset>
                </wp:positionH>
                <wp:positionV relativeFrom="paragraph">
                  <wp:posOffset>169656</wp:posOffset>
                </wp:positionV>
                <wp:extent cx="214685" cy="286247"/>
                <wp:effectExtent l="0" t="0" r="0" b="0"/>
                <wp:wrapNone/>
                <wp:docPr id="2" name="Text Box 2"/>
                <wp:cNvGraphicFramePr/>
                <a:graphic xmlns:a="http://schemas.openxmlformats.org/drawingml/2006/main">
                  <a:graphicData uri="http://schemas.microsoft.com/office/word/2010/wordprocessingShape">
                    <wps:wsp>
                      <wps:cNvSpPr txBox="1"/>
                      <wps:spPr>
                        <a:xfrm>
                          <a:off x="0" y="0"/>
                          <a:ext cx="214685" cy="286247"/>
                        </a:xfrm>
                        <a:prstGeom prst="rect">
                          <a:avLst/>
                        </a:prstGeom>
                        <a:solidFill>
                          <a:schemeClr val="lt1"/>
                        </a:solidFill>
                        <a:ln w="6350">
                          <a:noFill/>
                        </a:ln>
                      </wps:spPr>
                      <wps:txbx>
                        <w:txbxContent>
                          <w:p w14:paraId="33079742" w14:textId="344993E7" w:rsidR="0029213B" w:rsidRPr="0029213B" w:rsidRDefault="0029213B">
                            <w:pPr>
                              <w:rPr>
                                <w:sz w:val="32"/>
                                <w:szCs w:val="32"/>
                              </w:rPr>
                            </w:pPr>
                            <w:r w:rsidRPr="0029213B">
                              <w:rPr>
                                <w:sz w:val="32"/>
                                <w:szCs w:val="32"/>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BE1810C" id="_x0000_t202" coordsize="21600,21600" o:spt="202" path="m,l,21600r21600,l21600,xe">
                <v:stroke joinstyle="miter"/>
                <v:path gradientshapeok="t" o:connecttype="rect"/>
              </v:shapetype>
              <v:shape id="Text Box 2" o:spid="_x0000_s1026" type="#_x0000_t202" style="position:absolute;margin-left:-21.25pt;margin-top:13.35pt;width:16.9pt;height:22.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" fillcolor="white [3201]" stroked="f" strokeweight=".5pt">
                <v:textbox>
                  <w:txbxContent>
                    <w:p w14:paraId="33079742" w14:textId="344993E7" w:rsidR="0029213B" w:rsidRPr="0029213B" w:rsidRDefault="0029213B">
                      <w:pPr>
                        <w:rPr>
                          <w:sz w:val="32"/>
                          <w:szCs w:val="32"/>
                        </w:rPr>
                      </w:pPr>
                      <w:r w:rsidRPr="0029213B">
                        <w:rPr>
                          <w:sz w:val="32"/>
                          <w:szCs w:val="32"/>
                        </w:rPr>
                        <w:t>s</w:t>
                      </w:r>
                    </w:p>
                  </w:txbxContent>
                </v:textbox>
              </v:shape>
            </w:pict>
          </mc:Fallback>
        </mc:AlternateContent>
      </w:r>
      <w:r>
        <w:rPr>
          <w:rFonts w:ascii="Segoe UI" w:hAnsi="Segoe UI" w:cs="Segoe UI"/>
          <w:noProof/>
          <w:color w:val="242729"/>
          <w:sz w:val="23"/>
          <w:szCs w:val="23"/>
          <w:shd w:val="clear" w:color="auto" w:fill="FFFFFF"/>
        </w:rPr>
        <w:drawing>
          <wp:inline distT="0" distB="0" distL="0" distR="0" wp14:anchorId="7B8199BE" wp14:editId="5850F224">
            <wp:extent cx="1750446" cy="885825"/>
            <wp:effectExtent l="0" t="0" r="2540" b="0"/>
            <wp:docPr id="1" name="Picture 1"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with medium confidence"/>
                    <pic:cNvPicPr/>
                  </pic:nvPicPr>
                  <pic:blipFill rotWithShape="1">
                    <a:blip r:embed="rId9">
                      <a:extLst>
                        <a:ext uri="{28A0092B-C50C-407E-A947-70E740481C1C}">
                          <a14:useLocalDpi xmlns:a14="http://schemas.microsoft.com/office/drawing/2010/main" val="0"/>
                        </a:ext>
                      </a:extLst>
                    </a:blip>
                    <a:srcRect l="15700"/>
                    <a:stretch/>
                  </pic:blipFill>
                  <pic:spPr bwMode="auto">
                    <a:xfrm>
                      <a:off x="0" y="0"/>
                      <a:ext cx="1750691" cy="885949"/>
                    </a:xfrm>
                    <a:prstGeom prst="rect">
                      <a:avLst/>
                    </a:prstGeom>
                    <a:ln>
                      <a:noFill/>
                    </a:ln>
                    <a:extLst>
                      <a:ext uri="{53640926-AAD7-44D8-BBD7-CCE9431645EC}">
                        <a14:shadowObscured xmlns:a14="http://schemas.microsoft.com/office/drawing/2010/main"/>
                      </a:ext>
                    </a:extLst>
                  </pic:spPr>
                </pic:pic>
              </a:graphicData>
            </a:graphic>
          </wp:inline>
        </w:drawing>
      </w:r>
    </w:p>
    <w:p w14:paraId="11884429" w14:textId="56BE9108" w:rsidR="008E3038" w:rsidRPr="008E3038" w:rsidRDefault="00AA2DD6" w:rsidP="008E3038">
      <w:pPr>
        <w:spacing w:after="0" w:line="240" w:lineRule="auto"/>
        <w:rPr>
          <w:rFonts w:ascii="Times New Roman" w:eastAsia="Arial Unicode MS" w:hAnsi="Times New Roman" w:cs="Arial Unicode MS"/>
          <w:b/>
          <w:bCs/>
          <w:color w:val="000000"/>
          <w:sz w:val="24"/>
          <w:szCs w:val="24"/>
          <w:u w:color="000000"/>
        </w:rPr>
      </w:pPr>
      <w:r>
        <w:rPr>
          <w:rFonts w:ascii="Times New Roman" w:eastAsia="Arial Unicode MS" w:hAnsi="Times New Roman" w:cs="Arial Unicode MS"/>
          <w:b/>
          <w:bCs/>
          <w:color w:val="000000"/>
          <w:sz w:val="24"/>
          <w:szCs w:val="24"/>
          <w:u w:color="000000"/>
        </w:rPr>
        <w:t>A</w:t>
      </w:r>
      <w:r w:rsidR="008E3038" w:rsidRPr="008E3038">
        <w:rPr>
          <w:rFonts w:ascii="Times New Roman" w:eastAsia="Arial Unicode MS" w:hAnsi="Times New Roman" w:cs="Arial Unicode MS"/>
          <w:b/>
          <w:bCs/>
          <w:color w:val="000000"/>
          <w:sz w:val="24"/>
          <w:szCs w:val="24"/>
          <w:u w:color="000000"/>
        </w:rPr>
        <w:t xml:space="preserve">. Calculating confidence interval </w:t>
      </w:r>
      <w:r w:rsidR="009415E8">
        <w:rPr>
          <w:rFonts w:ascii="Times New Roman" w:eastAsia="Arial Unicode MS" w:hAnsi="Times New Roman" w:cs="Arial Unicode MS"/>
          <w:b/>
          <w:bCs/>
          <w:color w:val="000000"/>
          <w:sz w:val="24"/>
          <w:szCs w:val="24"/>
          <w:u w:color="000000"/>
        </w:rPr>
        <w:t>of stock</w:t>
      </w:r>
      <w:r w:rsidR="002D11CE">
        <w:rPr>
          <w:rFonts w:ascii="Times New Roman" w:eastAsia="Arial Unicode MS" w:hAnsi="Times New Roman" w:cs="Arial Unicode MS"/>
          <w:b/>
          <w:bCs/>
          <w:color w:val="000000"/>
          <w:sz w:val="24"/>
          <w:szCs w:val="24"/>
          <w:u w:color="000000"/>
        </w:rPr>
        <w:t>-</w:t>
      </w:r>
      <w:r w:rsidR="009415E8">
        <w:rPr>
          <w:rFonts w:ascii="Times New Roman" w:eastAsia="Arial Unicode MS" w:hAnsi="Times New Roman" w:cs="Arial Unicode MS"/>
          <w:b/>
          <w:bCs/>
          <w:color w:val="000000"/>
          <w:sz w:val="24"/>
          <w:szCs w:val="24"/>
          <w:u w:color="000000"/>
        </w:rPr>
        <w:t xml:space="preserve">out mean </w:t>
      </w:r>
      <w:r w:rsidR="00C12F37">
        <w:rPr>
          <w:rFonts w:ascii="Times New Roman" w:eastAsia="Arial Unicode MS" w:hAnsi="Times New Roman" w:cs="Arial Unicode MS"/>
          <w:b/>
          <w:bCs/>
          <w:color w:val="000000"/>
          <w:sz w:val="24"/>
          <w:szCs w:val="24"/>
          <w:u w:color="000000"/>
        </w:rPr>
        <w:t xml:space="preserve">(95%) </w:t>
      </w:r>
    </w:p>
    <w:p w14:paraId="5934932A" w14:textId="77777777" w:rsidR="008E3038" w:rsidRDefault="008E3038" w:rsidP="008E3038">
      <w:pPr>
        <w:spacing w:after="0" w:line="240" w:lineRule="auto"/>
        <w:rPr>
          <w:rFonts w:ascii="Times New Roman" w:eastAsia="Arial Unicode MS" w:hAnsi="Times New Roman" w:cs="Arial Unicode MS"/>
          <w:color w:val="000000"/>
          <w:sz w:val="24"/>
          <w:szCs w:val="24"/>
          <w:u w:color="000000"/>
        </w:rPr>
      </w:pPr>
    </w:p>
    <w:p w14:paraId="1358B882" w14:textId="5B5F7D08" w:rsidR="004D4CE6" w:rsidRPr="008E3038" w:rsidRDefault="004D4CE6" w:rsidP="008E3038">
      <w:pPr>
        <w:spacing w:after="0" w:line="240" w:lineRule="auto"/>
        <w:rPr>
          <w:rFonts w:ascii="Times New Roman" w:eastAsia="Arial Unicode MS" w:hAnsi="Times New Roman" w:cs="Arial Unicode MS"/>
          <w:color w:val="000000"/>
          <w:sz w:val="24"/>
          <w:szCs w:val="24"/>
          <w:u w:color="000000"/>
        </w:rPr>
      </w:pPr>
      <w:r w:rsidRPr="008E3038">
        <w:rPr>
          <w:rFonts w:ascii="Times New Roman" w:eastAsia="Arial Unicode MS" w:hAnsi="Times New Roman" w:cs="Arial Unicode MS"/>
          <w:color w:val="000000"/>
          <w:sz w:val="24"/>
          <w:szCs w:val="24"/>
          <w:u w:color="000000"/>
        </w:rPr>
        <w:t xml:space="preserve">Sample size (number of studies) for CHWs or health </w:t>
      </w:r>
      <w:r w:rsidR="003B6CF7">
        <w:rPr>
          <w:rFonts w:ascii="Times New Roman" w:eastAsia="Arial Unicode MS" w:hAnsi="Times New Roman" w:cs="Arial Unicode MS"/>
          <w:color w:val="000000"/>
          <w:sz w:val="24"/>
          <w:szCs w:val="24"/>
          <w:u w:color="000000"/>
        </w:rPr>
        <w:t>center</w:t>
      </w:r>
      <w:r w:rsidRPr="008E3038">
        <w:rPr>
          <w:rFonts w:ascii="Times New Roman" w:eastAsia="Arial Unicode MS" w:hAnsi="Times New Roman" w:cs="Arial Unicode MS"/>
          <w:color w:val="000000"/>
          <w:sz w:val="24"/>
          <w:szCs w:val="24"/>
          <w:u w:color="000000"/>
        </w:rPr>
        <w:t xml:space="preserve"> is </w:t>
      </w:r>
      <w:r w:rsidR="00C22F72">
        <w:rPr>
          <w:rFonts w:ascii="Times New Roman" w:eastAsia="Arial Unicode MS" w:hAnsi="Times New Roman" w:cs="Arial Unicode MS"/>
          <w:color w:val="000000"/>
          <w:sz w:val="24"/>
          <w:szCs w:val="24"/>
          <w:u w:color="000000"/>
        </w:rPr>
        <w:t xml:space="preserve">large enough </w:t>
      </w:r>
      <w:r w:rsidRPr="008E3038">
        <w:rPr>
          <w:rFonts w:ascii="Times New Roman" w:eastAsia="Arial Unicode MS" w:hAnsi="Times New Roman" w:cs="Arial Unicode MS"/>
          <w:color w:val="000000"/>
          <w:sz w:val="24"/>
          <w:szCs w:val="24"/>
          <w:u w:color="000000"/>
        </w:rPr>
        <w:t>(</w:t>
      </w:r>
      <w:r w:rsidR="00C22F72">
        <w:rPr>
          <w:rFonts w:ascii="Times New Roman" w:eastAsia="Arial Unicode MS" w:hAnsi="Times New Roman" w:cs="Arial Unicode MS"/>
          <w:color w:val="000000"/>
          <w:sz w:val="24"/>
          <w:szCs w:val="24"/>
          <w:u w:color="000000"/>
        </w:rPr>
        <w:t>greater</w:t>
      </w:r>
      <w:r w:rsidRPr="008E3038">
        <w:rPr>
          <w:rFonts w:ascii="Times New Roman" w:eastAsia="Arial Unicode MS" w:hAnsi="Times New Roman" w:cs="Arial Unicode MS"/>
          <w:color w:val="000000"/>
          <w:sz w:val="24"/>
          <w:szCs w:val="24"/>
          <w:u w:color="000000"/>
        </w:rPr>
        <w:t xml:space="preserve"> than 30), and we </w:t>
      </w:r>
      <w:r w:rsidR="00C22F72">
        <w:rPr>
          <w:rFonts w:ascii="Times New Roman" w:eastAsia="Arial Unicode MS" w:hAnsi="Times New Roman" w:cs="Arial Unicode MS"/>
          <w:color w:val="000000"/>
          <w:sz w:val="24"/>
          <w:szCs w:val="24"/>
          <w:u w:color="000000"/>
        </w:rPr>
        <w:t>assume that t</w:t>
      </w:r>
      <w:r w:rsidRPr="008E3038">
        <w:rPr>
          <w:rFonts w:ascii="Times New Roman" w:eastAsia="Arial Unicode MS" w:hAnsi="Times New Roman" w:cs="Arial Unicode MS"/>
          <w:color w:val="000000"/>
          <w:sz w:val="24"/>
          <w:szCs w:val="24"/>
          <w:u w:color="000000"/>
        </w:rPr>
        <w:t xml:space="preserve">he data came from a normal distribution. Consequently, we </w:t>
      </w:r>
      <w:r w:rsidR="00723426" w:rsidRPr="008E3038">
        <w:rPr>
          <w:rFonts w:ascii="Times New Roman" w:eastAsia="Arial Unicode MS" w:hAnsi="Times New Roman" w:cs="Arial Unicode MS"/>
          <w:color w:val="000000"/>
          <w:sz w:val="24"/>
          <w:szCs w:val="24"/>
          <w:u w:color="000000"/>
        </w:rPr>
        <w:t>use a</w:t>
      </w:r>
      <w:r w:rsidRPr="008E3038">
        <w:rPr>
          <w:rFonts w:ascii="Times New Roman" w:eastAsia="Arial Unicode MS" w:hAnsi="Times New Roman" w:cs="Arial Unicode MS"/>
          <w:color w:val="000000"/>
          <w:sz w:val="24"/>
          <w:szCs w:val="24"/>
          <w:u w:color="000000"/>
        </w:rPr>
        <w:t> </w:t>
      </w:r>
      <w:r w:rsidR="00C22F72">
        <w:rPr>
          <w:rFonts w:ascii="Times New Roman" w:eastAsia="Arial Unicode MS" w:hAnsi="Times New Roman" w:cs="Arial Unicode MS"/>
          <w:i/>
          <w:iCs/>
          <w:color w:val="000000"/>
          <w:sz w:val="24"/>
          <w:szCs w:val="24"/>
          <w:u w:color="000000"/>
        </w:rPr>
        <w:t>Z</w:t>
      </w:r>
      <w:r w:rsidRPr="008E3038">
        <w:rPr>
          <w:rFonts w:ascii="Times New Roman" w:eastAsia="Arial Unicode MS" w:hAnsi="Times New Roman" w:cs="Arial Unicode MS"/>
          <w:i/>
          <w:iCs/>
          <w:color w:val="000000"/>
          <w:sz w:val="24"/>
          <w:szCs w:val="24"/>
          <w:u w:color="000000"/>
        </w:rPr>
        <w:t>*-</w:t>
      </w:r>
      <w:r w:rsidRPr="008E3038">
        <w:rPr>
          <w:rFonts w:ascii="Times New Roman" w:eastAsia="Arial Unicode MS" w:hAnsi="Times New Roman" w:cs="Arial Unicode MS"/>
          <w:color w:val="000000"/>
          <w:sz w:val="24"/>
          <w:szCs w:val="24"/>
          <w:u w:color="000000"/>
        </w:rPr>
        <w:t>value from the standard normal (</w:t>
      </w:r>
      <w:r w:rsidRPr="008E3038">
        <w:rPr>
          <w:rFonts w:ascii="Times New Roman" w:eastAsia="Arial Unicode MS" w:hAnsi="Times New Roman" w:cs="Arial Unicode MS"/>
          <w:i/>
          <w:iCs/>
          <w:color w:val="000000"/>
          <w:sz w:val="24"/>
          <w:szCs w:val="24"/>
          <w:u w:color="000000"/>
        </w:rPr>
        <w:t>Z</w:t>
      </w:r>
      <w:r w:rsidRPr="008E3038">
        <w:rPr>
          <w:rFonts w:ascii="Times New Roman" w:eastAsia="Arial Unicode MS" w:hAnsi="Times New Roman" w:cs="Arial Unicode MS"/>
          <w:color w:val="000000"/>
          <w:sz w:val="24"/>
          <w:szCs w:val="24"/>
          <w:u w:color="000000"/>
        </w:rPr>
        <w:t xml:space="preserve">-) distribution as </w:t>
      </w:r>
      <w:r w:rsidR="009415E8">
        <w:rPr>
          <w:rFonts w:ascii="Times New Roman" w:eastAsia="Arial Unicode MS" w:hAnsi="Times New Roman" w:cs="Arial Unicode MS"/>
          <w:color w:val="000000"/>
          <w:sz w:val="24"/>
          <w:szCs w:val="24"/>
          <w:u w:color="000000"/>
        </w:rPr>
        <w:t xml:space="preserve">the </w:t>
      </w:r>
      <w:r w:rsidRPr="008E3038">
        <w:rPr>
          <w:rFonts w:ascii="Times New Roman" w:eastAsia="Arial Unicode MS" w:hAnsi="Times New Roman" w:cs="Arial Unicode MS"/>
          <w:color w:val="000000"/>
          <w:sz w:val="24"/>
          <w:szCs w:val="24"/>
          <w:u w:color="000000"/>
        </w:rPr>
        <w:t>critical value</w:t>
      </w:r>
      <w:r w:rsidR="00C22F72">
        <w:rPr>
          <w:rFonts w:ascii="Times New Roman" w:eastAsia="Arial Unicode MS" w:hAnsi="Times New Roman" w:cs="Arial Unicode MS"/>
          <w:color w:val="000000"/>
          <w:sz w:val="24"/>
          <w:szCs w:val="24"/>
          <w:u w:color="000000"/>
        </w:rPr>
        <w:t>.</w:t>
      </w:r>
    </w:p>
    <w:p w14:paraId="67AFABEA" w14:textId="4352A43A" w:rsidR="004D4CE6" w:rsidRDefault="004D4CE6" w:rsidP="00436864">
      <w:pPr>
        <w:spacing w:after="0" w:line="240" w:lineRule="auto"/>
        <w:rPr>
          <w:rFonts w:ascii="Times New Roman" w:eastAsia="Arial Unicode MS" w:hAnsi="Times New Roman" w:cs="Arial Unicode MS"/>
          <w:color w:val="000000"/>
          <w:sz w:val="24"/>
          <w:szCs w:val="24"/>
          <w:u w:color="000000"/>
        </w:rPr>
      </w:pPr>
      <w:r>
        <w:rPr>
          <w:rFonts w:ascii="Times New Roman" w:eastAsia="Arial Unicode MS" w:hAnsi="Times New Roman" w:cs="Arial Unicode MS"/>
          <w:color w:val="000000"/>
          <w:sz w:val="24"/>
          <w:szCs w:val="24"/>
          <w:u w:color="000000"/>
        </w:rPr>
        <w:t xml:space="preserve">Confidence interval for a single population: </w:t>
      </w:r>
    </w:p>
    <w:p w14:paraId="54731804" w14:textId="5E6D2E36" w:rsidR="004D4CE6" w:rsidRDefault="004D4CE6" w:rsidP="00436864">
      <w:pPr>
        <w:spacing w:after="0" w:line="240" w:lineRule="auto"/>
        <w:rPr>
          <w:rFonts w:ascii="Times New Roman" w:eastAsia="Arial Unicode MS" w:hAnsi="Times New Roman" w:cs="Arial Unicode MS"/>
          <w:color w:val="000000"/>
          <w:sz w:val="24"/>
          <w:szCs w:val="24"/>
          <w:u w:color="000000"/>
        </w:rPr>
      </w:pPr>
    </w:p>
    <w:p w14:paraId="1D92C8E0" w14:textId="053EA26F" w:rsidR="004D4CE6" w:rsidRDefault="008E3038" w:rsidP="00436864">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X̄ ± </w:t>
      </w:r>
      <w:r w:rsidR="009E4FCB">
        <w:rPr>
          <w:rFonts w:ascii="Arial" w:hAnsi="Arial" w:cs="Arial"/>
          <w:color w:val="202124"/>
          <w:shd w:val="clear" w:color="auto" w:fill="FFFFFF"/>
        </w:rPr>
        <w:t>Z*</w:t>
      </w:r>
      <w:r>
        <w:rPr>
          <w:rFonts w:ascii="Arial" w:hAnsi="Arial" w:cs="Arial"/>
          <w:color w:val="202124"/>
          <w:shd w:val="clear" w:color="auto" w:fill="FFFFFF"/>
        </w:rPr>
        <w:t xml:space="preserve"> x s/√ n, where </w:t>
      </w:r>
    </w:p>
    <w:p w14:paraId="55C3829B" w14:textId="77777777" w:rsidR="008E3038" w:rsidRDefault="008E3038" w:rsidP="00436864">
      <w:pPr>
        <w:spacing w:after="0" w:line="240" w:lineRule="auto"/>
        <w:rPr>
          <w:rFonts w:ascii="Arial" w:hAnsi="Arial" w:cs="Arial"/>
          <w:color w:val="202124"/>
          <w:shd w:val="clear" w:color="auto" w:fill="FFFFFF"/>
        </w:rPr>
      </w:pPr>
    </w:p>
    <w:p w14:paraId="3850215A" w14:textId="665687B5" w:rsidR="008E3038" w:rsidRDefault="008E3038" w:rsidP="00436864">
      <w:pPr>
        <w:spacing w:after="0" w:line="240" w:lineRule="auto"/>
        <w:rPr>
          <w:rFonts w:ascii="Arial" w:hAnsi="Arial" w:cs="Arial"/>
          <w:color w:val="202124"/>
          <w:shd w:val="clear" w:color="auto" w:fill="FFFFFF"/>
        </w:rPr>
      </w:pPr>
      <w:r>
        <w:rPr>
          <w:rFonts w:ascii="Arial" w:hAnsi="Arial" w:cs="Arial"/>
          <w:color w:val="202124"/>
          <w:shd w:val="clear" w:color="auto" w:fill="FFFFFF"/>
        </w:rPr>
        <w:t>X̄ = mean</w:t>
      </w:r>
    </w:p>
    <w:p w14:paraId="40B522C6" w14:textId="1568332A" w:rsidR="008E3038" w:rsidRDefault="008E3038" w:rsidP="00436864">
      <w:pPr>
        <w:spacing w:after="0" w:line="240" w:lineRule="auto"/>
        <w:rPr>
          <w:rFonts w:ascii="Arial" w:hAnsi="Arial" w:cs="Arial"/>
          <w:color w:val="202124"/>
          <w:shd w:val="clear" w:color="auto" w:fill="FFFFFF"/>
        </w:rPr>
      </w:pPr>
      <w:r>
        <w:rPr>
          <w:rFonts w:ascii="Arial" w:hAnsi="Arial" w:cs="Arial"/>
          <w:color w:val="202124"/>
          <w:shd w:val="clear" w:color="auto" w:fill="FFFFFF"/>
        </w:rPr>
        <w:t>n = sample size /number of studies</w:t>
      </w:r>
    </w:p>
    <w:p w14:paraId="597F9C36" w14:textId="1411E0F1" w:rsidR="008E3038" w:rsidRDefault="008E3038" w:rsidP="00436864">
      <w:pPr>
        <w:spacing w:after="0" w:line="240" w:lineRule="auto"/>
        <w:rPr>
          <w:rFonts w:ascii="Arial" w:hAnsi="Arial" w:cs="Arial"/>
          <w:color w:val="202124"/>
          <w:shd w:val="clear" w:color="auto" w:fill="FFFFFF"/>
        </w:rPr>
      </w:pPr>
      <w:r>
        <w:rPr>
          <w:rFonts w:ascii="Arial" w:hAnsi="Arial" w:cs="Arial"/>
          <w:color w:val="202124"/>
          <w:shd w:val="clear" w:color="auto" w:fill="FFFFFF"/>
        </w:rPr>
        <w:t>s = standard deviation</w:t>
      </w:r>
    </w:p>
    <w:p w14:paraId="0CEF324E" w14:textId="4F698904" w:rsidR="008E3038" w:rsidRDefault="008E3038" w:rsidP="00436864">
      <w:pPr>
        <w:spacing w:after="0" w:line="240" w:lineRule="auto"/>
        <w:rPr>
          <w:rFonts w:ascii="Arial" w:hAnsi="Arial" w:cs="Arial"/>
          <w:color w:val="202124"/>
          <w:shd w:val="clear" w:color="auto" w:fill="FFFFFF"/>
        </w:rPr>
      </w:pPr>
    </w:p>
    <w:p w14:paraId="732A9F50" w14:textId="77777777" w:rsidR="008E3038" w:rsidRPr="00B64CAB" w:rsidRDefault="008E3038" w:rsidP="008E3038">
      <w:pPr>
        <w:spacing w:after="0" w:line="240" w:lineRule="auto"/>
        <w:rPr>
          <w:rFonts w:ascii="Arial" w:hAnsi="Arial" w:cs="Arial"/>
          <w:b/>
          <w:bCs/>
          <w:color w:val="202124"/>
          <w:shd w:val="clear" w:color="auto" w:fill="FFFFFF"/>
        </w:rPr>
      </w:pPr>
      <w:bookmarkStart w:id="0" w:name="_Hlk71366714"/>
    </w:p>
    <w:p w14:paraId="4E573272" w14:textId="636A8978" w:rsidR="003C0A38" w:rsidRPr="00B64CAB" w:rsidRDefault="003C0A38" w:rsidP="00C12F37">
      <w:pPr>
        <w:spacing w:after="0" w:line="240" w:lineRule="auto"/>
        <w:rPr>
          <w:rFonts w:ascii="Arial" w:hAnsi="Arial" w:cs="Arial"/>
          <w:b/>
          <w:bCs/>
          <w:i/>
          <w:iCs/>
          <w:color w:val="202124"/>
          <w:shd w:val="clear" w:color="auto" w:fill="FFFFFF"/>
        </w:rPr>
      </w:pPr>
      <w:r w:rsidRPr="00B64CAB">
        <w:rPr>
          <w:rFonts w:ascii="Arial" w:hAnsi="Arial" w:cs="Arial"/>
          <w:b/>
          <w:bCs/>
          <w:i/>
          <w:iCs/>
          <w:color w:val="202124"/>
          <w:shd w:val="clear" w:color="auto" w:fill="FFFFFF"/>
        </w:rPr>
        <w:t>Period: 2006 – 2021</w:t>
      </w:r>
    </w:p>
    <w:p w14:paraId="1785BC24" w14:textId="77777777" w:rsidR="003C0A38" w:rsidRDefault="003C0A38" w:rsidP="00C12F37">
      <w:pPr>
        <w:spacing w:after="0" w:line="240" w:lineRule="auto"/>
        <w:rPr>
          <w:rFonts w:ascii="Arial" w:hAnsi="Arial" w:cs="Arial"/>
          <w:color w:val="202124"/>
          <w:shd w:val="clear" w:color="auto" w:fill="FFFFFF"/>
        </w:rPr>
      </w:pPr>
    </w:p>
    <w:p w14:paraId="1EBA3E83" w14:textId="22D79A2C" w:rsidR="008E3038" w:rsidRPr="00C12F37" w:rsidRDefault="00C12F37" w:rsidP="00C12F37">
      <w:pPr>
        <w:spacing w:after="0" w:line="240" w:lineRule="auto"/>
        <w:rPr>
          <w:rFonts w:ascii="Arial" w:hAnsi="Arial" w:cs="Arial"/>
          <w:color w:val="202124"/>
          <w:shd w:val="clear" w:color="auto" w:fill="FFFFFF"/>
        </w:rPr>
      </w:pPr>
      <w:r w:rsidRPr="00C12F37">
        <w:rPr>
          <w:rFonts w:ascii="Arial" w:hAnsi="Arial" w:cs="Arial"/>
          <w:color w:val="202124"/>
          <w:shd w:val="clear" w:color="auto" w:fill="FFFFFF"/>
        </w:rPr>
        <w:t>a.</w:t>
      </w:r>
      <w:r>
        <w:rPr>
          <w:rFonts w:ascii="Arial" w:hAnsi="Arial" w:cs="Arial"/>
          <w:color w:val="202124"/>
          <w:shd w:val="clear" w:color="auto" w:fill="FFFFFF"/>
        </w:rPr>
        <w:t xml:space="preserve"> </w:t>
      </w:r>
      <w:r w:rsidR="008E3038" w:rsidRPr="00C12F37">
        <w:rPr>
          <w:rFonts w:ascii="Arial" w:hAnsi="Arial" w:cs="Arial"/>
          <w:color w:val="202124"/>
          <w:shd w:val="clear" w:color="auto" w:fill="FFFFFF"/>
        </w:rPr>
        <w:t xml:space="preserve">CHW </w:t>
      </w:r>
      <w:r w:rsidR="00AA2DD6">
        <w:rPr>
          <w:rFonts w:ascii="Arial" w:hAnsi="Arial" w:cs="Arial"/>
          <w:color w:val="202124"/>
          <w:shd w:val="clear" w:color="auto" w:fill="FFFFFF"/>
        </w:rPr>
        <w:t>medicine</w:t>
      </w:r>
      <w:r w:rsidR="003C0A38">
        <w:rPr>
          <w:rFonts w:ascii="Arial" w:hAnsi="Arial" w:cs="Arial"/>
          <w:color w:val="202124"/>
          <w:shd w:val="clear" w:color="auto" w:fill="FFFFFF"/>
        </w:rPr>
        <w:t xml:space="preserve"> </w:t>
      </w:r>
      <w:r w:rsidR="008E3038" w:rsidRPr="00C12F37">
        <w:rPr>
          <w:rFonts w:ascii="Arial" w:hAnsi="Arial" w:cs="Arial"/>
          <w:color w:val="202124"/>
          <w:shd w:val="clear" w:color="auto" w:fill="FFFFFF"/>
        </w:rPr>
        <w:t>stock</w:t>
      </w:r>
      <w:r w:rsidR="002D11CE">
        <w:rPr>
          <w:rFonts w:ascii="Arial" w:hAnsi="Arial" w:cs="Arial"/>
          <w:color w:val="202124"/>
          <w:shd w:val="clear" w:color="auto" w:fill="FFFFFF"/>
        </w:rPr>
        <w:t>-</w:t>
      </w:r>
      <w:r w:rsidR="008E3038" w:rsidRPr="00C12F37">
        <w:rPr>
          <w:rFonts w:ascii="Arial" w:hAnsi="Arial" w:cs="Arial"/>
          <w:color w:val="202124"/>
          <w:shd w:val="clear" w:color="auto" w:fill="FFFFFF"/>
        </w:rPr>
        <w:t xml:space="preserve">out </w:t>
      </w:r>
    </w:p>
    <w:p w14:paraId="0B65B01F" w14:textId="57224D3B" w:rsidR="00C12F37" w:rsidRDefault="00C12F37" w:rsidP="008E3038">
      <w:pPr>
        <w:spacing w:after="0" w:line="240" w:lineRule="auto"/>
        <w:rPr>
          <w:rFonts w:ascii="Arial" w:hAnsi="Arial" w:cs="Arial"/>
          <w:color w:val="202124"/>
          <w:shd w:val="clear" w:color="auto" w:fill="FFFFFF"/>
        </w:rPr>
      </w:pPr>
    </w:p>
    <w:p w14:paraId="5EE7B5D3" w14:textId="33F0E47B" w:rsidR="00C12F37" w:rsidRDefault="00C12F37" w:rsidP="00C12F37">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X̄ = </w:t>
      </w:r>
      <w:r w:rsidR="009E4FCB" w:rsidRPr="009E4FCB">
        <w:rPr>
          <w:rFonts w:ascii="Arial" w:hAnsi="Arial" w:cs="Arial"/>
          <w:color w:val="202124"/>
          <w:shd w:val="clear" w:color="auto" w:fill="FFFFFF"/>
        </w:rPr>
        <w:t>28.93</w:t>
      </w:r>
      <w:r>
        <w:rPr>
          <w:rFonts w:ascii="Arial" w:hAnsi="Arial" w:cs="Arial"/>
          <w:color w:val="202124"/>
          <w:shd w:val="clear" w:color="auto" w:fill="FFFFFF"/>
        </w:rPr>
        <w:t xml:space="preserve">, n = </w:t>
      </w:r>
      <w:r w:rsidR="009E4FCB" w:rsidRPr="009E4FCB">
        <w:rPr>
          <w:rFonts w:ascii="Arial" w:hAnsi="Arial" w:cs="Arial"/>
          <w:color w:val="202124"/>
          <w:shd w:val="clear" w:color="auto" w:fill="FFFFFF"/>
        </w:rPr>
        <w:t>62372</w:t>
      </w:r>
      <w:r>
        <w:rPr>
          <w:rFonts w:ascii="Arial" w:hAnsi="Arial" w:cs="Arial"/>
          <w:color w:val="202124"/>
          <w:shd w:val="clear" w:color="auto" w:fill="FFFFFF"/>
        </w:rPr>
        <w:t xml:space="preserve">, s = </w:t>
      </w:r>
      <w:r w:rsidR="009E4FCB" w:rsidRPr="009E4FCB">
        <w:rPr>
          <w:rFonts w:ascii="Arial" w:hAnsi="Arial" w:cs="Arial"/>
          <w:color w:val="202124"/>
          <w:shd w:val="clear" w:color="auto" w:fill="FFFFFF"/>
        </w:rPr>
        <w:t>16.94</w:t>
      </w:r>
      <w:r>
        <w:rPr>
          <w:rFonts w:ascii="Arial" w:hAnsi="Arial" w:cs="Arial"/>
          <w:color w:val="202124"/>
          <w:shd w:val="clear" w:color="auto" w:fill="FFFFFF"/>
        </w:rPr>
        <w:t xml:space="preserve">, </w:t>
      </w:r>
      <w:r w:rsidR="009E4FCB">
        <w:rPr>
          <w:rFonts w:ascii="Arial" w:hAnsi="Arial" w:cs="Arial"/>
          <w:color w:val="202124"/>
          <w:shd w:val="clear" w:color="auto" w:fill="FFFFFF"/>
        </w:rPr>
        <w:t>Z*</w:t>
      </w:r>
      <w:r>
        <w:rPr>
          <w:rFonts w:ascii="Arial" w:hAnsi="Arial" w:cs="Arial"/>
          <w:color w:val="202124"/>
          <w:shd w:val="clear" w:color="auto" w:fill="FFFFFF"/>
        </w:rPr>
        <w:t xml:space="preserve"> = </w:t>
      </w:r>
      <w:r w:rsidR="00FA7682">
        <w:rPr>
          <w:rFonts w:ascii="Arial" w:hAnsi="Arial" w:cs="Arial"/>
          <w:color w:val="202124"/>
          <w:shd w:val="clear" w:color="auto" w:fill="FFFFFF"/>
        </w:rPr>
        <w:t>1.96</w:t>
      </w:r>
    </w:p>
    <w:bookmarkEnd w:id="0"/>
    <w:p w14:paraId="4D04A959" w14:textId="15A608B4" w:rsidR="00C12F37" w:rsidRDefault="00C12F37" w:rsidP="00C12F37">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9E4FCB" w:rsidRPr="009E4FCB">
        <w:rPr>
          <w:rFonts w:ascii="Arial" w:hAnsi="Arial" w:cs="Arial"/>
          <w:color w:val="202124"/>
          <w:shd w:val="clear" w:color="auto" w:fill="FFFFFF"/>
        </w:rPr>
        <w:t>28.93</w:t>
      </w:r>
      <w:r>
        <w:rPr>
          <w:rFonts w:ascii="Arial" w:hAnsi="Arial" w:cs="Arial"/>
          <w:color w:val="202124"/>
          <w:shd w:val="clear" w:color="auto" w:fill="FFFFFF"/>
        </w:rPr>
        <w:t xml:space="preserve">± </w:t>
      </w:r>
      <w:r w:rsidR="00FA7682">
        <w:rPr>
          <w:rFonts w:ascii="Arial" w:hAnsi="Arial" w:cs="Arial"/>
          <w:color w:val="202124"/>
          <w:shd w:val="clear" w:color="auto" w:fill="FFFFFF"/>
        </w:rPr>
        <w:t>1.96</w:t>
      </w:r>
      <w:r w:rsidR="00AE2416" w:rsidRPr="00AE2416">
        <w:rPr>
          <w:rFonts w:ascii="Arial" w:hAnsi="Arial" w:cs="Arial"/>
          <w:color w:val="202124"/>
          <w:shd w:val="clear" w:color="auto" w:fill="FFFFFF"/>
        </w:rPr>
        <w:t xml:space="preserve"> </w:t>
      </w:r>
      <w:r>
        <w:rPr>
          <w:rFonts w:ascii="Arial" w:hAnsi="Arial" w:cs="Arial"/>
          <w:color w:val="202124"/>
          <w:shd w:val="clear" w:color="auto" w:fill="FFFFFF"/>
        </w:rPr>
        <w:t>(</w:t>
      </w:r>
      <w:r w:rsidR="00FA7682" w:rsidRPr="009E4FCB">
        <w:rPr>
          <w:rFonts w:ascii="Arial" w:hAnsi="Arial" w:cs="Arial"/>
          <w:color w:val="202124"/>
          <w:shd w:val="clear" w:color="auto" w:fill="FFFFFF"/>
        </w:rPr>
        <w:t>16.94</w:t>
      </w:r>
      <w:r>
        <w:rPr>
          <w:rFonts w:ascii="Arial" w:hAnsi="Arial" w:cs="Arial"/>
          <w:color w:val="202124"/>
          <w:shd w:val="clear" w:color="auto" w:fill="FFFFFF"/>
        </w:rPr>
        <w:t>/√</w:t>
      </w:r>
      <w:r w:rsidR="00FA7682" w:rsidRPr="009E4FCB">
        <w:rPr>
          <w:rFonts w:ascii="Arial" w:hAnsi="Arial" w:cs="Arial"/>
          <w:color w:val="202124"/>
          <w:shd w:val="clear" w:color="auto" w:fill="FFFFFF"/>
        </w:rPr>
        <w:t>62372</w:t>
      </w:r>
      <w:r>
        <w:rPr>
          <w:rFonts w:ascii="Arial" w:hAnsi="Arial" w:cs="Arial"/>
          <w:color w:val="202124"/>
          <w:shd w:val="clear" w:color="auto" w:fill="FFFFFF"/>
        </w:rPr>
        <w:t>)</w:t>
      </w:r>
    </w:p>
    <w:p w14:paraId="4E881311" w14:textId="1814F345" w:rsidR="00C12F37" w:rsidRDefault="00C12F37" w:rsidP="00C12F37">
      <w:pPr>
        <w:spacing w:after="0" w:line="240" w:lineRule="auto"/>
        <w:rPr>
          <w:rFonts w:ascii="Arial" w:hAnsi="Arial" w:cs="Arial"/>
          <w:color w:val="202124"/>
          <w:shd w:val="clear" w:color="auto" w:fill="FFFFFF"/>
        </w:rPr>
      </w:pPr>
      <w:r w:rsidRPr="00C12F37">
        <w:rPr>
          <w:rFonts w:ascii="Arial" w:hAnsi="Arial" w:cs="Arial"/>
          <w:color w:val="202124"/>
          <w:shd w:val="clear" w:color="auto" w:fill="FFFFFF"/>
        </w:rPr>
        <w:t xml:space="preserve">Confidence interval = </w:t>
      </w:r>
      <w:r w:rsidR="009E4FCB" w:rsidRPr="009E4FCB">
        <w:rPr>
          <w:rFonts w:ascii="Arial" w:hAnsi="Arial" w:cs="Arial"/>
          <w:color w:val="202124"/>
          <w:shd w:val="clear" w:color="auto" w:fill="FFFFFF"/>
        </w:rPr>
        <w:t>28.93</w:t>
      </w:r>
      <w:r w:rsidRPr="00C12F37">
        <w:rPr>
          <w:rFonts w:ascii="Arial" w:hAnsi="Arial" w:cs="Arial"/>
          <w:color w:val="202124"/>
          <w:shd w:val="clear" w:color="auto" w:fill="FFFFFF"/>
        </w:rPr>
        <w:t xml:space="preserve">± </w:t>
      </w:r>
      <w:r w:rsidR="00723426">
        <w:rPr>
          <w:rFonts w:ascii="Arial" w:hAnsi="Arial" w:cs="Arial"/>
          <w:color w:val="202124"/>
          <w:shd w:val="clear" w:color="auto" w:fill="FFFFFF"/>
        </w:rPr>
        <w:t>(</w:t>
      </w:r>
      <w:r w:rsidR="00FA7682">
        <w:rPr>
          <w:rFonts w:ascii="Arial" w:hAnsi="Arial" w:cs="Arial"/>
          <w:color w:val="202124"/>
          <w:shd w:val="clear" w:color="auto" w:fill="FFFFFF"/>
        </w:rPr>
        <w:t>1.96</w:t>
      </w:r>
      <w:r w:rsidR="00FA7682" w:rsidRPr="00AE2416">
        <w:rPr>
          <w:rFonts w:ascii="Arial" w:hAnsi="Arial" w:cs="Arial"/>
          <w:color w:val="202124"/>
          <w:shd w:val="clear" w:color="auto" w:fill="FFFFFF"/>
        </w:rPr>
        <w:t xml:space="preserve"> </w:t>
      </w:r>
      <w:r w:rsidR="00723426">
        <w:rPr>
          <w:rFonts w:ascii="Arial" w:hAnsi="Arial" w:cs="Arial"/>
          <w:color w:val="202124"/>
          <w:shd w:val="clear" w:color="auto" w:fill="FFFFFF"/>
        </w:rPr>
        <w:t xml:space="preserve">x </w:t>
      </w:r>
      <w:r w:rsidR="00FA7682" w:rsidRPr="00FA7682">
        <w:rPr>
          <w:rFonts w:ascii="Arial" w:hAnsi="Arial" w:cs="Arial"/>
          <w:color w:val="202124"/>
          <w:shd w:val="clear" w:color="auto" w:fill="FFFFFF"/>
        </w:rPr>
        <w:t>0.0</w:t>
      </w:r>
      <w:r w:rsidR="00FA7682">
        <w:rPr>
          <w:rFonts w:ascii="Arial" w:hAnsi="Arial" w:cs="Arial"/>
          <w:color w:val="202124"/>
          <w:shd w:val="clear" w:color="auto" w:fill="FFFFFF"/>
        </w:rPr>
        <w:t>7</w:t>
      </w:r>
      <w:r w:rsidR="00723426">
        <w:rPr>
          <w:rFonts w:ascii="Arial" w:hAnsi="Arial" w:cs="Arial"/>
          <w:color w:val="202124"/>
          <w:shd w:val="clear" w:color="auto" w:fill="FFFFFF"/>
        </w:rPr>
        <w:t xml:space="preserve">) </w:t>
      </w:r>
    </w:p>
    <w:p w14:paraId="6E54C242" w14:textId="471BCDC0" w:rsidR="00723426" w:rsidRDefault="00723426" w:rsidP="00723426">
      <w:pPr>
        <w:spacing w:after="0" w:line="240" w:lineRule="auto"/>
        <w:rPr>
          <w:rFonts w:ascii="Arial" w:hAnsi="Arial" w:cs="Arial"/>
          <w:color w:val="202124"/>
          <w:shd w:val="clear" w:color="auto" w:fill="FFFFFF"/>
        </w:rPr>
      </w:pPr>
      <w:r w:rsidRPr="00C12F37">
        <w:rPr>
          <w:rFonts w:ascii="Arial" w:hAnsi="Arial" w:cs="Arial"/>
          <w:color w:val="202124"/>
          <w:shd w:val="clear" w:color="auto" w:fill="FFFFFF"/>
        </w:rPr>
        <w:t xml:space="preserve">Confidence interval = </w:t>
      </w:r>
      <w:r w:rsidR="009E4FCB" w:rsidRPr="009E4FCB">
        <w:rPr>
          <w:rFonts w:ascii="Arial" w:hAnsi="Arial" w:cs="Arial"/>
          <w:color w:val="202124"/>
          <w:shd w:val="clear" w:color="auto" w:fill="FFFFFF"/>
        </w:rPr>
        <w:t>28.93</w:t>
      </w:r>
      <w:r w:rsidRPr="00C12F37">
        <w:rPr>
          <w:rFonts w:ascii="Arial" w:hAnsi="Arial" w:cs="Arial"/>
          <w:color w:val="202124"/>
          <w:shd w:val="clear" w:color="auto" w:fill="FFFFFF"/>
        </w:rPr>
        <w:t xml:space="preserve">± </w:t>
      </w:r>
      <w:r w:rsidR="00FA7682">
        <w:rPr>
          <w:rFonts w:ascii="Arial" w:hAnsi="Arial" w:cs="Arial"/>
          <w:color w:val="202124"/>
          <w:shd w:val="clear" w:color="auto" w:fill="FFFFFF"/>
        </w:rPr>
        <w:t>0.14</w:t>
      </w:r>
      <w:r>
        <w:rPr>
          <w:rFonts w:ascii="Arial" w:hAnsi="Arial" w:cs="Arial"/>
          <w:color w:val="202124"/>
          <w:shd w:val="clear" w:color="auto" w:fill="FFFFFF"/>
        </w:rPr>
        <w:t xml:space="preserve"> </w:t>
      </w:r>
    </w:p>
    <w:p w14:paraId="056A98A9" w14:textId="77777777" w:rsidR="00723426" w:rsidRDefault="00723426" w:rsidP="00C12F37">
      <w:pPr>
        <w:spacing w:after="0" w:line="240" w:lineRule="auto"/>
        <w:rPr>
          <w:rFonts w:ascii="Arial" w:hAnsi="Arial" w:cs="Arial"/>
          <w:color w:val="202124"/>
          <w:shd w:val="clear" w:color="auto" w:fill="FFFFFF"/>
        </w:rPr>
      </w:pPr>
    </w:p>
    <w:p w14:paraId="59F9C492" w14:textId="77777777" w:rsidR="00C12F37" w:rsidRPr="008E3038" w:rsidRDefault="00C12F37" w:rsidP="008E3038">
      <w:pPr>
        <w:spacing w:after="0" w:line="240" w:lineRule="auto"/>
        <w:rPr>
          <w:rFonts w:ascii="Arial" w:hAnsi="Arial" w:cs="Arial"/>
          <w:color w:val="202124"/>
          <w:shd w:val="clear" w:color="auto" w:fill="FFFFFF"/>
        </w:rPr>
      </w:pPr>
    </w:p>
    <w:p w14:paraId="6030E341" w14:textId="251AA1E3" w:rsidR="00723426" w:rsidRPr="00C12F37" w:rsidRDefault="00723426" w:rsidP="00723426">
      <w:pPr>
        <w:spacing w:after="0" w:line="240" w:lineRule="auto"/>
        <w:rPr>
          <w:rFonts w:ascii="Arial" w:hAnsi="Arial" w:cs="Arial"/>
          <w:color w:val="202124"/>
          <w:shd w:val="clear" w:color="auto" w:fill="FFFFFF"/>
        </w:rPr>
      </w:pPr>
      <w:r>
        <w:rPr>
          <w:rFonts w:ascii="Times New Roman" w:eastAsia="Arial Unicode MS" w:hAnsi="Times New Roman" w:cs="Arial Unicode MS"/>
          <w:color w:val="000000"/>
          <w:sz w:val="24"/>
          <w:szCs w:val="24"/>
          <w:u w:color="000000"/>
        </w:rPr>
        <w:t xml:space="preserve">b. </w:t>
      </w:r>
      <w:r>
        <w:rPr>
          <w:rFonts w:ascii="Arial" w:hAnsi="Arial" w:cs="Arial"/>
          <w:color w:val="202124"/>
          <w:shd w:val="clear" w:color="auto" w:fill="FFFFFF"/>
        </w:rPr>
        <w:t xml:space="preserve">Health </w:t>
      </w:r>
      <w:r w:rsidR="00AA2DD6">
        <w:rPr>
          <w:rFonts w:ascii="Arial" w:hAnsi="Arial" w:cs="Arial"/>
          <w:color w:val="202124"/>
          <w:shd w:val="clear" w:color="auto" w:fill="FFFFFF"/>
        </w:rPr>
        <w:t>center</w:t>
      </w:r>
      <w:r>
        <w:rPr>
          <w:rFonts w:ascii="Arial" w:hAnsi="Arial" w:cs="Arial"/>
          <w:color w:val="202124"/>
          <w:shd w:val="clear" w:color="auto" w:fill="FFFFFF"/>
        </w:rPr>
        <w:t xml:space="preserve"> </w:t>
      </w:r>
      <w:r w:rsidR="00AA2DD6">
        <w:rPr>
          <w:rFonts w:ascii="Arial" w:hAnsi="Arial" w:cs="Arial"/>
          <w:color w:val="202124"/>
          <w:shd w:val="clear" w:color="auto" w:fill="FFFFFF"/>
        </w:rPr>
        <w:t>medicine</w:t>
      </w:r>
      <w:r w:rsidR="003C0A38">
        <w:rPr>
          <w:rFonts w:ascii="Arial" w:hAnsi="Arial" w:cs="Arial"/>
          <w:color w:val="202124"/>
          <w:shd w:val="clear" w:color="auto" w:fill="FFFFFF"/>
        </w:rPr>
        <w:t xml:space="preserve"> </w:t>
      </w:r>
      <w:r w:rsidRPr="00C12F37">
        <w:rPr>
          <w:rFonts w:ascii="Arial" w:hAnsi="Arial" w:cs="Arial"/>
          <w:color w:val="202124"/>
          <w:shd w:val="clear" w:color="auto" w:fill="FFFFFF"/>
        </w:rPr>
        <w:t>stock</w:t>
      </w:r>
      <w:r w:rsidR="002D11CE">
        <w:rPr>
          <w:rFonts w:ascii="Arial" w:hAnsi="Arial" w:cs="Arial"/>
          <w:color w:val="202124"/>
          <w:shd w:val="clear" w:color="auto" w:fill="FFFFFF"/>
        </w:rPr>
        <w:t>-</w:t>
      </w:r>
      <w:r w:rsidRPr="00C12F37">
        <w:rPr>
          <w:rFonts w:ascii="Arial" w:hAnsi="Arial" w:cs="Arial"/>
          <w:color w:val="202124"/>
          <w:shd w:val="clear" w:color="auto" w:fill="FFFFFF"/>
        </w:rPr>
        <w:t xml:space="preserve">out </w:t>
      </w:r>
    </w:p>
    <w:p w14:paraId="4E8B17D1" w14:textId="77777777" w:rsidR="00723426" w:rsidRDefault="00723426" w:rsidP="00723426">
      <w:pPr>
        <w:spacing w:after="0" w:line="240" w:lineRule="auto"/>
        <w:rPr>
          <w:rFonts w:ascii="Arial" w:hAnsi="Arial" w:cs="Arial"/>
          <w:color w:val="202124"/>
          <w:shd w:val="clear" w:color="auto" w:fill="FFFFFF"/>
        </w:rPr>
      </w:pPr>
    </w:p>
    <w:p w14:paraId="491D99A6" w14:textId="666CD8CA" w:rsidR="00723426" w:rsidRDefault="00723426" w:rsidP="00723426">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X̄ = </w:t>
      </w:r>
      <w:bookmarkStart w:id="1" w:name="_Hlk72725366"/>
      <w:r w:rsidR="00BB0311" w:rsidRPr="00BB0311">
        <w:rPr>
          <w:rFonts w:ascii="Arial" w:hAnsi="Arial" w:cs="Arial"/>
          <w:color w:val="202124"/>
          <w:shd w:val="clear" w:color="auto" w:fill="FFFFFF"/>
        </w:rPr>
        <w:t>9.17</w:t>
      </w:r>
      <w:bookmarkEnd w:id="1"/>
      <w:r>
        <w:rPr>
          <w:rFonts w:ascii="Arial" w:hAnsi="Arial" w:cs="Arial"/>
          <w:color w:val="202124"/>
          <w:shd w:val="clear" w:color="auto" w:fill="FFFFFF"/>
        </w:rPr>
        <w:t xml:space="preserve">, n = </w:t>
      </w:r>
      <w:r w:rsidR="00BB0311" w:rsidRPr="00BB0311">
        <w:rPr>
          <w:rFonts w:ascii="Arial" w:hAnsi="Arial" w:cs="Arial"/>
          <w:color w:val="202124"/>
          <w:shd w:val="clear" w:color="auto" w:fill="FFFFFF"/>
        </w:rPr>
        <w:t>2383</w:t>
      </w:r>
      <w:r>
        <w:rPr>
          <w:rFonts w:ascii="Arial" w:hAnsi="Arial" w:cs="Arial"/>
          <w:color w:val="202124"/>
          <w:shd w:val="clear" w:color="auto" w:fill="FFFFFF"/>
        </w:rPr>
        <w:t xml:space="preserve">, s = </w:t>
      </w:r>
      <w:bookmarkStart w:id="2" w:name="_Hlk72725435"/>
      <w:r w:rsidR="00BB0311" w:rsidRPr="00BB0311">
        <w:rPr>
          <w:rFonts w:ascii="Arial" w:hAnsi="Arial" w:cs="Arial"/>
          <w:color w:val="202124"/>
          <w:shd w:val="clear" w:color="auto" w:fill="FFFFFF"/>
        </w:rPr>
        <w:t>13.18</w:t>
      </w:r>
      <w:bookmarkEnd w:id="2"/>
      <w:r>
        <w:rPr>
          <w:rFonts w:ascii="Arial" w:hAnsi="Arial" w:cs="Arial"/>
          <w:color w:val="202124"/>
          <w:shd w:val="clear" w:color="auto" w:fill="FFFFFF"/>
        </w:rPr>
        <w:t xml:space="preserve">, </w:t>
      </w:r>
      <w:r w:rsidR="00BB0311">
        <w:rPr>
          <w:rFonts w:ascii="Arial" w:hAnsi="Arial" w:cs="Arial"/>
          <w:color w:val="202124"/>
          <w:shd w:val="clear" w:color="auto" w:fill="FFFFFF"/>
        </w:rPr>
        <w:t>Z*</w:t>
      </w:r>
      <w:r>
        <w:rPr>
          <w:rFonts w:ascii="Arial" w:hAnsi="Arial" w:cs="Arial"/>
          <w:color w:val="202124"/>
          <w:shd w:val="clear" w:color="auto" w:fill="FFFFFF"/>
        </w:rPr>
        <w:t xml:space="preserve"> = </w:t>
      </w:r>
      <w:bookmarkStart w:id="3" w:name="_Hlk72725401"/>
      <w:r w:rsidR="00BB0311">
        <w:rPr>
          <w:rFonts w:ascii="Arial" w:hAnsi="Arial" w:cs="Arial"/>
          <w:color w:val="202124"/>
          <w:shd w:val="clear" w:color="auto" w:fill="FFFFFF"/>
        </w:rPr>
        <w:t>1.96</w:t>
      </w:r>
      <w:bookmarkEnd w:id="3"/>
    </w:p>
    <w:p w14:paraId="06132C94" w14:textId="59E9E6BF" w:rsidR="00723426" w:rsidRDefault="00723426" w:rsidP="00723426">
      <w:pPr>
        <w:spacing w:after="0" w:line="240" w:lineRule="auto"/>
        <w:rPr>
          <w:rFonts w:ascii="Arial" w:hAnsi="Arial" w:cs="Arial"/>
          <w:color w:val="202124"/>
          <w:shd w:val="clear" w:color="auto" w:fill="FFFFFF"/>
        </w:rPr>
      </w:pPr>
      <w:r>
        <w:rPr>
          <w:rFonts w:ascii="Arial" w:hAnsi="Arial" w:cs="Arial"/>
          <w:color w:val="202124"/>
          <w:shd w:val="clear" w:color="auto" w:fill="FFFFFF"/>
        </w:rPr>
        <w:lastRenderedPageBreak/>
        <w:t xml:space="preserve">Confidence interval = </w:t>
      </w:r>
      <w:bookmarkStart w:id="4" w:name="_Hlk72725472"/>
      <w:r w:rsidR="00BB0311" w:rsidRPr="00BB0311">
        <w:rPr>
          <w:rFonts w:ascii="Arial" w:hAnsi="Arial" w:cs="Arial"/>
          <w:color w:val="202124"/>
          <w:shd w:val="clear" w:color="auto" w:fill="FFFFFF"/>
        </w:rPr>
        <w:t>9.17</w:t>
      </w:r>
      <w:r w:rsidR="00BB0311">
        <w:rPr>
          <w:rFonts w:ascii="Arial" w:hAnsi="Arial" w:cs="Arial"/>
          <w:color w:val="202124"/>
          <w:shd w:val="clear" w:color="auto" w:fill="FFFFFF"/>
        </w:rPr>
        <w:t xml:space="preserve"> </w:t>
      </w:r>
      <w:bookmarkEnd w:id="4"/>
      <w:r>
        <w:rPr>
          <w:rFonts w:ascii="Arial" w:hAnsi="Arial" w:cs="Arial"/>
          <w:color w:val="202124"/>
          <w:shd w:val="clear" w:color="auto" w:fill="FFFFFF"/>
        </w:rPr>
        <w:t xml:space="preserve">± </w:t>
      </w:r>
      <w:r w:rsidR="006E4D3A" w:rsidRPr="006E4D3A">
        <w:rPr>
          <w:rFonts w:ascii="Arial" w:hAnsi="Arial" w:cs="Arial"/>
          <w:color w:val="202124"/>
          <w:shd w:val="clear" w:color="auto" w:fill="FFFFFF"/>
        </w:rPr>
        <w:t xml:space="preserve">1.96 </w:t>
      </w:r>
      <w:r>
        <w:rPr>
          <w:rFonts w:ascii="Arial" w:hAnsi="Arial" w:cs="Arial"/>
          <w:color w:val="202124"/>
          <w:shd w:val="clear" w:color="auto" w:fill="FFFFFF"/>
        </w:rPr>
        <w:t>(</w:t>
      </w:r>
      <w:r w:rsidR="006E4D3A" w:rsidRPr="006E4D3A">
        <w:rPr>
          <w:rFonts w:ascii="Arial" w:hAnsi="Arial" w:cs="Arial"/>
          <w:color w:val="202124"/>
          <w:shd w:val="clear" w:color="auto" w:fill="FFFFFF"/>
        </w:rPr>
        <w:t>13.18</w:t>
      </w:r>
      <w:r>
        <w:rPr>
          <w:rFonts w:ascii="Arial" w:hAnsi="Arial" w:cs="Arial"/>
          <w:color w:val="202124"/>
          <w:shd w:val="clear" w:color="auto" w:fill="FFFFFF"/>
        </w:rPr>
        <w:t>/</w:t>
      </w:r>
      <w:bookmarkStart w:id="5" w:name="_Hlk71367668"/>
      <w:r>
        <w:rPr>
          <w:rFonts w:ascii="Arial" w:hAnsi="Arial" w:cs="Arial"/>
          <w:color w:val="202124"/>
          <w:shd w:val="clear" w:color="auto" w:fill="FFFFFF"/>
        </w:rPr>
        <w:t>√</w:t>
      </w:r>
      <w:bookmarkEnd w:id="5"/>
      <w:r w:rsidR="006E4D3A" w:rsidRPr="006E4D3A">
        <w:rPr>
          <w:rFonts w:ascii="Arial" w:hAnsi="Arial" w:cs="Arial"/>
          <w:color w:val="202124"/>
          <w:shd w:val="clear" w:color="auto" w:fill="FFFFFF"/>
        </w:rPr>
        <w:t>2383</w:t>
      </w:r>
      <w:r>
        <w:rPr>
          <w:rFonts w:ascii="Arial" w:hAnsi="Arial" w:cs="Arial"/>
          <w:color w:val="202124"/>
          <w:shd w:val="clear" w:color="auto" w:fill="FFFFFF"/>
        </w:rPr>
        <w:t>)</w:t>
      </w:r>
    </w:p>
    <w:p w14:paraId="46D9C377" w14:textId="6CDA8C8C" w:rsidR="00723426" w:rsidRDefault="00723426" w:rsidP="00723426">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bookmarkStart w:id="6" w:name="_Hlk72726310"/>
      <w:r w:rsidR="006E4D3A" w:rsidRPr="006E4D3A">
        <w:rPr>
          <w:rFonts w:ascii="Arial" w:hAnsi="Arial" w:cs="Arial"/>
          <w:color w:val="202124"/>
          <w:shd w:val="clear" w:color="auto" w:fill="FFFFFF"/>
        </w:rPr>
        <w:t xml:space="preserve">9.17 </w:t>
      </w:r>
      <w:bookmarkEnd w:id="6"/>
      <w:r>
        <w:rPr>
          <w:rFonts w:ascii="Arial" w:hAnsi="Arial" w:cs="Arial"/>
          <w:color w:val="202124"/>
          <w:shd w:val="clear" w:color="auto" w:fill="FFFFFF"/>
        </w:rPr>
        <w:t xml:space="preserve">± </w:t>
      </w:r>
      <w:r w:rsidR="006E4D3A" w:rsidRPr="006E4D3A">
        <w:rPr>
          <w:rFonts w:ascii="Arial" w:hAnsi="Arial" w:cs="Arial"/>
          <w:color w:val="202124"/>
          <w:shd w:val="clear" w:color="auto" w:fill="FFFFFF"/>
        </w:rPr>
        <w:t xml:space="preserve">1.96 </w:t>
      </w:r>
      <w:r>
        <w:rPr>
          <w:rFonts w:ascii="Arial" w:hAnsi="Arial" w:cs="Arial"/>
          <w:color w:val="202124"/>
          <w:shd w:val="clear" w:color="auto" w:fill="FFFFFF"/>
        </w:rPr>
        <w:t>(</w:t>
      </w:r>
      <w:r w:rsidR="006E4D3A">
        <w:rPr>
          <w:rFonts w:ascii="Arial" w:hAnsi="Arial" w:cs="Arial"/>
          <w:color w:val="202124"/>
          <w:shd w:val="clear" w:color="auto" w:fill="FFFFFF"/>
        </w:rPr>
        <w:t>0.27</w:t>
      </w:r>
      <w:r>
        <w:rPr>
          <w:rFonts w:ascii="Arial" w:hAnsi="Arial" w:cs="Arial"/>
          <w:color w:val="202124"/>
          <w:shd w:val="clear" w:color="auto" w:fill="FFFFFF"/>
        </w:rPr>
        <w:t>)</w:t>
      </w:r>
    </w:p>
    <w:p w14:paraId="5AC39D55" w14:textId="7642FB4E" w:rsidR="003C0A38" w:rsidRDefault="003C0A38" w:rsidP="003C0A38">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2F44CD" w:rsidRPr="002F44CD">
        <w:rPr>
          <w:rFonts w:ascii="Arial" w:hAnsi="Arial" w:cs="Arial"/>
          <w:color w:val="202124"/>
          <w:shd w:val="clear" w:color="auto" w:fill="FFFFFF"/>
        </w:rPr>
        <w:t xml:space="preserve">9.17 </w:t>
      </w:r>
      <w:r>
        <w:rPr>
          <w:rFonts w:ascii="Arial" w:hAnsi="Arial" w:cs="Arial"/>
          <w:color w:val="202124"/>
          <w:shd w:val="clear" w:color="auto" w:fill="FFFFFF"/>
        </w:rPr>
        <w:t xml:space="preserve">± </w:t>
      </w:r>
      <w:r w:rsidR="006E4D3A">
        <w:rPr>
          <w:rFonts w:ascii="Arial" w:hAnsi="Arial" w:cs="Arial"/>
          <w:color w:val="202124"/>
          <w:shd w:val="clear" w:color="auto" w:fill="FFFFFF"/>
        </w:rPr>
        <w:t>0.53</w:t>
      </w:r>
    </w:p>
    <w:p w14:paraId="5F0857F5" w14:textId="5E2338A7" w:rsidR="003C0A38" w:rsidRDefault="003C0A38" w:rsidP="003C0A38">
      <w:pPr>
        <w:spacing w:after="0" w:line="240" w:lineRule="auto"/>
        <w:rPr>
          <w:rFonts w:ascii="Arial" w:hAnsi="Arial" w:cs="Arial"/>
          <w:color w:val="202124"/>
          <w:shd w:val="clear" w:color="auto" w:fill="FFFFFF"/>
        </w:rPr>
      </w:pPr>
    </w:p>
    <w:p w14:paraId="08415908" w14:textId="4E012CC5" w:rsidR="003C0A38" w:rsidRDefault="003C0A38" w:rsidP="003C0A38">
      <w:pPr>
        <w:spacing w:after="0" w:line="240" w:lineRule="auto"/>
        <w:rPr>
          <w:rFonts w:ascii="Arial" w:hAnsi="Arial" w:cs="Arial"/>
          <w:color w:val="202124"/>
          <w:shd w:val="clear" w:color="auto" w:fill="FFFFFF"/>
        </w:rPr>
      </w:pPr>
    </w:p>
    <w:p w14:paraId="1E1F697F" w14:textId="361EDE24" w:rsidR="003C0A38" w:rsidRDefault="003C0A38" w:rsidP="003C0A38">
      <w:pPr>
        <w:spacing w:after="0" w:line="240" w:lineRule="auto"/>
        <w:rPr>
          <w:rFonts w:ascii="Arial" w:hAnsi="Arial" w:cs="Arial"/>
          <w:color w:val="202124"/>
          <w:shd w:val="clear" w:color="auto" w:fill="FFFFFF"/>
        </w:rPr>
      </w:pPr>
    </w:p>
    <w:p w14:paraId="593CDCF9" w14:textId="0EF62AC1" w:rsidR="003C0A38" w:rsidRDefault="003C0A38" w:rsidP="003C0A38">
      <w:pPr>
        <w:spacing w:after="0" w:line="240" w:lineRule="auto"/>
        <w:rPr>
          <w:rFonts w:ascii="Arial" w:hAnsi="Arial" w:cs="Arial"/>
          <w:color w:val="202124"/>
          <w:shd w:val="clear" w:color="auto" w:fill="FFFFFF"/>
        </w:rPr>
      </w:pPr>
    </w:p>
    <w:p w14:paraId="14D2EFFA" w14:textId="7B4D16B2" w:rsidR="003C0A38" w:rsidRDefault="003C0A38" w:rsidP="003C0A38">
      <w:pPr>
        <w:spacing w:after="0" w:line="240" w:lineRule="auto"/>
        <w:rPr>
          <w:rFonts w:ascii="Arial" w:hAnsi="Arial" w:cs="Arial"/>
          <w:color w:val="202124"/>
          <w:shd w:val="clear" w:color="auto" w:fill="FFFFFF"/>
        </w:rPr>
      </w:pPr>
    </w:p>
    <w:p w14:paraId="576C9270" w14:textId="4D717A18" w:rsidR="003C0A38" w:rsidRPr="0052065D" w:rsidRDefault="003C0A38" w:rsidP="0052065D">
      <w:pPr>
        <w:rPr>
          <w:rFonts w:ascii="Arial" w:hAnsi="Arial" w:cs="Arial"/>
          <w:i/>
          <w:iCs/>
          <w:color w:val="202124"/>
          <w:shd w:val="clear" w:color="auto" w:fill="FFFFFF"/>
        </w:rPr>
      </w:pPr>
      <w:r w:rsidRPr="009415E8">
        <w:rPr>
          <w:rFonts w:ascii="Arial" w:hAnsi="Arial" w:cs="Arial"/>
          <w:b/>
          <w:bCs/>
          <w:i/>
          <w:iCs/>
          <w:color w:val="202124"/>
          <w:shd w:val="clear" w:color="auto" w:fill="FFFFFF"/>
        </w:rPr>
        <w:t>Period: 2006 - 2015</w:t>
      </w:r>
    </w:p>
    <w:p w14:paraId="33D8C961" w14:textId="72C1DE6F" w:rsidR="003C0A38" w:rsidRDefault="003C0A38" w:rsidP="003C0A38">
      <w:pPr>
        <w:spacing w:after="0" w:line="240" w:lineRule="auto"/>
        <w:rPr>
          <w:rFonts w:ascii="Arial" w:hAnsi="Arial" w:cs="Arial"/>
          <w:color w:val="202124"/>
          <w:shd w:val="clear" w:color="auto" w:fill="FFFFFF"/>
        </w:rPr>
      </w:pPr>
    </w:p>
    <w:p w14:paraId="31382DF3" w14:textId="62E2C5B9" w:rsidR="003C0A38" w:rsidRPr="003C0A38" w:rsidRDefault="003C0A38" w:rsidP="003C0A38">
      <w:pPr>
        <w:spacing w:after="0" w:line="240" w:lineRule="auto"/>
        <w:rPr>
          <w:rFonts w:ascii="Arial" w:hAnsi="Arial" w:cs="Arial"/>
          <w:color w:val="202124"/>
          <w:shd w:val="clear" w:color="auto" w:fill="FFFFFF"/>
        </w:rPr>
      </w:pPr>
      <w:r w:rsidRPr="003C0A38">
        <w:rPr>
          <w:rFonts w:ascii="Arial" w:hAnsi="Arial" w:cs="Arial"/>
          <w:color w:val="202124"/>
          <w:shd w:val="clear" w:color="auto" w:fill="FFFFFF"/>
        </w:rPr>
        <w:t>a. CHW drug stock</w:t>
      </w:r>
      <w:r w:rsidR="002D11CE">
        <w:rPr>
          <w:rFonts w:ascii="Arial" w:hAnsi="Arial" w:cs="Arial"/>
          <w:color w:val="202124"/>
          <w:shd w:val="clear" w:color="auto" w:fill="FFFFFF"/>
        </w:rPr>
        <w:t>-</w:t>
      </w:r>
      <w:r w:rsidRPr="003C0A38">
        <w:rPr>
          <w:rFonts w:ascii="Arial" w:hAnsi="Arial" w:cs="Arial"/>
          <w:color w:val="202124"/>
          <w:shd w:val="clear" w:color="auto" w:fill="FFFFFF"/>
        </w:rPr>
        <w:t xml:space="preserve">out </w:t>
      </w:r>
    </w:p>
    <w:p w14:paraId="53478BBB" w14:textId="77777777" w:rsidR="003C0A38" w:rsidRPr="003C0A38" w:rsidRDefault="003C0A38" w:rsidP="003C0A38">
      <w:pPr>
        <w:spacing w:after="0" w:line="240" w:lineRule="auto"/>
        <w:rPr>
          <w:rFonts w:ascii="Arial" w:hAnsi="Arial" w:cs="Arial"/>
          <w:color w:val="202124"/>
          <w:shd w:val="clear" w:color="auto" w:fill="FFFFFF"/>
        </w:rPr>
      </w:pPr>
    </w:p>
    <w:p w14:paraId="7AC87792" w14:textId="0A60263A" w:rsidR="003C0A38" w:rsidRDefault="003C0A38" w:rsidP="003C0A38">
      <w:pPr>
        <w:spacing w:after="0" w:line="240" w:lineRule="auto"/>
        <w:rPr>
          <w:rFonts w:ascii="Arial" w:hAnsi="Arial" w:cs="Arial"/>
          <w:color w:val="202124"/>
          <w:shd w:val="clear" w:color="auto" w:fill="FFFFFF"/>
        </w:rPr>
      </w:pPr>
      <w:bookmarkStart w:id="7" w:name="_Hlk71372190"/>
      <w:bookmarkStart w:id="8" w:name="_Hlk71368846"/>
      <w:r w:rsidRPr="003C0A38">
        <w:rPr>
          <w:rFonts w:ascii="Arial" w:hAnsi="Arial" w:cs="Arial"/>
          <w:color w:val="202124"/>
          <w:shd w:val="clear" w:color="auto" w:fill="FFFFFF"/>
        </w:rPr>
        <w:t xml:space="preserve">X̄ </w:t>
      </w:r>
      <w:bookmarkEnd w:id="7"/>
      <w:r w:rsidRPr="003C0A38">
        <w:rPr>
          <w:rFonts w:ascii="Arial" w:hAnsi="Arial" w:cs="Arial"/>
          <w:color w:val="202124"/>
          <w:shd w:val="clear" w:color="auto" w:fill="FFFFFF"/>
        </w:rPr>
        <w:t xml:space="preserve">= </w:t>
      </w:r>
      <w:r w:rsidR="00DD496E" w:rsidRPr="00DD496E">
        <w:rPr>
          <w:rFonts w:ascii="Arial" w:hAnsi="Arial" w:cs="Arial"/>
          <w:color w:val="202124"/>
          <w:shd w:val="clear" w:color="auto" w:fill="FFFFFF"/>
        </w:rPr>
        <w:t>26.36</w:t>
      </w:r>
      <w:r w:rsidRPr="003C0A38">
        <w:rPr>
          <w:rFonts w:ascii="Arial" w:hAnsi="Arial" w:cs="Arial"/>
          <w:color w:val="202124"/>
          <w:shd w:val="clear" w:color="auto" w:fill="FFFFFF"/>
        </w:rPr>
        <w:t xml:space="preserve">, n = </w:t>
      </w:r>
      <w:r w:rsidR="00DD496E" w:rsidRPr="00DD496E">
        <w:rPr>
          <w:rFonts w:ascii="Arial" w:hAnsi="Arial" w:cs="Arial"/>
          <w:color w:val="202124"/>
          <w:shd w:val="clear" w:color="auto" w:fill="FFFFFF"/>
        </w:rPr>
        <w:t>55173</w:t>
      </w:r>
      <w:r w:rsidRPr="003C0A38">
        <w:rPr>
          <w:rFonts w:ascii="Arial" w:hAnsi="Arial" w:cs="Arial"/>
          <w:color w:val="202124"/>
          <w:shd w:val="clear" w:color="auto" w:fill="FFFFFF"/>
        </w:rPr>
        <w:t xml:space="preserve">, s = </w:t>
      </w:r>
      <w:r w:rsidR="00DD496E" w:rsidRPr="00DD496E">
        <w:rPr>
          <w:rFonts w:ascii="Arial" w:hAnsi="Arial" w:cs="Arial"/>
          <w:color w:val="202124"/>
          <w:shd w:val="clear" w:color="auto" w:fill="FFFFFF"/>
        </w:rPr>
        <w:t>15.51</w:t>
      </w:r>
      <w:r w:rsidRPr="003C0A38">
        <w:rPr>
          <w:rFonts w:ascii="Arial" w:hAnsi="Arial" w:cs="Arial"/>
          <w:color w:val="202124"/>
          <w:shd w:val="clear" w:color="auto" w:fill="FFFFFF"/>
        </w:rPr>
        <w:t xml:space="preserve">, </w:t>
      </w:r>
      <w:r w:rsidR="00DD496E">
        <w:rPr>
          <w:rFonts w:ascii="Arial" w:hAnsi="Arial" w:cs="Arial"/>
          <w:color w:val="202124"/>
          <w:shd w:val="clear" w:color="auto" w:fill="FFFFFF"/>
        </w:rPr>
        <w:t>Z*</w:t>
      </w:r>
      <w:r w:rsidRPr="003C0A38">
        <w:rPr>
          <w:rFonts w:ascii="Arial" w:hAnsi="Arial" w:cs="Arial"/>
          <w:color w:val="202124"/>
          <w:shd w:val="clear" w:color="auto" w:fill="FFFFFF"/>
        </w:rPr>
        <w:t xml:space="preserve"> = </w:t>
      </w:r>
      <w:r w:rsidR="00DD496E">
        <w:rPr>
          <w:rFonts w:ascii="Arial" w:hAnsi="Arial" w:cs="Arial"/>
          <w:color w:val="202124"/>
          <w:shd w:val="clear" w:color="auto" w:fill="FFFFFF"/>
        </w:rPr>
        <w:t>1.96</w:t>
      </w:r>
    </w:p>
    <w:p w14:paraId="75D90F0C" w14:textId="08BB8E8B" w:rsidR="003C0A38" w:rsidRDefault="003C0A38" w:rsidP="003C0A38">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bookmarkStart w:id="9" w:name="_Hlk71372550"/>
      <w:r w:rsidR="00DD496E" w:rsidRPr="00DD496E">
        <w:rPr>
          <w:rFonts w:ascii="Arial" w:hAnsi="Arial" w:cs="Arial"/>
          <w:color w:val="202124"/>
          <w:shd w:val="clear" w:color="auto" w:fill="FFFFFF"/>
        </w:rPr>
        <w:t>26.36</w:t>
      </w:r>
      <w:r w:rsidR="00DD496E">
        <w:rPr>
          <w:rFonts w:ascii="Arial" w:hAnsi="Arial" w:cs="Arial"/>
          <w:color w:val="202124"/>
          <w:shd w:val="clear" w:color="auto" w:fill="FFFFFF"/>
        </w:rPr>
        <w:t xml:space="preserve"> </w:t>
      </w:r>
      <w:r>
        <w:rPr>
          <w:rFonts w:ascii="Arial" w:hAnsi="Arial" w:cs="Arial"/>
          <w:color w:val="202124"/>
          <w:shd w:val="clear" w:color="auto" w:fill="FFFFFF"/>
        </w:rPr>
        <w:t>±</w:t>
      </w:r>
      <w:bookmarkEnd w:id="9"/>
      <w:r>
        <w:rPr>
          <w:rFonts w:ascii="Arial" w:hAnsi="Arial" w:cs="Arial"/>
          <w:color w:val="202124"/>
          <w:shd w:val="clear" w:color="auto" w:fill="FFFFFF"/>
        </w:rPr>
        <w:t xml:space="preserve"> </w:t>
      </w:r>
      <w:r w:rsidR="002F44CD">
        <w:rPr>
          <w:rFonts w:ascii="Arial" w:hAnsi="Arial" w:cs="Arial"/>
          <w:color w:val="202124"/>
          <w:shd w:val="clear" w:color="auto" w:fill="FFFFFF"/>
        </w:rPr>
        <w:t>1.96</w:t>
      </w:r>
      <w:r>
        <w:rPr>
          <w:rFonts w:ascii="Arial" w:hAnsi="Arial" w:cs="Arial"/>
          <w:color w:val="202124"/>
          <w:shd w:val="clear" w:color="auto" w:fill="FFFFFF"/>
        </w:rPr>
        <w:t xml:space="preserve"> (</w:t>
      </w:r>
      <w:r w:rsidR="002F44CD">
        <w:rPr>
          <w:rFonts w:ascii="Arial" w:hAnsi="Arial" w:cs="Arial"/>
          <w:color w:val="202124"/>
          <w:shd w:val="clear" w:color="auto" w:fill="FFFFFF"/>
        </w:rPr>
        <w:t>15.51</w:t>
      </w:r>
      <w:r>
        <w:rPr>
          <w:rFonts w:ascii="Arial" w:hAnsi="Arial" w:cs="Arial"/>
          <w:color w:val="202124"/>
          <w:shd w:val="clear" w:color="auto" w:fill="FFFFFF"/>
        </w:rPr>
        <w:t>/</w:t>
      </w:r>
      <w:r w:rsidRPr="003C0A38">
        <w:rPr>
          <w:rFonts w:ascii="Arial" w:hAnsi="Arial" w:cs="Arial"/>
          <w:color w:val="202124"/>
          <w:shd w:val="clear" w:color="auto" w:fill="FFFFFF"/>
        </w:rPr>
        <w:t>√</w:t>
      </w:r>
      <w:r w:rsidR="002F44CD" w:rsidRPr="00DD496E">
        <w:rPr>
          <w:rFonts w:ascii="Arial" w:hAnsi="Arial" w:cs="Arial"/>
          <w:color w:val="202124"/>
          <w:shd w:val="clear" w:color="auto" w:fill="FFFFFF"/>
        </w:rPr>
        <w:t>55173</w:t>
      </w:r>
      <w:r>
        <w:rPr>
          <w:rFonts w:ascii="Arial" w:hAnsi="Arial" w:cs="Arial"/>
          <w:color w:val="202124"/>
          <w:shd w:val="clear" w:color="auto" w:fill="FFFFFF"/>
        </w:rPr>
        <w:t xml:space="preserve">) </w:t>
      </w:r>
    </w:p>
    <w:bookmarkEnd w:id="8"/>
    <w:p w14:paraId="6607AAEF" w14:textId="64C6CBCC" w:rsidR="005E2083" w:rsidRDefault="005E2083" w:rsidP="005E2083">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2F44CD" w:rsidRPr="00DD496E">
        <w:rPr>
          <w:rFonts w:ascii="Arial" w:hAnsi="Arial" w:cs="Arial"/>
          <w:color w:val="202124"/>
          <w:shd w:val="clear" w:color="auto" w:fill="FFFFFF"/>
        </w:rPr>
        <w:t>26.36</w:t>
      </w:r>
      <w:r w:rsidR="002F44CD">
        <w:rPr>
          <w:rFonts w:ascii="Arial" w:hAnsi="Arial" w:cs="Arial"/>
          <w:color w:val="202124"/>
          <w:shd w:val="clear" w:color="auto" w:fill="FFFFFF"/>
        </w:rPr>
        <w:t xml:space="preserve"> ± 1.96 (0.07) </w:t>
      </w:r>
    </w:p>
    <w:p w14:paraId="4848B676" w14:textId="40DB53AE" w:rsidR="005E2083" w:rsidRDefault="005E2083" w:rsidP="005E2083">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2F44CD" w:rsidRPr="00DD496E">
        <w:rPr>
          <w:rFonts w:ascii="Arial" w:hAnsi="Arial" w:cs="Arial"/>
          <w:color w:val="202124"/>
          <w:shd w:val="clear" w:color="auto" w:fill="FFFFFF"/>
        </w:rPr>
        <w:t>26.36</w:t>
      </w:r>
      <w:r w:rsidR="002F44CD">
        <w:rPr>
          <w:rFonts w:ascii="Arial" w:hAnsi="Arial" w:cs="Arial"/>
          <w:color w:val="202124"/>
          <w:shd w:val="clear" w:color="auto" w:fill="FFFFFF"/>
        </w:rPr>
        <w:t xml:space="preserve"> ± 0.14</w:t>
      </w:r>
    </w:p>
    <w:p w14:paraId="73433041" w14:textId="739F1696" w:rsidR="005E2083" w:rsidRDefault="005E2083" w:rsidP="005E2083">
      <w:pPr>
        <w:spacing w:after="0" w:line="240" w:lineRule="auto"/>
        <w:rPr>
          <w:rFonts w:ascii="Arial" w:hAnsi="Arial" w:cs="Arial"/>
          <w:color w:val="202124"/>
          <w:shd w:val="clear" w:color="auto" w:fill="FFFFFF"/>
        </w:rPr>
      </w:pPr>
    </w:p>
    <w:p w14:paraId="393264C4" w14:textId="089DEBE9" w:rsidR="005E2083" w:rsidRDefault="005E2083" w:rsidP="005E2083">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b. Health </w:t>
      </w:r>
      <w:r w:rsidR="003B6CF7">
        <w:rPr>
          <w:rFonts w:ascii="Arial" w:hAnsi="Arial" w:cs="Arial"/>
          <w:color w:val="202124"/>
          <w:shd w:val="clear" w:color="auto" w:fill="FFFFFF"/>
        </w:rPr>
        <w:t>center</w:t>
      </w:r>
      <w:r>
        <w:rPr>
          <w:rFonts w:ascii="Arial" w:hAnsi="Arial" w:cs="Arial"/>
          <w:color w:val="202124"/>
          <w:shd w:val="clear" w:color="auto" w:fill="FFFFFF"/>
        </w:rPr>
        <w:t xml:space="preserve"> drug stock</w:t>
      </w:r>
      <w:r w:rsidR="002D11CE">
        <w:rPr>
          <w:rFonts w:ascii="Arial" w:hAnsi="Arial" w:cs="Arial"/>
          <w:color w:val="202124"/>
          <w:shd w:val="clear" w:color="auto" w:fill="FFFFFF"/>
        </w:rPr>
        <w:t>-</w:t>
      </w:r>
      <w:r>
        <w:rPr>
          <w:rFonts w:ascii="Arial" w:hAnsi="Arial" w:cs="Arial"/>
          <w:color w:val="202124"/>
          <w:shd w:val="clear" w:color="auto" w:fill="FFFFFF"/>
        </w:rPr>
        <w:t>out</w:t>
      </w:r>
    </w:p>
    <w:p w14:paraId="4E1EA413" w14:textId="08894014" w:rsidR="005E2083" w:rsidRDefault="005E2083" w:rsidP="005E2083">
      <w:pPr>
        <w:spacing w:after="0" w:line="240" w:lineRule="auto"/>
        <w:rPr>
          <w:rFonts w:ascii="Arial" w:hAnsi="Arial" w:cs="Arial"/>
          <w:color w:val="202124"/>
          <w:shd w:val="clear" w:color="auto" w:fill="FFFFFF"/>
        </w:rPr>
      </w:pPr>
    </w:p>
    <w:p w14:paraId="0A1E8DCA" w14:textId="38183207" w:rsidR="005E2083" w:rsidRDefault="005E2083" w:rsidP="005E2083">
      <w:pPr>
        <w:spacing w:after="0" w:line="240" w:lineRule="auto"/>
        <w:rPr>
          <w:rFonts w:ascii="Arial" w:hAnsi="Arial" w:cs="Arial"/>
          <w:color w:val="202124"/>
          <w:shd w:val="clear" w:color="auto" w:fill="FFFFFF"/>
        </w:rPr>
      </w:pPr>
      <w:r w:rsidRPr="003C0A38">
        <w:rPr>
          <w:rFonts w:ascii="Arial" w:hAnsi="Arial" w:cs="Arial"/>
          <w:color w:val="202124"/>
          <w:shd w:val="clear" w:color="auto" w:fill="FFFFFF"/>
        </w:rPr>
        <w:t xml:space="preserve">X̄ = </w:t>
      </w:r>
      <w:bookmarkStart w:id="10" w:name="_Hlk72727656"/>
      <w:r w:rsidR="003E7F9B" w:rsidRPr="003E7F9B">
        <w:rPr>
          <w:rFonts w:ascii="Arial" w:hAnsi="Arial" w:cs="Arial"/>
          <w:color w:val="202124"/>
          <w:shd w:val="clear" w:color="auto" w:fill="FFFFFF"/>
        </w:rPr>
        <w:t>7.79</w:t>
      </w:r>
      <w:bookmarkEnd w:id="10"/>
      <w:r w:rsidRPr="003C0A38">
        <w:rPr>
          <w:rFonts w:ascii="Arial" w:hAnsi="Arial" w:cs="Arial"/>
          <w:color w:val="202124"/>
          <w:shd w:val="clear" w:color="auto" w:fill="FFFFFF"/>
        </w:rPr>
        <w:t xml:space="preserve">, n = </w:t>
      </w:r>
      <w:r w:rsidR="003E7F9B" w:rsidRPr="003E7F9B">
        <w:rPr>
          <w:rFonts w:ascii="Arial" w:hAnsi="Arial" w:cs="Arial"/>
          <w:color w:val="202124"/>
          <w:shd w:val="clear" w:color="auto" w:fill="FFFFFF"/>
        </w:rPr>
        <w:t>1877.00</w:t>
      </w:r>
      <w:r w:rsidRPr="003C0A38">
        <w:rPr>
          <w:rFonts w:ascii="Arial" w:hAnsi="Arial" w:cs="Arial"/>
          <w:color w:val="202124"/>
          <w:shd w:val="clear" w:color="auto" w:fill="FFFFFF"/>
        </w:rPr>
        <w:t xml:space="preserve">, s = </w:t>
      </w:r>
      <w:r w:rsidR="003E7F9B" w:rsidRPr="003E7F9B">
        <w:rPr>
          <w:rFonts w:ascii="Arial" w:hAnsi="Arial" w:cs="Arial"/>
          <w:color w:val="202124"/>
          <w:shd w:val="clear" w:color="auto" w:fill="FFFFFF"/>
        </w:rPr>
        <w:t>13.73</w:t>
      </w:r>
      <w:r w:rsidRPr="003C0A38">
        <w:rPr>
          <w:rFonts w:ascii="Arial" w:hAnsi="Arial" w:cs="Arial"/>
          <w:color w:val="202124"/>
          <w:shd w:val="clear" w:color="auto" w:fill="FFFFFF"/>
        </w:rPr>
        <w:t xml:space="preserve">, </w:t>
      </w:r>
      <w:bookmarkStart w:id="11" w:name="_Hlk71368201"/>
      <w:r w:rsidR="003E7F9B" w:rsidRPr="003E7F9B">
        <w:rPr>
          <w:rFonts w:ascii="Arial" w:hAnsi="Arial" w:cs="Arial"/>
          <w:color w:val="202124"/>
          <w:shd w:val="clear" w:color="auto" w:fill="FFFFFF"/>
        </w:rPr>
        <w:t>Z* = 1.96</w:t>
      </w:r>
    </w:p>
    <w:bookmarkEnd w:id="11"/>
    <w:p w14:paraId="2419F2CE" w14:textId="41F3CE69" w:rsidR="005E2083" w:rsidRDefault="005E2083" w:rsidP="005E2083">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3E7F9B" w:rsidRPr="003E7F9B">
        <w:rPr>
          <w:rFonts w:ascii="Arial" w:hAnsi="Arial" w:cs="Arial"/>
          <w:color w:val="202124"/>
          <w:shd w:val="clear" w:color="auto" w:fill="FFFFFF"/>
        </w:rPr>
        <w:t>7.79</w:t>
      </w:r>
      <w:r w:rsidR="003E7F9B">
        <w:rPr>
          <w:rFonts w:ascii="Arial" w:hAnsi="Arial" w:cs="Arial"/>
          <w:color w:val="202124"/>
          <w:shd w:val="clear" w:color="auto" w:fill="FFFFFF"/>
        </w:rPr>
        <w:t xml:space="preserve"> </w:t>
      </w:r>
      <w:r>
        <w:rPr>
          <w:rFonts w:ascii="Arial" w:hAnsi="Arial" w:cs="Arial"/>
          <w:color w:val="202124"/>
          <w:shd w:val="clear" w:color="auto" w:fill="FFFFFF"/>
        </w:rPr>
        <w:t xml:space="preserve">± </w:t>
      </w:r>
      <w:r w:rsidR="003E7F9B">
        <w:rPr>
          <w:rFonts w:ascii="Arial" w:hAnsi="Arial" w:cs="Arial"/>
          <w:color w:val="202124"/>
          <w:shd w:val="clear" w:color="auto" w:fill="FFFFFF"/>
        </w:rPr>
        <w:t xml:space="preserve">1.96 </w:t>
      </w:r>
      <w:r>
        <w:rPr>
          <w:rFonts w:ascii="Arial" w:hAnsi="Arial" w:cs="Arial"/>
          <w:color w:val="202124"/>
          <w:shd w:val="clear" w:color="auto" w:fill="FFFFFF"/>
        </w:rPr>
        <w:t>(</w:t>
      </w:r>
      <w:r w:rsidR="003E7F9B" w:rsidRPr="003E7F9B">
        <w:rPr>
          <w:rFonts w:ascii="Arial" w:hAnsi="Arial" w:cs="Arial"/>
          <w:color w:val="202124"/>
          <w:shd w:val="clear" w:color="auto" w:fill="FFFFFF"/>
        </w:rPr>
        <w:t>13.73</w:t>
      </w:r>
      <w:r>
        <w:rPr>
          <w:rFonts w:ascii="Arial" w:hAnsi="Arial" w:cs="Arial"/>
          <w:color w:val="202124"/>
          <w:shd w:val="clear" w:color="auto" w:fill="FFFFFF"/>
        </w:rPr>
        <w:t>/√</w:t>
      </w:r>
      <w:r w:rsidR="003E7F9B" w:rsidRPr="003E7F9B">
        <w:rPr>
          <w:rFonts w:ascii="Arial" w:hAnsi="Arial" w:cs="Arial"/>
          <w:color w:val="202124"/>
          <w:shd w:val="clear" w:color="auto" w:fill="FFFFFF"/>
        </w:rPr>
        <w:t>1877</w:t>
      </w:r>
      <w:r>
        <w:rPr>
          <w:rFonts w:ascii="Arial" w:hAnsi="Arial" w:cs="Arial"/>
          <w:color w:val="202124"/>
          <w:shd w:val="clear" w:color="auto" w:fill="FFFFFF"/>
        </w:rPr>
        <w:t>)</w:t>
      </w:r>
    </w:p>
    <w:p w14:paraId="77E74CF6" w14:textId="44F8E721" w:rsidR="00623713" w:rsidRDefault="00623713" w:rsidP="00623713">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3E7F9B" w:rsidRPr="003E7F9B">
        <w:rPr>
          <w:rFonts w:ascii="Arial" w:hAnsi="Arial" w:cs="Arial"/>
          <w:color w:val="202124"/>
          <w:shd w:val="clear" w:color="auto" w:fill="FFFFFF"/>
        </w:rPr>
        <w:t xml:space="preserve">7.79 </w:t>
      </w:r>
      <w:r>
        <w:rPr>
          <w:rFonts w:ascii="Arial" w:hAnsi="Arial" w:cs="Arial"/>
          <w:color w:val="202124"/>
          <w:shd w:val="clear" w:color="auto" w:fill="FFFFFF"/>
        </w:rPr>
        <w:t xml:space="preserve">± </w:t>
      </w:r>
      <w:r w:rsidR="003E7F9B">
        <w:rPr>
          <w:rFonts w:ascii="Arial" w:hAnsi="Arial" w:cs="Arial"/>
          <w:color w:val="202124"/>
          <w:shd w:val="clear" w:color="auto" w:fill="FFFFFF"/>
        </w:rPr>
        <w:t>1.96</w:t>
      </w:r>
      <w:r>
        <w:rPr>
          <w:rFonts w:ascii="Arial" w:hAnsi="Arial" w:cs="Arial"/>
          <w:color w:val="202124"/>
          <w:shd w:val="clear" w:color="auto" w:fill="FFFFFF"/>
        </w:rPr>
        <w:t xml:space="preserve"> </w:t>
      </w:r>
      <w:r w:rsidR="003E7F9B">
        <w:rPr>
          <w:rFonts w:ascii="Arial" w:hAnsi="Arial" w:cs="Arial"/>
          <w:color w:val="202124"/>
          <w:shd w:val="clear" w:color="auto" w:fill="FFFFFF"/>
        </w:rPr>
        <w:t>(0.32)</w:t>
      </w:r>
    </w:p>
    <w:p w14:paraId="0DD265AC" w14:textId="6CAF3AA2" w:rsidR="003E7F9B" w:rsidRDefault="003E7F9B" w:rsidP="003E7F9B">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Pr="003E7F9B">
        <w:rPr>
          <w:rFonts w:ascii="Arial" w:hAnsi="Arial" w:cs="Arial"/>
          <w:color w:val="202124"/>
          <w:shd w:val="clear" w:color="auto" w:fill="FFFFFF"/>
        </w:rPr>
        <w:t xml:space="preserve">7.79 </w:t>
      </w:r>
      <w:r>
        <w:rPr>
          <w:rFonts w:ascii="Arial" w:hAnsi="Arial" w:cs="Arial"/>
          <w:color w:val="202124"/>
          <w:shd w:val="clear" w:color="auto" w:fill="FFFFFF"/>
        </w:rPr>
        <w:t>± 0.63</w:t>
      </w:r>
    </w:p>
    <w:p w14:paraId="1BC7BFAC" w14:textId="77777777" w:rsidR="003E7F9B" w:rsidRDefault="003E7F9B" w:rsidP="00623713">
      <w:pPr>
        <w:spacing w:after="0" w:line="240" w:lineRule="auto"/>
        <w:rPr>
          <w:rFonts w:ascii="Arial" w:hAnsi="Arial" w:cs="Arial"/>
          <w:color w:val="202124"/>
          <w:shd w:val="clear" w:color="auto" w:fill="FFFFFF"/>
        </w:rPr>
      </w:pPr>
    </w:p>
    <w:p w14:paraId="562AD104" w14:textId="77777777" w:rsidR="003E7F9B" w:rsidRDefault="003E7F9B" w:rsidP="003C0A38">
      <w:pPr>
        <w:spacing w:after="0" w:line="240" w:lineRule="auto"/>
        <w:rPr>
          <w:rFonts w:ascii="Arial" w:hAnsi="Arial" w:cs="Arial"/>
          <w:b/>
          <w:bCs/>
          <w:i/>
          <w:iCs/>
          <w:color w:val="202124"/>
          <w:shd w:val="clear" w:color="auto" w:fill="FFFFFF"/>
        </w:rPr>
      </w:pPr>
    </w:p>
    <w:p w14:paraId="265E2EAC" w14:textId="75CD0AF8" w:rsidR="00623713" w:rsidRPr="009415E8" w:rsidRDefault="00623713" w:rsidP="003C0A38">
      <w:pPr>
        <w:spacing w:after="0" w:line="240" w:lineRule="auto"/>
        <w:rPr>
          <w:rFonts w:ascii="Arial" w:hAnsi="Arial" w:cs="Arial"/>
          <w:b/>
          <w:bCs/>
          <w:i/>
          <w:iCs/>
          <w:color w:val="202124"/>
          <w:shd w:val="clear" w:color="auto" w:fill="FFFFFF"/>
        </w:rPr>
      </w:pPr>
      <w:r w:rsidRPr="009415E8">
        <w:rPr>
          <w:rFonts w:ascii="Arial" w:hAnsi="Arial" w:cs="Arial"/>
          <w:b/>
          <w:bCs/>
          <w:i/>
          <w:iCs/>
          <w:color w:val="202124"/>
          <w:shd w:val="clear" w:color="auto" w:fill="FFFFFF"/>
        </w:rPr>
        <w:t>Period: 2016 - 2021</w:t>
      </w:r>
    </w:p>
    <w:p w14:paraId="3ADCF522" w14:textId="3B3D2691" w:rsidR="003C0A38" w:rsidRDefault="003C0A38" w:rsidP="003C0A38">
      <w:pPr>
        <w:spacing w:after="0" w:line="240" w:lineRule="auto"/>
        <w:rPr>
          <w:rFonts w:ascii="Arial" w:hAnsi="Arial" w:cs="Arial"/>
          <w:color w:val="202124"/>
          <w:shd w:val="clear" w:color="auto" w:fill="FFFFFF"/>
        </w:rPr>
      </w:pPr>
    </w:p>
    <w:p w14:paraId="3A24438F" w14:textId="0D154441" w:rsidR="00623713" w:rsidRDefault="00623713" w:rsidP="00623713">
      <w:pPr>
        <w:spacing w:after="0" w:line="240" w:lineRule="auto"/>
        <w:rPr>
          <w:rFonts w:ascii="Arial" w:hAnsi="Arial" w:cs="Arial"/>
          <w:color w:val="202124"/>
          <w:shd w:val="clear" w:color="auto" w:fill="FFFFFF"/>
        </w:rPr>
      </w:pPr>
      <w:r w:rsidRPr="00623713">
        <w:rPr>
          <w:rFonts w:ascii="Arial" w:hAnsi="Arial" w:cs="Arial"/>
          <w:color w:val="202124"/>
          <w:shd w:val="clear" w:color="auto" w:fill="FFFFFF"/>
        </w:rPr>
        <w:t>a.</w:t>
      </w:r>
      <w:r>
        <w:rPr>
          <w:rFonts w:ascii="Arial" w:hAnsi="Arial" w:cs="Arial"/>
          <w:color w:val="202124"/>
          <w:shd w:val="clear" w:color="auto" w:fill="FFFFFF"/>
        </w:rPr>
        <w:t xml:space="preserve"> CHW drug stock</w:t>
      </w:r>
      <w:r w:rsidR="002D11CE">
        <w:rPr>
          <w:rFonts w:ascii="Arial" w:hAnsi="Arial" w:cs="Arial"/>
          <w:color w:val="202124"/>
          <w:shd w:val="clear" w:color="auto" w:fill="FFFFFF"/>
        </w:rPr>
        <w:t>-</w:t>
      </w:r>
      <w:r>
        <w:rPr>
          <w:rFonts w:ascii="Arial" w:hAnsi="Arial" w:cs="Arial"/>
          <w:color w:val="202124"/>
          <w:shd w:val="clear" w:color="auto" w:fill="FFFFFF"/>
        </w:rPr>
        <w:t>out</w:t>
      </w:r>
    </w:p>
    <w:p w14:paraId="734F9D20" w14:textId="77777777" w:rsidR="00623713" w:rsidRDefault="00623713" w:rsidP="00623713">
      <w:pPr>
        <w:spacing w:after="0" w:line="240" w:lineRule="auto"/>
        <w:rPr>
          <w:rFonts w:ascii="Arial" w:hAnsi="Arial" w:cs="Arial"/>
          <w:color w:val="202124"/>
          <w:shd w:val="clear" w:color="auto" w:fill="FFFFFF"/>
        </w:rPr>
      </w:pPr>
    </w:p>
    <w:p w14:paraId="7911CEF8" w14:textId="5B0FFEA6" w:rsidR="00623713" w:rsidRDefault="00623713" w:rsidP="00623713">
      <w:pPr>
        <w:spacing w:after="0" w:line="240" w:lineRule="auto"/>
        <w:rPr>
          <w:rFonts w:ascii="Arial" w:hAnsi="Arial" w:cs="Arial"/>
          <w:color w:val="202124"/>
          <w:shd w:val="clear" w:color="auto" w:fill="FFFFFF"/>
        </w:rPr>
      </w:pPr>
      <w:bookmarkStart w:id="12" w:name="_Hlk71369293"/>
      <w:r w:rsidRPr="003C0A38">
        <w:rPr>
          <w:rFonts w:ascii="Arial" w:hAnsi="Arial" w:cs="Arial"/>
          <w:color w:val="202124"/>
          <w:shd w:val="clear" w:color="auto" w:fill="FFFFFF"/>
        </w:rPr>
        <w:t xml:space="preserve">X̄ = </w:t>
      </w:r>
      <w:bookmarkStart w:id="13" w:name="_Hlk72732352"/>
      <w:r w:rsidR="00616182" w:rsidRPr="00616182">
        <w:rPr>
          <w:rFonts w:ascii="Arial" w:hAnsi="Arial" w:cs="Arial"/>
          <w:color w:val="202124"/>
          <w:shd w:val="clear" w:color="auto" w:fill="FFFFFF"/>
        </w:rPr>
        <w:t>48.65</w:t>
      </w:r>
      <w:bookmarkEnd w:id="13"/>
      <w:r>
        <w:rPr>
          <w:rFonts w:ascii="Arial" w:hAnsi="Arial" w:cs="Arial"/>
          <w:color w:val="202124"/>
          <w:shd w:val="clear" w:color="auto" w:fill="FFFFFF"/>
        </w:rPr>
        <w:t xml:space="preserve">, </w:t>
      </w:r>
      <w:r w:rsidRPr="003C0A38">
        <w:rPr>
          <w:rFonts w:ascii="Arial" w:hAnsi="Arial" w:cs="Arial"/>
          <w:color w:val="202124"/>
          <w:shd w:val="clear" w:color="auto" w:fill="FFFFFF"/>
        </w:rPr>
        <w:t xml:space="preserve">n = </w:t>
      </w:r>
      <w:r w:rsidR="00616182" w:rsidRPr="00616182">
        <w:rPr>
          <w:rFonts w:ascii="Arial" w:hAnsi="Arial" w:cs="Arial"/>
          <w:color w:val="202124"/>
          <w:shd w:val="clear" w:color="auto" w:fill="FFFFFF"/>
        </w:rPr>
        <w:t>7199</w:t>
      </w:r>
      <w:r w:rsidRPr="003C0A38">
        <w:rPr>
          <w:rFonts w:ascii="Arial" w:hAnsi="Arial" w:cs="Arial"/>
          <w:color w:val="202124"/>
          <w:shd w:val="clear" w:color="auto" w:fill="FFFFFF"/>
        </w:rPr>
        <w:t xml:space="preserve">, s = </w:t>
      </w:r>
      <w:r w:rsidR="00616182" w:rsidRPr="00616182">
        <w:rPr>
          <w:rFonts w:ascii="Arial" w:hAnsi="Arial" w:cs="Arial"/>
          <w:color w:val="202124"/>
          <w:shd w:val="clear" w:color="auto" w:fill="FFFFFF"/>
        </w:rPr>
        <w:t>26.97</w:t>
      </w:r>
      <w:r w:rsidRPr="003C0A38">
        <w:rPr>
          <w:rFonts w:ascii="Arial" w:hAnsi="Arial" w:cs="Arial"/>
          <w:color w:val="202124"/>
          <w:shd w:val="clear" w:color="auto" w:fill="FFFFFF"/>
        </w:rPr>
        <w:t xml:space="preserve">, </w:t>
      </w:r>
      <w:r w:rsidR="00616182">
        <w:rPr>
          <w:rFonts w:ascii="Arial" w:hAnsi="Arial" w:cs="Arial"/>
          <w:color w:val="202124"/>
          <w:shd w:val="clear" w:color="auto" w:fill="FFFFFF"/>
        </w:rPr>
        <w:t>Z*</w:t>
      </w:r>
      <w:r w:rsidRPr="003C0A38">
        <w:rPr>
          <w:rFonts w:ascii="Arial" w:hAnsi="Arial" w:cs="Arial"/>
          <w:color w:val="202124"/>
          <w:shd w:val="clear" w:color="auto" w:fill="FFFFFF"/>
        </w:rPr>
        <w:t xml:space="preserve"> = </w:t>
      </w:r>
      <w:r w:rsidR="00616182">
        <w:rPr>
          <w:rFonts w:ascii="Arial" w:hAnsi="Arial" w:cs="Arial"/>
          <w:color w:val="202124"/>
          <w:shd w:val="clear" w:color="auto" w:fill="FFFFFF"/>
        </w:rPr>
        <w:t>1.96</w:t>
      </w:r>
    </w:p>
    <w:bookmarkEnd w:id="12"/>
    <w:p w14:paraId="3B3DF3C9" w14:textId="3BD9D9A1" w:rsidR="00623713" w:rsidRDefault="00623713" w:rsidP="00623713">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616182" w:rsidRPr="00616182">
        <w:rPr>
          <w:rFonts w:ascii="Arial" w:hAnsi="Arial" w:cs="Arial"/>
          <w:color w:val="202124"/>
          <w:shd w:val="clear" w:color="auto" w:fill="FFFFFF"/>
        </w:rPr>
        <w:t>48.65</w:t>
      </w:r>
      <w:r w:rsidR="00616182">
        <w:rPr>
          <w:rFonts w:ascii="Arial" w:hAnsi="Arial" w:cs="Arial"/>
          <w:color w:val="202124"/>
          <w:shd w:val="clear" w:color="auto" w:fill="FFFFFF"/>
        </w:rPr>
        <w:t xml:space="preserve"> </w:t>
      </w:r>
      <w:r>
        <w:rPr>
          <w:rFonts w:ascii="Arial" w:hAnsi="Arial" w:cs="Arial"/>
          <w:color w:val="202124"/>
          <w:shd w:val="clear" w:color="auto" w:fill="FFFFFF"/>
        </w:rPr>
        <w:t xml:space="preserve">± </w:t>
      </w:r>
      <w:r w:rsidR="00616182">
        <w:rPr>
          <w:rFonts w:ascii="Arial" w:hAnsi="Arial" w:cs="Arial"/>
          <w:color w:val="202124"/>
          <w:shd w:val="clear" w:color="auto" w:fill="FFFFFF"/>
        </w:rPr>
        <w:t>1.96</w:t>
      </w:r>
      <w:r w:rsidR="00747D73">
        <w:rPr>
          <w:rFonts w:ascii="Arial" w:hAnsi="Arial" w:cs="Arial"/>
          <w:color w:val="202124"/>
          <w:shd w:val="clear" w:color="auto" w:fill="FFFFFF"/>
        </w:rPr>
        <w:t xml:space="preserve"> </w:t>
      </w:r>
      <w:r>
        <w:rPr>
          <w:rFonts w:ascii="Arial" w:hAnsi="Arial" w:cs="Arial"/>
          <w:color w:val="202124"/>
          <w:shd w:val="clear" w:color="auto" w:fill="FFFFFF"/>
        </w:rPr>
        <w:t>(</w:t>
      </w:r>
      <w:r w:rsidR="00616182" w:rsidRPr="00616182">
        <w:rPr>
          <w:rFonts w:ascii="Arial" w:hAnsi="Arial" w:cs="Arial"/>
          <w:color w:val="202124"/>
          <w:shd w:val="clear" w:color="auto" w:fill="FFFFFF"/>
        </w:rPr>
        <w:t>26.97</w:t>
      </w:r>
      <w:r>
        <w:rPr>
          <w:rFonts w:ascii="Arial" w:hAnsi="Arial" w:cs="Arial"/>
          <w:color w:val="202124"/>
          <w:shd w:val="clear" w:color="auto" w:fill="FFFFFF"/>
        </w:rPr>
        <w:t>/</w:t>
      </w:r>
      <w:r w:rsidRPr="003C0A38">
        <w:rPr>
          <w:rFonts w:ascii="Arial" w:hAnsi="Arial" w:cs="Arial"/>
          <w:color w:val="202124"/>
          <w:shd w:val="clear" w:color="auto" w:fill="FFFFFF"/>
        </w:rPr>
        <w:t>√</w:t>
      </w:r>
      <w:r w:rsidR="00616182" w:rsidRPr="00616182">
        <w:rPr>
          <w:rFonts w:ascii="Arial" w:hAnsi="Arial" w:cs="Arial"/>
          <w:color w:val="202124"/>
          <w:shd w:val="clear" w:color="auto" w:fill="FFFFFF"/>
        </w:rPr>
        <w:t>7199</w:t>
      </w:r>
      <w:r>
        <w:rPr>
          <w:rFonts w:ascii="Arial" w:hAnsi="Arial" w:cs="Arial"/>
          <w:color w:val="202124"/>
          <w:shd w:val="clear" w:color="auto" w:fill="FFFFFF"/>
        </w:rPr>
        <w:t xml:space="preserve">) </w:t>
      </w:r>
    </w:p>
    <w:p w14:paraId="45924F1F" w14:textId="42BBAE1C" w:rsidR="008C34B4" w:rsidRDefault="008C34B4" w:rsidP="008C34B4">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616182" w:rsidRPr="00616182">
        <w:rPr>
          <w:rFonts w:ascii="Arial" w:hAnsi="Arial" w:cs="Arial"/>
          <w:color w:val="202124"/>
          <w:shd w:val="clear" w:color="auto" w:fill="FFFFFF"/>
        </w:rPr>
        <w:t>48.65</w:t>
      </w:r>
      <w:r w:rsidR="00616182">
        <w:rPr>
          <w:rFonts w:ascii="Arial" w:hAnsi="Arial" w:cs="Arial"/>
          <w:color w:val="202124"/>
          <w:shd w:val="clear" w:color="auto" w:fill="FFFFFF"/>
        </w:rPr>
        <w:t xml:space="preserve"> </w:t>
      </w:r>
      <w:r>
        <w:rPr>
          <w:rFonts w:ascii="Arial" w:hAnsi="Arial" w:cs="Arial"/>
          <w:color w:val="202124"/>
          <w:shd w:val="clear" w:color="auto" w:fill="FFFFFF"/>
        </w:rPr>
        <w:t xml:space="preserve">± </w:t>
      </w:r>
      <w:r w:rsidR="00616182">
        <w:rPr>
          <w:rFonts w:ascii="Arial" w:hAnsi="Arial" w:cs="Arial"/>
          <w:color w:val="202124"/>
          <w:shd w:val="clear" w:color="auto" w:fill="FFFFFF"/>
        </w:rPr>
        <w:t>1.96</w:t>
      </w:r>
      <w:r w:rsidR="00747D73">
        <w:rPr>
          <w:rFonts w:ascii="Arial" w:hAnsi="Arial" w:cs="Arial"/>
          <w:color w:val="202124"/>
          <w:shd w:val="clear" w:color="auto" w:fill="FFFFFF"/>
        </w:rPr>
        <w:t xml:space="preserve"> </w:t>
      </w:r>
      <w:r>
        <w:rPr>
          <w:rFonts w:ascii="Arial" w:hAnsi="Arial" w:cs="Arial"/>
          <w:color w:val="202124"/>
          <w:shd w:val="clear" w:color="auto" w:fill="FFFFFF"/>
        </w:rPr>
        <w:t>(</w:t>
      </w:r>
      <w:r w:rsidR="00616182">
        <w:rPr>
          <w:rFonts w:ascii="Arial" w:hAnsi="Arial" w:cs="Arial"/>
          <w:color w:val="202124"/>
          <w:shd w:val="clear" w:color="auto" w:fill="FFFFFF"/>
        </w:rPr>
        <w:t>0.32</w:t>
      </w:r>
      <w:r>
        <w:rPr>
          <w:rFonts w:ascii="Arial" w:hAnsi="Arial" w:cs="Arial"/>
          <w:color w:val="202124"/>
          <w:shd w:val="clear" w:color="auto" w:fill="FFFFFF"/>
        </w:rPr>
        <w:t>)</w:t>
      </w:r>
    </w:p>
    <w:p w14:paraId="750AF2F2" w14:textId="2B22FED9" w:rsidR="008C34B4" w:rsidRDefault="008C34B4" w:rsidP="008C34B4">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747D73" w:rsidRPr="00747D73">
        <w:rPr>
          <w:rFonts w:ascii="Arial" w:hAnsi="Arial" w:cs="Arial"/>
          <w:color w:val="202124"/>
          <w:shd w:val="clear" w:color="auto" w:fill="FFFFFF"/>
        </w:rPr>
        <w:t>4</w:t>
      </w:r>
      <w:r w:rsidR="00616182">
        <w:rPr>
          <w:rFonts w:ascii="Arial" w:hAnsi="Arial" w:cs="Arial"/>
          <w:color w:val="202124"/>
          <w:shd w:val="clear" w:color="auto" w:fill="FFFFFF"/>
        </w:rPr>
        <w:t>8</w:t>
      </w:r>
      <w:r w:rsidR="00747D73" w:rsidRPr="00747D73">
        <w:rPr>
          <w:rFonts w:ascii="Arial" w:hAnsi="Arial" w:cs="Arial"/>
          <w:color w:val="202124"/>
          <w:shd w:val="clear" w:color="auto" w:fill="FFFFFF"/>
        </w:rPr>
        <w:t>.</w:t>
      </w:r>
      <w:r w:rsidR="00616182">
        <w:rPr>
          <w:rFonts w:ascii="Arial" w:hAnsi="Arial" w:cs="Arial"/>
          <w:color w:val="202124"/>
          <w:shd w:val="clear" w:color="auto" w:fill="FFFFFF"/>
        </w:rPr>
        <w:t>65</w:t>
      </w:r>
      <w:r w:rsidR="00906C07">
        <w:rPr>
          <w:rFonts w:ascii="Arial" w:hAnsi="Arial" w:cs="Arial"/>
          <w:color w:val="202124"/>
          <w:shd w:val="clear" w:color="auto" w:fill="FFFFFF"/>
        </w:rPr>
        <w:t xml:space="preserve"> </w:t>
      </w:r>
      <w:r>
        <w:rPr>
          <w:rFonts w:ascii="Arial" w:hAnsi="Arial" w:cs="Arial"/>
          <w:color w:val="202124"/>
          <w:shd w:val="clear" w:color="auto" w:fill="FFFFFF"/>
        </w:rPr>
        <w:t xml:space="preserve">± </w:t>
      </w:r>
      <w:r w:rsidR="00616182">
        <w:rPr>
          <w:rFonts w:ascii="Arial" w:hAnsi="Arial" w:cs="Arial"/>
          <w:color w:val="202124"/>
          <w:shd w:val="clear" w:color="auto" w:fill="FFFFFF"/>
        </w:rPr>
        <w:t>0.63</w:t>
      </w:r>
    </w:p>
    <w:p w14:paraId="69DB637A" w14:textId="20842839" w:rsidR="008C34B4" w:rsidRDefault="008C34B4" w:rsidP="008C34B4">
      <w:pPr>
        <w:spacing w:after="0" w:line="240" w:lineRule="auto"/>
        <w:rPr>
          <w:rFonts w:ascii="Arial" w:hAnsi="Arial" w:cs="Arial"/>
          <w:color w:val="202124"/>
          <w:shd w:val="clear" w:color="auto" w:fill="FFFFFF"/>
        </w:rPr>
      </w:pPr>
    </w:p>
    <w:p w14:paraId="0907D193" w14:textId="3E090C05" w:rsidR="008C34B4" w:rsidRDefault="008C34B4" w:rsidP="008C34B4">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b. Health </w:t>
      </w:r>
      <w:r w:rsidR="003B6CF7">
        <w:rPr>
          <w:rFonts w:ascii="Arial" w:hAnsi="Arial" w:cs="Arial"/>
          <w:color w:val="202124"/>
          <w:shd w:val="clear" w:color="auto" w:fill="FFFFFF"/>
        </w:rPr>
        <w:t>center</w:t>
      </w:r>
      <w:r>
        <w:rPr>
          <w:rFonts w:ascii="Arial" w:hAnsi="Arial" w:cs="Arial"/>
          <w:color w:val="202124"/>
          <w:shd w:val="clear" w:color="auto" w:fill="FFFFFF"/>
        </w:rPr>
        <w:t xml:space="preserve"> drug stock</w:t>
      </w:r>
      <w:r w:rsidR="002D11CE">
        <w:rPr>
          <w:rFonts w:ascii="Arial" w:hAnsi="Arial" w:cs="Arial"/>
          <w:color w:val="202124"/>
          <w:shd w:val="clear" w:color="auto" w:fill="FFFFFF"/>
        </w:rPr>
        <w:t>-</w:t>
      </w:r>
      <w:r>
        <w:rPr>
          <w:rFonts w:ascii="Arial" w:hAnsi="Arial" w:cs="Arial"/>
          <w:color w:val="202124"/>
          <w:shd w:val="clear" w:color="auto" w:fill="FFFFFF"/>
        </w:rPr>
        <w:t>out</w:t>
      </w:r>
    </w:p>
    <w:p w14:paraId="39A58141" w14:textId="4D936E5F" w:rsidR="008C34B4" w:rsidRDefault="008C34B4" w:rsidP="008C34B4">
      <w:pPr>
        <w:spacing w:after="0" w:line="240" w:lineRule="auto"/>
        <w:rPr>
          <w:rFonts w:ascii="Arial" w:hAnsi="Arial" w:cs="Arial"/>
          <w:color w:val="202124"/>
          <w:shd w:val="clear" w:color="auto" w:fill="FFFFFF"/>
        </w:rPr>
      </w:pPr>
    </w:p>
    <w:p w14:paraId="55547248" w14:textId="223FA53E" w:rsidR="008C34B4" w:rsidRDefault="008C34B4" w:rsidP="008C34B4">
      <w:pPr>
        <w:spacing w:after="0" w:line="240" w:lineRule="auto"/>
        <w:rPr>
          <w:rFonts w:ascii="Arial" w:hAnsi="Arial" w:cs="Arial"/>
          <w:color w:val="202124"/>
          <w:shd w:val="clear" w:color="auto" w:fill="FFFFFF"/>
        </w:rPr>
      </w:pPr>
      <w:r w:rsidRPr="008C34B4">
        <w:rPr>
          <w:rFonts w:ascii="Arial" w:hAnsi="Arial" w:cs="Arial"/>
          <w:color w:val="202124"/>
          <w:shd w:val="clear" w:color="auto" w:fill="FFFFFF"/>
        </w:rPr>
        <w:t xml:space="preserve">X̄ = </w:t>
      </w:r>
      <w:bookmarkStart w:id="14" w:name="_Hlk72732823"/>
      <w:r w:rsidR="00906C07" w:rsidRPr="00906C07">
        <w:rPr>
          <w:rFonts w:ascii="Arial" w:hAnsi="Arial" w:cs="Arial"/>
          <w:color w:val="202124"/>
          <w:shd w:val="clear" w:color="auto" w:fill="FFFFFF"/>
        </w:rPr>
        <w:t>14.28</w:t>
      </w:r>
      <w:bookmarkEnd w:id="14"/>
      <w:r>
        <w:rPr>
          <w:rFonts w:ascii="Arial" w:hAnsi="Arial" w:cs="Arial"/>
          <w:color w:val="202124"/>
          <w:shd w:val="clear" w:color="auto" w:fill="FFFFFF"/>
        </w:rPr>
        <w:t xml:space="preserve">, </w:t>
      </w:r>
      <w:r w:rsidRPr="008C34B4">
        <w:rPr>
          <w:rFonts w:ascii="Arial" w:hAnsi="Arial" w:cs="Arial"/>
          <w:color w:val="202124"/>
          <w:shd w:val="clear" w:color="auto" w:fill="FFFFFF"/>
        </w:rPr>
        <w:t xml:space="preserve">n = </w:t>
      </w:r>
      <w:r w:rsidR="00906C07" w:rsidRPr="00906C07">
        <w:rPr>
          <w:rFonts w:ascii="Arial" w:hAnsi="Arial" w:cs="Arial"/>
          <w:color w:val="202124"/>
          <w:shd w:val="clear" w:color="auto" w:fill="FFFFFF"/>
        </w:rPr>
        <w:t>506</w:t>
      </w:r>
      <w:r w:rsidRPr="008C34B4">
        <w:rPr>
          <w:rFonts w:ascii="Arial" w:hAnsi="Arial" w:cs="Arial"/>
          <w:color w:val="202124"/>
          <w:shd w:val="clear" w:color="auto" w:fill="FFFFFF"/>
        </w:rPr>
        <w:t xml:space="preserve">, s = </w:t>
      </w:r>
      <w:r w:rsidR="00906C07" w:rsidRPr="00906C07">
        <w:rPr>
          <w:rFonts w:ascii="Arial" w:hAnsi="Arial" w:cs="Arial"/>
          <w:color w:val="202124"/>
          <w:shd w:val="clear" w:color="auto" w:fill="FFFFFF"/>
        </w:rPr>
        <w:t>35.08</w:t>
      </w:r>
      <w:r w:rsidRPr="008C34B4">
        <w:rPr>
          <w:rFonts w:ascii="Arial" w:hAnsi="Arial" w:cs="Arial"/>
          <w:color w:val="202124"/>
          <w:shd w:val="clear" w:color="auto" w:fill="FFFFFF"/>
        </w:rPr>
        <w:t xml:space="preserve">, </w:t>
      </w:r>
      <w:r w:rsidR="00906C07">
        <w:rPr>
          <w:rFonts w:ascii="Arial" w:hAnsi="Arial" w:cs="Arial"/>
          <w:color w:val="202124"/>
          <w:shd w:val="clear" w:color="auto" w:fill="FFFFFF"/>
        </w:rPr>
        <w:t>Z*</w:t>
      </w:r>
      <w:r w:rsidRPr="008C34B4">
        <w:rPr>
          <w:rFonts w:ascii="Arial" w:hAnsi="Arial" w:cs="Arial"/>
          <w:color w:val="202124"/>
          <w:shd w:val="clear" w:color="auto" w:fill="FFFFFF"/>
        </w:rPr>
        <w:t xml:space="preserve"> = </w:t>
      </w:r>
      <w:r w:rsidR="00906C07">
        <w:rPr>
          <w:rFonts w:ascii="Arial" w:hAnsi="Arial" w:cs="Arial"/>
          <w:color w:val="202124"/>
          <w:shd w:val="clear" w:color="auto" w:fill="FFFFFF"/>
        </w:rPr>
        <w:t>1.96</w:t>
      </w:r>
    </w:p>
    <w:p w14:paraId="7A1DF099" w14:textId="0BBC74FD" w:rsidR="008C34B4" w:rsidRDefault="008C34B4" w:rsidP="008C34B4">
      <w:pPr>
        <w:spacing w:after="0" w:line="240" w:lineRule="auto"/>
        <w:rPr>
          <w:rFonts w:ascii="Arial" w:hAnsi="Arial" w:cs="Arial"/>
          <w:color w:val="202124"/>
          <w:shd w:val="clear" w:color="auto" w:fill="FFFFFF"/>
        </w:rPr>
      </w:pPr>
      <w:r>
        <w:rPr>
          <w:rFonts w:ascii="Arial" w:hAnsi="Arial" w:cs="Arial"/>
          <w:color w:val="202124"/>
          <w:shd w:val="clear" w:color="auto" w:fill="FFFFFF"/>
        </w:rPr>
        <w:lastRenderedPageBreak/>
        <w:t xml:space="preserve">Confidence interval = </w:t>
      </w:r>
      <w:bookmarkStart w:id="15" w:name="_Hlk72732934"/>
      <w:r w:rsidR="00906C07" w:rsidRPr="00906C07">
        <w:rPr>
          <w:rFonts w:ascii="Arial" w:hAnsi="Arial" w:cs="Arial"/>
          <w:color w:val="202124"/>
          <w:shd w:val="clear" w:color="auto" w:fill="FFFFFF"/>
        </w:rPr>
        <w:t>14.28</w:t>
      </w:r>
      <w:r w:rsidR="00906C07">
        <w:rPr>
          <w:rFonts w:ascii="Arial" w:hAnsi="Arial" w:cs="Arial"/>
          <w:color w:val="202124"/>
          <w:shd w:val="clear" w:color="auto" w:fill="FFFFFF"/>
        </w:rPr>
        <w:t xml:space="preserve"> </w:t>
      </w:r>
      <w:r>
        <w:rPr>
          <w:rFonts w:ascii="Arial" w:hAnsi="Arial" w:cs="Arial"/>
          <w:color w:val="202124"/>
          <w:shd w:val="clear" w:color="auto" w:fill="FFFFFF"/>
        </w:rPr>
        <w:t xml:space="preserve">± </w:t>
      </w:r>
      <w:r w:rsidR="00906C07">
        <w:rPr>
          <w:rFonts w:ascii="Arial" w:hAnsi="Arial" w:cs="Arial"/>
          <w:color w:val="202124"/>
          <w:shd w:val="clear" w:color="auto" w:fill="FFFFFF"/>
        </w:rPr>
        <w:t xml:space="preserve">1.96 </w:t>
      </w:r>
      <w:r>
        <w:rPr>
          <w:rFonts w:ascii="Arial" w:hAnsi="Arial" w:cs="Arial"/>
          <w:color w:val="202124"/>
          <w:shd w:val="clear" w:color="auto" w:fill="FFFFFF"/>
        </w:rPr>
        <w:t>(</w:t>
      </w:r>
      <w:r w:rsidR="00906C07" w:rsidRPr="00906C07">
        <w:rPr>
          <w:rFonts w:ascii="Arial" w:hAnsi="Arial" w:cs="Arial"/>
          <w:color w:val="202124"/>
          <w:shd w:val="clear" w:color="auto" w:fill="FFFFFF"/>
        </w:rPr>
        <w:t>35.08</w:t>
      </w:r>
      <w:r>
        <w:rPr>
          <w:rFonts w:ascii="Arial" w:hAnsi="Arial" w:cs="Arial"/>
          <w:color w:val="202124"/>
          <w:shd w:val="clear" w:color="auto" w:fill="FFFFFF"/>
        </w:rPr>
        <w:t>/</w:t>
      </w:r>
      <w:r w:rsidRPr="003C0A38">
        <w:rPr>
          <w:rFonts w:ascii="Arial" w:hAnsi="Arial" w:cs="Arial"/>
          <w:color w:val="202124"/>
          <w:shd w:val="clear" w:color="auto" w:fill="FFFFFF"/>
        </w:rPr>
        <w:t>√</w:t>
      </w:r>
      <w:r w:rsidR="00906C07" w:rsidRPr="00906C07">
        <w:rPr>
          <w:rFonts w:ascii="Arial" w:hAnsi="Arial" w:cs="Arial"/>
          <w:color w:val="202124"/>
          <w:shd w:val="clear" w:color="auto" w:fill="FFFFFF"/>
        </w:rPr>
        <w:t>506</w:t>
      </w:r>
      <w:r>
        <w:rPr>
          <w:rFonts w:ascii="Arial" w:hAnsi="Arial" w:cs="Arial"/>
          <w:color w:val="202124"/>
          <w:shd w:val="clear" w:color="auto" w:fill="FFFFFF"/>
        </w:rPr>
        <w:t xml:space="preserve">) </w:t>
      </w:r>
      <w:bookmarkEnd w:id="15"/>
    </w:p>
    <w:p w14:paraId="1D02E427" w14:textId="66D8B9B5" w:rsidR="00906C07" w:rsidRDefault="008C34B4" w:rsidP="008C34B4">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906C07" w:rsidRPr="00906C07">
        <w:rPr>
          <w:rFonts w:ascii="Arial" w:hAnsi="Arial" w:cs="Arial"/>
          <w:color w:val="202124"/>
          <w:shd w:val="clear" w:color="auto" w:fill="FFFFFF"/>
        </w:rPr>
        <w:t>14.28 ± 1.96 (</w:t>
      </w:r>
      <w:r w:rsidR="00906C07">
        <w:rPr>
          <w:rFonts w:ascii="Arial" w:hAnsi="Arial" w:cs="Arial"/>
          <w:color w:val="202124"/>
          <w:shd w:val="clear" w:color="auto" w:fill="FFFFFF"/>
        </w:rPr>
        <w:t>1.56</w:t>
      </w:r>
      <w:r w:rsidR="00906C07" w:rsidRPr="00906C07">
        <w:rPr>
          <w:rFonts w:ascii="Arial" w:hAnsi="Arial" w:cs="Arial"/>
          <w:color w:val="202124"/>
          <w:shd w:val="clear" w:color="auto" w:fill="FFFFFF"/>
        </w:rPr>
        <w:t xml:space="preserve">) </w:t>
      </w:r>
    </w:p>
    <w:p w14:paraId="45F60D93" w14:textId="6826E13D" w:rsidR="008C34B4" w:rsidRDefault="008C34B4" w:rsidP="008C34B4">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906C07" w:rsidRPr="00906C07">
        <w:rPr>
          <w:rFonts w:ascii="Arial" w:hAnsi="Arial" w:cs="Arial"/>
          <w:color w:val="202124"/>
          <w:shd w:val="clear" w:color="auto" w:fill="FFFFFF"/>
        </w:rPr>
        <w:t xml:space="preserve">14.28 ± </w:t>
      </w:r>
      <w:r w:rsidR="00906C07">
        <w:rPr>
          <w:rFonts w:ascii="Arial" w:hAnsi="Arial" w:cs="Arial"/>
          <w:color w:val="202124"/>
          <w:shd w:val="clear" w:color="auto" w:fill="FFFFFF"/>
        </w:rPr>
        <w:t>3.06</w:t>
      </w:r>
    </w:p>
    <w:p w14:paraId="5D40154B" w14:textId="369BD4DA" w:rsidR="008C34B4" w:rsidRDefault="008C34B4" w:rsidP="008C34B4">
      <w:pPr>
        <w:spacing w:after="0" w:line="240" w:lineRule="auto"/>
        <w:rPr>
          <w:rFonts w:ascii="Arial" w:hAnsi="Arial" w:cs="Arial"/>
          <w:color w:val="202124"/>
          <w:shd w:val="clear" w:color="auto" w:fill="FFFFFF"/>
        </w:rPr>
      </w:pPr>
    </w:p>
    <w:p w14:paraId="1341740F" w14:textId="510E1427" w:rsidR="00906C07" w:rsidRDefault="00906C07" w:rsidP="008C34B4">
      <w:pPr>
        <w:spacing w:after="0" w:line="240" w:lineRule="auto"/>
        <w:rPr>
          <w:rFonts w:ascii="Arial" w:hAnsi="Arial" w:cs="Arial"/>
          <w:color w:val="202124"/>
          <w:shd w:val="clear" w:color="auto" w:fill="FFFFFF"/>
        </w:rPr>
      </w:pPr>
    </w:p>
    <w:p w14:paraId="2427F88E" w14:textId="2C773801" w:rsidR="00906C07" w:rsidRDefault="00906C07" w:rsidP="008C34B4">
      <w:pPr>
        <w:spacing w:after="0" w:line="240" w:lineRule="auto"/>
        <w:rPr>
          <w:rFonts w:ascii="Arial" w:hAnsi="Arial" w:cs="Arial"/>
          <w:color w:val="202124"/>
          <w:shd w:val="clear" w:color="auto" w:fill="FFFFFF"/>
        </w:rPr>
      </w:pPr>
    </w:p>
    <w:p w14:paraId="74AC3EB9" w14:textId="77777777" w:rsidR="00906C07" w:rsidRDefault="00906C07" w:rsidP="008C34B4">
      <w:pPr>
        <w:spacing w:after="0" w:line="240" w:lineRule="auto"/>
        <w:rPr>
          <w:rFonts w:ascii="Arial" w:hAnsi="Arial" w:cs="Arial"/>
          <w:color w:val="202124"/>
          <w:shd w:val="clear" w:color="auto" w:fill="FFFFFF"/>
        </w:rPr>
      </w:pPr>
    </w:p>
    <w:p w14:paraId="7EB4D35F" w14:textId="5B7A61C5" w:rsidR="008C34B4" w:rsidRDefault="008C34B4" w:rsidP="008C34B4">
      <w:pPr>
        <w:spacing w:after="0" w:line="240" w:lineRule="auto"/>
        <w:rPr>
          <w:rFonts w:ascii="Arial" w:hAnsi="Arial" w:cs="Arial"/>
          <w:color w:val="202124"/>
          <w:shd w:val="clear" w:color="auto" w:fill="FFFFFF"/>
        </w:rPr>
      </w:pPr>
    </w:p>
    <w:p w14:paraId="1E680936" w14:textId="4792A46E" w:rsidR="00351414" w:rsidRPr="00351414" w:rsidRDefault="00AA2DD6" w:rsidP="00351414">
      <w:pPr>
        <w:spacing w:after="0" w:line="240" w:lineRule="auto"/>
        <w:rPr>
          <w:rFonts w:ascii="Arial" w:hAnsi="Arial" w:cs="Arial"/>
          <w:b/>
          <w:bCs/>
          <w:color w:val="202124"/>
          <w:shd w:val="clear" w:color="auto" w:fill="FFFFFF"/>
        </w:rPr>
      </w:pPr>
      <w:r>
        <w:rPr>
          <w:rFonts w:ascii="Arial" w:hAnsi="Arial" w:cs="Arial"/>
          <w:b/>
          <w:bCs/>
          <w:color w:val="202124"/>
          <w:shd w:val="clear" w:color="auto" w:fill="FFFFFF"/>
        </w:rPr>
        <w:t>B</w:t>
      </w:r>
      <w:r w:rsidR="00351414">
        <w:rPr>
          <w:rFonts w:ascii="Arial" w:hAnsi="Arial" w:cs="Arial"/>
          <w:b/>
          <w:bCs/>
          <w:color w:val="202124"/>
          <w:shd w:val="clear" w:color="auto" w:fill="FFFFFF"/>
        </w:rPr>
        <w:t xml:space="preserve">. </w:t>
      </w:r>
      <w:r w:rsidR="00351414" w:rsidRPr="00351414">
        <w:rPr>
          <w:rFonts w:ascii="Arial" w:hAnsi="Arial" w:cs="Arial"/>
          <w:b/>
          <w:bCs/>
          <w:color w:val="202124"/>
          <w:shd w:val="clear" w:color="auto" w:fill="FFFFFF"/>
        </w:rPr>
        <w:t xml:space="preserve">Comparison of </w:t>
      </w:r>
      <w:r w:rsidR="00351414">
        <w:rPr>
          <w:rFonts w:ascii="Arial" w:hAnsi="Arial" w:cs="Arial"/>
          <w:b/>
          <w:bCs/>
          <w:color w:val="202124"/>
          <w:shd w:val="clear" w:color="auto" w:fill="FFFFFF"/>
        </w:rPr>
        <w:t xml:space="preserve">means of independent </w:t>
      </w:r>
      <w:r w:rsidR="009415E8">
        <w:rPr>
          <w:rFonts w:ascii="Arial" w:hAnsi="Arial" w:cs="Arial"/>
          <w:b/>
          <w:bCs/>
          <w:color w:val="202124"/>
          <w:shd w:val="clear" w:color="auto" w:fill="FFFFFF"/>
        </w:rPr>
        <w:t xml:space="preserve">samples (CHW vs health </w:t>
      </w:r>
      <w:r w:rsidR="003B6CF7">
        <w:rPr>
          <w:rFonts w:ascii="Arial" w:hAnsi="Arial" w:cs="Arial"/>
          <w:b/>
          <w:bCs/>
          <w:color w:val="202124"/>
          <w:shd w:val="clear" w:color="auto" w:fill="FFFFFF"/>
        </w:rPr>
        <w:t>center</w:t>
      </w:r>
      <w:r w:rsidR="009415E8">
        <w:rPr>
          <w:rFonts w:ascii="Arial" w:hAnsi="Arial" w:cs="Arial"/>
          <w:b/>
          <w:bCs/>
          <w:color w:val="202124"/>
          <w:shd w:val="clear" w:color="auto" w:fill="FFFFFF"/>
        </w:rPr>
        <w:t xml:space="preserve"> stock out)</w:t>
      </w:r>
    </w:p>
    <w:p w14:paraId="33FD4931" w14:textId="52BE2AE1" w:rsidR="00623713" w:rsidRPr="00623713" w:rsidRDefault="00623713" w:rsidP="00623713">
      <w:pPr>
        <w:spacing w:after="0" w:line="240" w:lineRule="auto"/>
        <w:rPr>
          <w:rFonts w:ascii="Arial" w:hAnsi="Arial" w:cs="Arial"/>
          <w:color w:val="202124"/>
          <w:shd w:val="clear" w:color="auto" w:fill="FFFFFF"/>
        </w:rPr>
      </w:pPr>
    </w:p>
    <w:p w14:paraId="4BDED81C" w14:textId="77777777" w:rsidR="008269F1" w:rsidRPr="00436864" w:rsidRDefault="008269F1" w:rsidP="008269F1">
      <w:pPr>
        <w:spacing w:after="0" w:line="240" w:lineRule="auto"/>
        <w:rPr>
          <w:rFonts w:ascii="Times New Roman" w:eastAsia="Arial Unicode MS" w:hAnsi="Times New Roman" w:cs="Arial Unicode MS"/>
          <w:b/>
          <w:bCs/>
          <w:i/>
          <w:iCs/>
          <w:color w:val="000000"/>
          <w:sz w:val="24"/>
          <w:szCs w:val="24"/>
          <w:u w:color="000000"/>
        </w:rPr>
      </w:pPr>
      <w:r w:rsidRPr="00436864">
        <w:rPr>
          <w:rFonts w:ascii="Times New Roman" w:eastAsia="Arial Unicode MS" w:hAnsi="Times New Roman" w:cs="Arial Unicode MS"/>
          <w:b/>
          <w:bCs/>
          <w:i/>
          <w:iCs/>
          <w:color w:val="000000"/>
          <w:sz w:val="24"/>
          <w:szCs w:val="24"/>
          <w:u w:color="000000"/>
        </w:rPr>
        <w:t>Define Null and Alternative Hypotheses</w:t>
      </w:r>
    </w:p>
    <w:p w14:paraId="3F1583F0" w14:textId="77777777" w:rsidR="008269F1" w:rsidRPr="00436864" w:rsidRDefault="008269F1" w:rsidP="008269F1">
      <w:pPr>
        <w:spacing w:after="0" w:line="240" w:lineRule="auto"/>
        <w:rPr>
          <w:rFonts w:ascii="Times New Roman" w:eastAsia="Arial Unicode MS" w:hAnsi="Times New Roman" w:cs="Arial Unicode MS"/>
          <w:color w:val="000000"/>
          <w:sz w:val="24"/>
          <w:szCs w:val="24"/>
          <w:u w:color="000000"/>
        </w:rPr>
      </w:pPr>
    </w:p>
    <w:p w14:paraId="377358E4" w14:textId="07CAF3C6" w:rsidR="008269F1" w:rsidRPr="00436864" w:rsidRDefault="008269F1" w:rsidP="008269F1">
      <w:pPr>
        <w:spacing w:after="0" w:line="240" w:lineRule="auto"/>
        <w:rPr>
          <w:rFonts w:ascii="Times New Roman" w:eastAsia="Arial Unicode MS" w:hAnsi="Times New Roman" w:cs="Arial Unicode MS"/>
          <w:color w:val="000000"/>
          <w:sz w:val="24"/>
          <w:szCs w:val="24"/>
          <w:u w:color="000000"/>
        </w:rPr>
      </w:pPr>
      <w:r w:rsidRPr="00436864">
        <w:rPr>
          <w:rFonts w:ascii="Times New Roman" w:eastAsia="Arial Unicode MS" w:hAnsi="Times New Roman" w:cs="Arial Unicode MS"/>
          <w:color w:val="000000"/>
          <w:sz w:val="28"/>
          <w:szCs w:val="28"/>
          <w:u w:color="000000"/>
        </w:rPr>
        <w:t>H</w:t>
      </w:r>
      <w:r w:rsidRPr="00436864">
        <w:rPr>
          <w:rFonts w:ascii="Times New Roman" w:eastAsia="Arial Unicode MS" w:hAnsi="Times New Roman" w:cs="Arial Unicode MS"/>
          <w:color w:val="000000"/>
          <w:sz w:val="28"/>
          <w:szCs w:val="28"/>
          <w:u w:color="000000"/>
          <w:vertAlign w:val="subscript"/>
          <w:lang w:val="da-DK"/>
        </w:rPr>
        <w:t>O:</w:t>
      </w:r>
      <w:r w:rsidRPr="00436864">
        <w:rPr>
          <w:rFonts w:ascii="Times New Roman" w:eastAsia="Arial Unicode MS" w:hAnsi="Times New Roman" w:cs="Arial Unicode MS"/>
          <w:color w:val="000000"/>
          <w:sz w:val="28"/>
          <w:szCs w:val="28"/>
          <w:u w:color="000000"/>
        </w:rPr>
        <w:t xml:space="preserve"> </w:t>
      </w:r>
      <w:r w:rsidR="00921C36">
        <w:rPr>
          <w:rFonts w:ascii="Times New Roman" w:eastAsia="Arial Unicode MS" w:hAnsi="Times New Roman" w:cs="Arial Unicode MS"/>
          <w:color w:val="000000"/>
          <w:sz w:val="28"/>
          <w:szCs w:val="28"/>
          <w:u w:color="000000"/>
        </w:rPr>
        <w:t>X</w:t>
      </w:r>
      <w:r w:rsidRPr="00436864">
        <w:rPr>
          <w:rFonts w:ascii="Times New Roman" w:eastAsia="Arial Unicode MS" w:hAnsi="Times New Roman" w:cs="Arial Unicode MS"/>
          <w:color w:val="000000"/>
          <w:sz w:val="28"/>
          <w:szCs w:val="28"/>
          <w:u w:color="000000"/>
          <w:vertAlign w:val="subscript"/>
        </w:rPr>
        <w:t>1</w:t>
      </w:r>
      <w:r w:rsidRPr="00436864">
        <w:rPr>
          <w:rFonts w:ascii="Times New Roman" w:eastAsia="Arial Unicode MS" w:hAnsi="Times New Roman" w:cs="Arial Unicode MS"/>
          <w:color w:val="000000"/>
          <w:sz w:val="28"/>
          <w:szCs w:val="28"/>
          <w:u w:color="000000"/>
        </w:rPr>
        <w:t>=</w:t>
      </w:r>
      <w:r w:rsidR="00921C36">
        <w:rPr>
          <w:rFonts w:ascii="Times New Roman" w:eastAsia="Arial Unicode MS" w:hAnsi="Times New Roman" w:cs="Arial Unicode MS"/>
          <w:color w:val="000000"/>
          <w:sz w:val="28"/>
          <w:szCs w:val="28"/>
          <w:u w:color="000000"/>
        </w:rPr>
        <w:t>X</w:t>
      </w:r>
      <w:r w:rsidRPr="00436864">
        <w:rPr>
          <w:rFonts w:ascii="Times New Roman" w:eastAsia="Arial Unicode MS" w:hAnsi="Times New Roman" w:cs="Arial Unicode MS"/>
          <w:color w:val="000000"/>
          <w:sz w:val="28"/>
          <w:szCs w:val="28"/>
          <w:u w:color="000000"/>
          <w:vertAlign w:val="subscript"/>
        </w:rPr>
        <w:t>2</w:t>
      </w:r>
    </w:p>
    <w:p w14:paraId="5F260056" w14:textId="4FAF29DD" w:rsidR="008269F1" w:rsidRPr="00436864" w:rsidRDefault="008269F1" w:rsidP="008269F1">
      <w:pPr>
        <w:spacing w:after="0" w:line="240" w:lineRule="auto"/>
        <w:rPr>
          <w:rFonts w:ascii="Times New Roman" w:eastAsia="Arial Unicode MS" w:hAnsi="Times New Roman" w:cs="Arial Unicode MS"/>
          <w:color w:val="000000"/>
          <w:sz w:val="28"/>
          <w:szCs w:val="28"/>
          <w:u w:color="000000"/>
          <w:vertAlign w:val="subscript"/>
        </w:rPr>
      </w:pPr>
      <w:r w:rsidRPr="00436864">
        <w:rPr>
          <w:rFonts w:ascii="Times New Roman" w:eastAsia="Arial Unicode MS" w:hAnsi="Times New Roman" w:cs="Arial Unicode MS"/>
          <w:color w:val="000000"/>
          <w:sz w:val="28"/>
          <w:szCs w:val="28"/>
          <w:u w:color="000000"/>
        </w:rPr>
        <w:t>H</w:t>
      </w:r>
      <w:r w:rsidRPr="00436864">
        <w:rPr>
          <w:rFonts w:ascii="Times New Roman" w:eastAsia="Arial Unicode MS" w:hAnsi="Times New Roman" w:cs="Arial Unicode MS"/>
          <w:color w:val="000000"/>
          <w:sz w:val="28"/>
          <w:szCs w:val="28"/>
          <w:u w:color="000000"/>
          <w:vertAlign w:val="subscript"/>
          <w:lang w:val="ru-RU"/>
        </w:rPr>
        <w:t>1:</w:t>
      </w:r>
      <w:r w:rsidRPr="00436864">
        <w:rPr>
          <w:rFonts w:ascii="Times New Roman" w:eastAsia="Arial Unicode MS" w:hAnsi="Times New Roman" w:cs="Arial Unicode MS"/>
          <w:color w:val="000000"/>
          <w:sz w:val="28"/>
          <w:szCs w:val="28"/>
          <w:u w:color="000000"/>
        </w:rPr>
        <w:t xml:space="preserve"> </w:t>
      </w:r>
      <w:r w:rsidR="00921C36">
        <w:rPr>
          <w:rFonts w:ascii="Times New Roman" w:eastAsia="Arial Unicode MS" w:hAnsi="Times New Roman" w:cs="Arial Unicode MS"/>
          <w:color w:val="000000"/>
          <w:sz w:val="28"/>
          <w:szCs w:val="28"/>
          <w:u w:color="000000"/>
        </w:rPr>
        <w:t>X</w:t>
      </w:r>
      <w:r w:rsidRPr="00436864">
        <w:rPr>
          <w:rFonts w:ascii="Times New Roman" w:eastAsia="Arial Unicode MS" w:hAnsi="Times New Roman" w:cs="Arial Unicode MS"/>
          <w:color w:val="000000"/>
          <w:sz w:val="28"/>
          <w:szCs w:val="28"/>
          <w:u w:color="000000"/>
          <w:vertAlign w:val="subscript"/>
        </w:rPr>
        <w:t>1</w:t>
      </w:r>
      <w:r w:rsidRPr="00436864">
        <w:rPr>
          <w:rFonts w:ascii="Symbol" w:eastAsia="Arial Unicode MS" w:hAnsi="Symbol" w:cs="Arial Unicode MS"/>
          <w:color w:val="000000"/>
          <w:sz w:val="28"/>
          <w:szCs w:val="28"/>
          <w:u w:color="000000"/>
        </w:rPr>
        <w:t>¹</w:t>
      </w:r>
      <w:r w:rsidR="00921C36">
        <w:rPr>
          <w:rFonts w:ascii="Times New Roman" w:eastAsia="Arial Unicode MS" w:hAnsi="Times New Roman" w:cs="Arial Unicode MS"/>
          <w:color w:val="000000"/>
          <w:sz w:val="28"/>
          <w:szCs w:val="28"/>
          <w:u w:color="000000"/>
        </w:rPr>
        <w:t>X</w:t>
      </w:r>
      <w:r w:rsidRPr="00436864">
        <w:rPr>
          <w:rFonts w:ascii="Times New Roman" w:eastAsia="Arial Unicode MS" w:hAnsi="Times New Roman" w:cs="Arial Unicode MS"/>
          <w:color w:val="000000"/>
          <w:sz w:val="28"/>
          <w:szCs w:val="28"/>
          <w:u w:color="000000"/>
          <w:vertAlign w:val="subscript"/>
        </w:rPr>
        <w:t>2</w:t>
      </w:r>
    </w:p>
    <w:p w14:paraId="43C6617C" w14:textId="77777777" w:rsidR="008269F1" w:rsidRDefault="008269F1" w:rsidP="003C0A38">
      <w:pPr>
        <w:spacing w:after="0" w:line="240" w:lineRule="auto"/>
        <w:rPr>
          <w:rFonts w:ascii="Arial" w:hAnsi="Arial" w:cs="Arial"/>
          <w:color w:val="202124"/>
          <w:shd w:val="clear" w:color="auto" w:fill="FFFFFF"/>
        </w:rPr>
      </w:pPr>
    </w:p>
    <w:p w14:paraId="2D01E17B" w14:textId="77777777" w:rsidR="008269F1" w:rsidRDefault="008269F1" w:rsidP="003C0A38">
      <w:pPr>
        <w:spacing w:after="0" w:line="240" w:lineRule="auto"/>
        <w:rPr>
          <w:rFonts w:ascii="Arial" w:hAnsi="Arial" w:cs="Arial"/>
          <w:color w:val="202124"/>
          <w:shd w:val="clear" w:color="auto" w:fill="FFFFFF"/>
        </w:rPr>
      </w:pPr>
    </w:p>
    <w:p w14:paraId="58E65759" w14:textId="2C96B747" w:rsidR="001A55D6" w:rsidRDefault="001A55D6" w:rsidP="003C0A38">
      <w:pPr>
        <w:spacing w:after="0" w:line="240" w:lineRule="auto"/>
        <w:rPr>
          <w:rFonts w:ascii="Arial" w:hAnsi="Arial" w:cs="Arial"/>
          <w:color w:val="202124"/>
          <w:shd w:val="clear" w:color="auto" w:fill="FFFFFF"/>
        </w:rPr>
      </w:pPr>
      <w:r>
        <w:rPr>
          <w:rFonts w:ascii="Arial" w:hAnsi="Arial" w:cs="Arial"/>
          <w:color w:val="202124"/>
          <w:shd w:val="clear" w:color="auto" w:fill="FFFFFF"/>
        </w:rPr>
        <w:t>To compare two means, we will examine if:</w:t>
      </w:r>
    </w:p>
    <w:p w14:paraId="3A7897CA" w14:textId="05BA3957" w:rsidR="003C0A38" w:rsidRDefault="001A55D6" w:rsidP="001A55D6">
      <w:pPr>
        <w:spacing w:after="0" w:line="240" w:lineRule="auto"/>
        <w:rPr>
          <w:rFonts w:ascii="Arial" w:hAnsi="Arial" w:cs="Arial"/>
          <w:color w:val="202124"/>
          <w:shd w:val="clear" w:color="auto" w:fill="FFFFFF"/>
        </w:rPr>
      </w:pPr>
      <w:r w:rsidRPr="001A55D6">
        <w:rPr>
          <w:rFonts w:ascii="Arial" w:hAnsi="Arial" w:cs="Arial"/>
          <w:color w:val="202124"/>
          <w:shd w:val="clear" w:color="auto" w:fill="FFFFFF"/>
        </w:rPr>
        <w:t>i.</w:t>
      </w:r>
      <w:r>
        <w:rPr>
          <w:rFonts w:ascii="Arial" w:hAnsi="Arial" w:cs="Arial"/>
          <w:color w:val="202124"/>
          <w:shd w:val="clear" w:color="auto" w:fill="FFFFFF"/>
        </w:rPr>
        <w:t xml:space="preserve"> </w:t>
      </w:r>
      <w:r w:rsidRPr="001A55D6">
        <w:rPr>
          <w:rFonts w:ascii="Arial" w:hAnsi="Arial" w:cs="Arial"/>
          <w:color w:val="202124"/>
          <w:shd w:val="clear" w:color="auto" w:fill="FFFFFF"/>
        </w:rPr>
        <w:t xml:space="preserve">confidence interval of difference includes </w:t>
      </w:r>
      <w:r w:rsidR="000551FB">
        <w:rPr>
          <w:rFonts w:ascii="Arial" w:hAnsi="Arial" w:cs="Arial"/>
          <w:color w:val="202124"/>
          <w:shd w:val="clear" w:color="auto" w:fill="FFFFFF"/>
        </w:rPr>
        <w:t>zero.</w:t>
      </w:r>
    </w:p>
    <w:p w14:paraId="5809B677" w14:textId="5F241C17" w:rsidR="001A55D6" w:rsidRDefault="001A55D6" w:rsidP="001A55D6">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ii. p-value </w:t>
      </w:r>
      <w:r w:rsidR="000551FB">
        <w:rPr>
          <w:rFonts w:ascii="Arial" w:hAnsi="Arial" w:cs="Arial"/>
          <w:color w:val="202124"/>
          <w:shd w:val="clear" w:color="auto" w:fill="FFFFFF"/>
        </w:rPr>
        <w:t xml:space="preserve">relative to </w:t>
      </w:r>
      <w:r w:rsidR="009415E8">
        <w:rPr>
          <w:rFonts w:ascii="Arial" w:hAnsi="Arial" w:cs="Arial"/>
          <w:color w:val="202124"/>
          <w:shd w:val="clear" w:color="auto" w:fill="FFFFFF"/>
        </w:rPr>
        <w:t>α = 0.05</w:t>
      </w:r>
    </w:p>
    <w:p w14:paraId="5A4C00CB" w14:textId="000DE755" w:rsidR="001A55D6" w:rsidRPr="001A55D6" w:rsidRDefault="001A55D6" w:rsidP="001A55D6">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iii. if value of </w:t>
      </w:r>
      <w:r w:rsidR="003D22F2">
        <w:rPr>
          <w:rFonts w:ascii="Arial" w:hAnsi="Arial" w:cs="Arial"/>
          <w:color w:val="202124"/>
          <w:shd w:val="clear" w:color="auto" w:fill="FFFFFF"/>
        </w:rPr>
        <w:t>Z-score</w:t>
      </w:r>
      <w:r>
        <w:rPr>
          <w:rFonts w:ascii="Arial" w:hAnsi="Arial" w:cs="Arial"/>
          <w:color w:val="202124"/>
          <w:shd w:val="clear" w:color="auto" w:fill="FFFFFF"/>
        </w:rPr>
        <w:t xml:space="preserve"> </w:t>
      </w:r>
      <w:r w:rsidR="003D22F2">
        <w:rPr>
          <w:rFonts w:ascii="Arial" w:hAnsi="Arial" w:cs="Arial"/>
          <w:color w:val="202124"/>
          <w:shd w:val="clear" w:color="auto" w:fill="FFFFFF"/>
        </w:rPr>
        <w:t xml:space="preserve">relative to the </w:t>
      </w:r>
      <w:r w:rsidR="00921C36">
        <w:rPr>
          <w:rFonts w:ascii="Arial" w:hAnsi="Arial" w:cs="Arial"/>
          <w:color w:val="202124"/>
          <w:shd w:val="clear" w:color="auto" w:fill="FFFFFF"/>
        </w:rPr>
        <w:t xml:space="preserve">rejection region. </w:t>
      </w:r>
    </w:p>
    <w:p w14:paraId="3E7BC6C8" w14:textId="77777777" w:rsidR="008269F1" w:rsidRDefault="008269F1" w:rsidP="001A55D6">
      <w:pPr>
        <w:spacing w:after="0" w:line="240" w:lineRule="auto"/>
        <w:rPr>
          <w:rFonts w:ascii="Arial" w:hAnsi="Arial" w:cs="Arial"/>
          <w:color w:val="202124"/>
          <w:shd w:val="clear" w:color="auto" w:fill="FFFFFF"/>
        </w:rPr>
      </w:pPr>
    </w:p>
    <w:p w14:paraId="08B585E2" w14:textId="77777777" w:rsidR="008269F1" w:rsidRDefault="008269F1" w:rsidP="00351414">
      <w:pPr>
        <w:spacing w:after="0" w:line="240" w:lineRule="auto"/>
        <w:rPr>
          <w:rFonts w:ascii="Arial" w:hAnsi="Arial" w:cs="Arial"/>
          <w:color w:val="202124"/>
          <w:shd w:val="clear" w:color="auto" w:fill="FFFFFF"/>
        </w:rPr>
      </w:pPr>
    </w:p>
    <w:p w14:paraId="556B8C47" w14:textId="5687973A" w:rsidR="00723426" w:rsidRDefault="004B7AAF" w:rsidP="00723426">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8269F1">
        <w:rPr>
          <w:rFonts w:ascii="Arial" w:hAnsi="Arial" w:cs="Arial"/>
          <w:color w:val="202124"/>
          <w:shd w:val="clear" w:color="auto" w:fill="FFFFFF"/>
        </w:rPr>
        <w:t>(</w:t>
      </w:r>
      <w:r w:rsidR="008269F1" w:rsidRPr="003C0A38">
        <w:rPr>
          <w:rFonts w:ascii="Arial" w:hAnsi="Arial" w:cs="Arial"/>
          <w:color w:val="202124"/>
          <w:shd w:val="clear" w:color="auto" w:fill="FFFFFF"/>
        </w:rPr>
        <w:t>X̄</w:t>
      </w:r>
      <w:r w:rsidR="008269F1" w:rsidRPr="004B7AAF">
        <w:rPr>
          <w:rFonts w:ascii="Arial" w:hAnsi="Arial" w:cs="Arial"/>
          <w:color w:val="202124"/>
          <w:shd w:val="clear" w:color="auto" w:fill="FFFFFF"/>
          <w:vertAlign w:val="subscript"/>
        </w:rPr>
        <w:t>1</w:t>
      </w:r>
      <w:r w:rsidR="008269F1">
        <w:rPr>
          <w:rFonts w:ascii="Arial" w:hAnsi="Arial" w:cs="Arial"/>
          <w:color w:val="202124"/>
          <w:shd w:val="clear" w:color="auto" w:fill="FFFFFF"/>
        </w:rPr>
        <w:t xml:space="preserve"> – X</w:t>
      </w:r>
      <w:r w:rsidR="008269F1" w:rsidRPr="004B7AAF">
        <w:rPr>
          <w:rFonts w:ascii="Arial" w:hAnsi="Arial" w:cs="Arial"/>
          <w:color w:val="202124"/>
          <w:shd w:val="clear" w:color="auto" w:fill="FFFFFF"/>
          <w:vertAlign w:val="subscript"/>
        </w:rPr>
        <w:t>2</w:t>
      </w:r>
      <w:r>
        <w:rPr>
          <w:rFonts w:ascii="Arial" w:hAnsi="Arial" w:cs="Arial"/>
          <w:color w:val="202124"/>
          <w:shd w:val="clear" w:color="auto" w:fill="FFFFFF"/>
        </w:rPr>
        <w:t>) ±</w:t>
      </w:r>
      <w:r w:rsidR="008269F1">
        <w:rPr>
          <w:rFonts w:ascii="Arial" w:hAnsi="Arial" w:cs="Arial"/>
          <w:color w:val="202124"/>
          <w:shd w:val="clear" w:color="auto" w:fill="FFFFFF"/>
        </w:rPr>
        <w:t xml:space="preserve"> </w:t>
      </w:r>
      <w:r w:rsidR="008E2210">
        <w:rPr>
          <w:rFonts w:ascii="Arial" w:hAnsi="Arial" w:cs="Arial"/>
          <w:color w:val="202124"/>
          <w:shd w:val="clear" w:color="auto" w:fill="FFFFFF"/>
        </w:rPr>
        <w:t>Z*</w:t>
      </w:r>
      <w:r w:rsidRPr="004B7AAF">
        <w:rPr>
          <w:rFonts w:ascii="Arial" w:hAnsi="Arial" w:cs="Arial"/>
          <w:color w:val="202124"/>
          <w:shd w:val="clear" w:color="auto" w:fill="FFFFFF"/>
          <w:vertAlign w:val="subscript"/>
        </w:rPr>
        <w:t xml:space="preserve"> </w:t>
      </w:r>
      <w:bookmarkStart w:id="16" w:name="_Hlk71372971"/>
      <w:r w:rsidRPr="003C0A38">
        <w:rPr>
          <w:rFonts w:ascii="Arial" w:hAnsi="Arial" w:cs="Arial"/>
          <w:color w:val="202124"/>
          <w:shd w:val="clear" w:color="auto" w:fill="FFFFFF"/>
        </w:rPr>
        <w:t>√</w:t>
      </w:r>
      <w:r>
        <w:rPr>
          <w:rFonts w:ascii="Arial" w:hAnsi="Arial" w:cs="Arial"/>
          <w:color w:val="202124"/>
          <w:shd w:val="clear" w:color="auto" w:fill="FFFFFF"/>
        </w:rPr>
        <w:t xml:space="preserve"> ([s</w:t>
      </w:r>
      <w:r w:rsidRPr="00EA7A81">
        <w:rPr>
          <w:rFonts w:ascii="Arial" w:hAnsi="Arial" w:cs="Arial"/>
          <w:color w:val="202124"/>
          <w:shd w:val="clear" w:color="auto" w:fill="FFFFFF"/>
          <w:vertAlign w:val="subscript"/>
        </w:rPr>
        <w:t>1</w:t>
      </w:r>
      <w:r w:rsidR="00EA7A81" w:rsidRPr="00EA7A81">
        <w:rPr>
          <w:rFonts w:ascii="Arial" w:hAnsi="Arial" w:cs="Arial"/>
          <w:color w:val="202124"/>
          <w:shd w:val="clear" w:color="auto" w:fill="FFFFFF"/>
          <w:vertAlign w:val="superscript"/>
        </w:rPr>
        <w:t>2</w:t>
      </w:r>
      <w:r>
        <w:rPr>
          <w:rFonts w:ascii="Arial" w:hAnsi="Arial" w:cs="Arial"/>
          <w:color w:val="202124"/>
          <w:shd w:val="clear" w:color="auto" w:fill="FFFFFF"/>
        </w:rPr>
        <w:t>/n</w:t>
      </w:r>
      <w:r w:rsidRPr="00EA7A81">
        <w:rPr>
          <w:rFonts w:ascii="Arial" w:hAnsi="Arial" w:cs="Arial"/>
          <w:color w:val="202124"/>
          <w:shd w:val="clear" w:color="auto" w:fill="FFFFFF"/>
          <w:vertAlign w:val="subscript"/>
        </w:rPr>
        <w:t>1</w:t>
      </w:r>
      <w:r>
        <w:rPr>
          <w:rFonts w:ascii="Arial" w:hAnsi="Arial" w:cs="Arial"/>
          <w:color w:val="202124"/>
          <w:shd w:val="clear" w:color="auto" w:fill="FFFFFF"/>
        </w:rPr>
        <w:t>] + [s</w:t>
      </w:r>
      <w:r w:rsidRPr="00EA7A81">
        <w:rPr>
          <w:rFonts w:ascii="Arial" w:hAnsi="Arial" w:cs="Arial"/>
          <w:color w:val="202124"/>
          <w:shd w:val="clear" w:color="auto" w:fill="FFFFFF"/>
          <w:vertAlign w:val="subscript"/>
        </w:rPr>
        <w:t>2</w:t>
      </w:r>
      <w:r w:rsidR="00EA7A81" w:rsidRPr="00EA7A81">
        <w:rPr>
          <w:rFonts w:ascii="Arial" w:hAnsi="Arial" w:cs="Arial"/>
          <w:color w:val="202124"/>
          <w:shd w:val="clear" w:color="auto" w:fill="FFFFFF"/>
          <w:vertAlign w:val="superscript"/>
        </w:rPr>
        <w:t>2</w:t>
      </w:r>
      <w:r>
        <w:rPr>
          <w:rFonts w:ascii="Arial" w:hAnsi="Arial" w:cs="Arial"/>
          <w:color w:val="202124"/>
          <w:shd w:val="clear" w:color="auto" w:fill="FFFFFF"/>
        </w:rPr>
        <w:t>/n</w:t>
      </w:r>
      <w:r w:rsidRPr="00EA7A81">
        <w:rPr>
          <w:rFonts w:ascii="Arial" w:hAnsi="Arial" w:cs="Arial"/>
          <w:color w:val="202124"/>
          <w:shd w:val="clear" w:color="auto" w:fill="FFFFFF"/>
          <w:vertAlign w:val="subscript"/>
        </w:rPr>
        <w:t>2</w:t>
      </w:r>
      <w:r>
        <w:rPr>
          <w:rFonts w:ascii="Arial" w:hAnsi="Arial" w:cs="Arial"/>
          <w:color w:val="202124"/>
          <w:shd w:val="clear" w:color="auto" w:fill="FFFFFF"/>
        </w:rPr>
        <w:t>])</w:t>
      </w:r>
      <w:bookmarkEnd w:id="16"/>
    </w:p>
    <w:p w14:paraId="6A8B6015" w14:textId="0AC2E1F8" w:rsidR="00EA7A81" w:rsidRDefault="00C03F76" w:rsidP="00EA7A81">
      <w:pPr>
        <w:spacing w:after="0" w:line="240" w:lineRule="auto"/>
        <w:rPr>
          <w:rFonts w:ascii="Arial" w:hAnsi="Arial" w:cs="Arial"/>
          <w:color w:val="202124"/>
          <w:shd w:val="clear" w:color="auto" w:fill="FFFFFF"/>
        </w:rPr>
      </w:pPr>
      <w:r>
        <w:rPr>
          <w:rFonts w:ascii="Arial" w:hAnsi="Arial" w:cs="Arial"/>
          <w:color w:val="202124"/>
          <w:shd w:val="clear" w:color="auto" w:fill="FFFFFF"/>
        </w:rPr>
        <w:t>Z-score</w:t>
      </w:r>
      <w:r w:rsidR="004B7AAF">
        <w:rPr>
          <w:rFonts w:ascii="Arial" w:hAnsi="Arial" w:cs="Arial"/>
          <w:color w:val="202124"/>
          <w:shd w:val="clear" w:color="auto" w:fill="FFFFFF"/>
        </w:rPr>
        <w:t xml:space="preserve"> = </w:t>
      </w:r>
      <w:bookmarkStart w:id="17" w:name="_Hlk71376020"/>
      <w:r w:rsidR="004B7AAF">
        <w:rPr>
          <w:rFonts w:ascii="Arial" w:hAnsi="Arial" w:cs="Arial"/>
          <w:color w:val="202124"/>
          <w:shd w:val="clear" w:color="auto" w:fill="FFFFFF"/>
        </w:rPr>
        <w:t>(</w:t>
      </w:r>
      <w:r w:rsidR="004B7AAF" w:rsidRPr="003C0A38">
        <w:rPr>
          <w:rFonts w:ascii="Arial" w:hAnsi="Arial" w:cs="Arial"/>
          <w:color w:val="202124"/>
          <w:shd w:val="clear" w:color="auto" w:fill="FFFFFF"/>
        </w:rPr>
        <w:t>X̄</w:t>
      </w:r>
      <w:r w:rsidR="004B7AAF" w:rsidRPr="004B7AAF">
        <w:rPr>
          <w:rFonts w:ascii="Arial" w:hAnsi="Arial" w:cs="Arial"/>
          <w:color w:val="202124"/>
          <w:shd w:val="clear" w:color="auto" w:fill="FFFFFF"/>
          <w:vertAlign w:val="subscript"/>
        </w:rPr>
        <w:t>1</w:t>
      </w:r>
      <w:r w:rsidR="004B7AAF">
        <w:rPr>
          <w:rFonts w:ascii="Arial" w:hAnsi="Arial" w:cs="Arial"/>
          <w:color w:val="202124"/>
          <w:shd w:val="clear" w:color="auto" w:fill="FFFFFF"/>
        </w:rPr>
        <w:t xml:space="preserve"> – X</w:t>
      </w:r>
      <w:r w:rsidR="004B7AAF" w:rsidRPr="004B7AAF">
        <w:rPr>
          <w:rFonts w:ascii="Arial" w:hAnsi="Arial" w:cs="Arial"/>
          <w:color w:val="202124"/>
          <w:shd w:val="clear" w:color="auto" w:fill="FFFFFF"/>
          <w:vertAlign w:val="subscript"/>
        </w:rPr>
        <w:t>2</w:t>
      </w:r>
      <w:r w:rsidR="004B7AAF">
        <w:rPr>
          <w:rFonts w:ascii="Arial" w:hAnsi="Arial" w:cs="Arial"/>
          <w:color w:val="202124"/>
          <w:shd w:val="clear" w:color="auto" w:fill="FFFFFF"/>
        </w:rPr>
        <w:t xml:space="preserve">) </w:t>
      </w:r>
      <w:bookmarkEnd w:id="17"/>
      <w:r w:rsidR="004B7AAF">
        <w:rPr>
          <w:rFonts w:ascii="Arial" w:hAnsi="Arial" w:cs="Arial"/>
          <w:color w:val="202124"/>
          <w:shd w:val="clear" w:color="auto" w:fill="FFFFFF"/>
        </w:rPr>
        <w:t xml:space="preserve">/ </w:t>
      </w:r>
      <w:bookmarkStart w:id="18" w:name="_Hlk71376061"/>
      <w:r w:rsidR="00EA7A81" w:rsidRPr="003C0A38">
        <w:rPr>
          <w:rFonts w:ascii="Arial" w:hAnsi="Arial" w:cs="Arial"/>
          <w:color w:val="202124"/>
          <w:shd w:val="clear" w:color="auto" w:fill="FFFFFF"/>
        </w:rPr>
        <w:t>√</w:t>
      </w:r>
      <w:r w:rsidR="00EA7A81">
        <w:rPr>
          <w:rFonts w:ascii="Arial" w:hAnsi="Arial" w:cs="Arial"/>
          <w:color w:val="202124"/>
          <w:shd w:val="clear" w:color="auto" w:fill="FFFFFF"/>
        </w:rPr>
        <w:t xml:space="preserve"> ([s</w:t>
      </w:r>
      <w:r w:rsidR="00EA7A81" w:rsidRPr="00EA7A81">
        <w:rPr>
          <w:rFonts w:ascii="Arial" w:hAnsi="Arial" w:cs="Arial"/>
          <w:color w:val="202124"/>
          <w:shd w:val="clear" w:color="auto" w:fill="FFFFFF"/>
          <w:vertAlign w:val="subscript"/>
        </w:rPr>
        <w:t>1</w:t>
      </w:r>
      <w:r w:rsidR="00EA7A81" w:rsidRPr="00EA7A81">
        <w:rPr>
          <w:rFonts w:ascii="Arial" w:hAnsi="Arial" w:cs="Arial"/>
          <w:color w:val="202124"/>
          <w:shd w:val="clear" w:color="auto" w:fill="FFFFFF"/>
          <w:vertAlign w:val="superscript"/>
        </w:rPr>
        <w:t>2</w:t>
      </w:r>
      <w:r w:rsidR="00EA7A81">
        <w:rPr>
          <w:rFonts w:ascii="Arial" w:hAnsi="Arial" w:cs="Arial"/>
          <w:color w:val="202124"/>
          <w:shd w:val="clear" w:color="auto" w:fill="FFFFFF"/>
        </w:rPr>
        <w:t>/n</w:t>
      </w:r>
      <w:r w:rsidR="00EA7A81" w:rsidRPr="00EA7A81">
        <w:rPr>
          <w:rFonts w:ascii="Arial" w:hAnsi="Arial" w:cs="Arial"/>
          <w:color w:val="202124"/>
          <w:shd w:val="clear" w:color="auto" w:fill="FFFFFF"/>
          <w:vertAlign w:val="subscript"/>
        </w:rPr>
        <w:t>1</w:t>
      </w:r>
      <w:r w:rsidR="00EA7A81">
        <w:rPr>
          <w:rFonts w:ascii="Arial" w:hAnsi="Arial" w:cs="Arial"/>
          <w:color w:val="202124"/>
          <w:shd w:val="clear" w:color="auto" w:fill="FFFFFF"/>
        </w:rPr>
        <w:t>] + [s</w:t>
      </w:r>
      <w:r w:rsidR="00EA7A81" w:rsidRPr="00EA7A81">
        <w:rPr>
          <w:rFonts w:ascii="Arial" w:hAnsi="Arial" w:cs="Arial"/>
          <w:color w:val="202124"/>
          <w:shd w:val="clear" w:color="auto" w:fill="FFFFFF"/>
          <w:vertAlign w:val="subscript"/>
        </w:rPr>
        <w:t>2</w:t>
      </w:r>
      <w:r w:rsidR="00EA7A81" w:rsidRPr="00EA7A81">
        <w:rPr>
          <w:rFonts w:ascii="Arial" w:hAnsi="Arial" w:cs="Arial"/>
          <w:color w:val="202124"/>
          <w:shd w:val="clear" w:color="auto" w:fill="FFFFFF"/>
          <w:vertAlign w:val="superscript"/>
        </w:rPr>
        <w:t>2</w:t>
      </w:r>
      <w:r w:rsidR="00EA7A81">
        <w:rPr>
          <w:rFonts w:ascii="Arial" w:hAnsi="Arial" w:cs="Arial"/>
          <w:color w:val="202124"/>
          <w:shd w:val="clear" w:color="auto" w:fill="FFFFFF"/>
        </w:rPr>
        <w:t>/n</w:t>
      </w:r>
      <w:r w:rsidR="00EA7A81" w:rsidRPr="00EA7A81">
        <w:rPr>
          <w:rFonts w:ascii="Arial" w:hAnsi="Arial" w:cs="Arial"/>
          <w:color w:val="202124"/>
          <w:shd w:val="clear" w:color="auto" w:fill="FFFFFF"/>
          <w:vertAlign w:val="subscript"/>
        </w:rPr>
        <w:t>2</w:t>
      </w:r>
      <w:r w:rsidR="00EA7A81">
        <w:rPr>
          <w:rFonts w:ascii="Arial" w:hAnsi="Arial" w:cs="Arial"/>
          <w:color w:val="202124"/>
          <w:shd w:val="clear" w:color="auto" w:fill="FFFFFF"/>
        </w:rPr>
        <w:t>])</w:t>
      </w:r>
      <w:bookmarkEnd w:id="18"/>
    </w:p>
    <w:p w14:paraId="3425C6DD" w14:textId="7FF201B5" w:rsidR="004B7AAF" w:rsidRDefault="004B7AAF" w:rsidP="00723426">
      <w:pPr>
        <w:spacing w:after="0" w:line="240" w:lineRule="auto"/>
        <w:rPr>
          <w:rFonts w:ascii="Arial" w:hAnsi="Arial" w:cs="Arial"/>
          <w:color w:val="202124"/>
          <w:shd w:val="clear" w:color="auto" w:fill="FFFFFF"/>
        </w:rPr>
      </w:pPr>
    </w:p>
    <w:p w14:paraId="562023F2" w14:textId="2A0FD43B" w:rsidR="00921C36" w:rsidRDefault="00921C36" w:rsidP="00723426">
      <w:pPr>
        <w:spacing w:after="0" w:line="240" w:lineRule="auto"/>
        <w:rPr>
          <w:rFonts w:ascii="Arial" w:hAnsi="Arial" w:cs="Arial"/>
          <w:color w:val="202124"/>
          <w:shd w:val="clear" w:color="auto" w:fill="FFFFFF"/>
        </w:rPr>
      </w:pPr>
    </w:p>
    <w:p w14:paraId="3C4DA2B1" w14:textId="0967302E" w:rsidR="00921C36" w:rsidRDefault="00921C36" w:rsidP="00723426">
      <w:pPr>
        <w:spacing w:after="0" w:line="240" w:lineRule="auto"/>
        <w:rPr>
          <w:rFonts w:ascii="Arial" w:hAnsi="Arial" w:cs="Arial"/>
          <w:color w:val="202124"/>
          <w:shd w:val="clear" w:color="auto" w:fill="FFFFFF"/>
        </w:rPr>
      </w:pPr>
    </w:p>
    <w:p w14:paraId="56AFF9F3" w14:textId="023E2A64" w:rsidR="00921C36" w:rsidRPr="009415E8" w:rsidRDefault="00921C36" w:rsidP="00723426">
      <w:pPr>
        <w:spacing w:after="0" w:line="240" w:lineRule="auto"/>
        <w:rPr>
          <w:rFonts w:ascii="Arial" w:hAnsi="Arial" w:cs="Arial"/>
          <w:b/>
          <w:bCs/>
          <w:i/>
          <w:iCs/>
          <w:color w:val="202124"/>
          <w:shd w:val="clear" w:color="auto" w:fill="FFFFFF"/>
        </w:rPr>
      </w:pPr>
      <w:r w:rsidRPr="009415E8">
        <w:rPr>
          <w:rFonts w:ascii="Arial" w:hAnsi="Arial" w:cs="Arial"/>
          <w:b/>
          <w:bCs/>
          <w:i/>
          <w:iCs/>
          <w:color w:val="202124"/>
          <w:shd w:val="clear" w:color="auto" w:fill="FFFFFF"/>
        </w:rPr>
        <w:t>Period 2006 -2021</w:t>
      </w:r>
    </w:p>
    <w:p w14:paraId="25ECFE8B" w14:textId="0FEDE787" w:rsidR="00921C36" w:rsidRDefault="00921C36" w:rsidP="00723426">
      <w:pPr>
        <w:spacing w:after="0" w:line="240" w:lineRule="auto"/>
        <w:rPr>
          <w:rFonts w:ascii="Arial" w:hAnsi="Arial" w:cs="Arial"/>
          <w:color w:val="202124"/>
          <w:shd w:val="clear" w:color="auto" w:fill="FFFFFF"/>
        </w:rPr>
      </w:pPr>
    </w:p>
    <w:p w14:paraId="34D7E608" w14:textId="23880E0A" w:rsidR="00921C36" w:rsidRDefault="00921C36" w:rsidP="00921C36">
      <w:pPr>
        <w:spacing w:after="0" w:line="240" w:lineRule="auto"/>
        <w:rPr>
          <w:rFonts w:ascii="Arial" w:hAnsi="Arial" w:cs="Arial"/>
          <w:color w:val="202124"/>
          <w:shd w:val="clear" w:color="auto" w:fill="FFFFFF"/>
        </w:rPr>
      </w:pPr>
      <w:r w:rsidRPr="00921C36">
        <w:rPr>
          <w:rFonts w:ascii="Arial" w:hAnsi="Arial" w:cs="Arial"/>
          <w:color w:val="202124"/>
          <w:shd w:val="clear" w:color="auto" w:fill="FFFFFF"/>
        </w:rPr>
        <w:t>a.</w:t>
      </w:r>
      <w:r>
        <w:rPr>
          <w:rFonts w:ascii="Arial" w:hAnsi="Arial" w:cs="Arial"/>
          <w:color w:val="202124"/>
          <w:shd w:val="clear" w:color="auto" w:fill="FFFFFF"/>
        </w:rPr>
        <w:t xml:space="preserve"> Comparing the means of CHW stock</w:t>
      </w:r>
      <w:r w:rsidR="002D11CE">
        <w:rPr>
          <w:rFonts w:ascii="Arial" w:hAnsi="Arial" w:cs="Arial"/>
          <w:color w:val="202124"/>
          <w:shd w:val="clear" w:color="auto" w:fill="FFFFFF"/>
        </w:rPr>
        <w:t>-out</w:t>
      </w:r>
      <w:r w:rsidRPr="00921C36">
        <w:rPr>
          <w:rFonts w:ascii="Arial" w:hAnsi="Arial" w:cs="Arial"/>
          <w:color w:val="202124"/>
          <w:shd w:val="clear" w:color="auto" w:fill="FFFFFF"/>
        </w:rPr>
        <w:t xml:space="preserve"> </w:t>
      </w:r>
      <w:r>
        <w:rPr>
          <w:rFonts w:ascii="Arial" w:hAnsi="Arial" w:cs="Arial"/>
          <w:color w:val="202124"/>
          <w:shd w:val="clear" w:color="auto" w:fill="FFFFFF"/>
        </w:rPr>
        <w:t xml:space="preserve">with health </w:t>
      </w:r>
      <w:r w:rsidR="003B6CF7">
        <w:rPr>
          <w:rFonts w:ascii="Arial" w:hAnsi="Arial" w:cs="Arial"/>
          <w:color w:val="202124"/>
          <w:shd w:val="clear" w:color="auto" w:fill="FFFFFF"/>
        </w:rPr>
        <w:t>center</w:t>
      </w:r>
      <w:r>
        <w:rPr>
          <w:rFonts w:ascii="Arial" w:hAnsi="Arial" w:cs="Arial"/>
          <w:color w:val="202124"/>
          <w:shd w:val="clear" w:color="auto" w:fill="FFFFFF"/>
        </w:rPr>
        <w:t xml:space="preserve"> stock</w:t>
      </w:r>
      <w:r w:rsidR="002D11CE">
        <w:rPr>
          <w:rFonts w:ascii="Arial" w:hAnsi="Arial" w:cs="Arial"/>
          <w:color w:val="202124"/>
          <w:shd w:val="clear" w:color="auto" w:fill="FFFFFF"/>
        </w:rPr>
        <w:t>-</w:t>
      </w:r>
      <w:r>
        <w:rPr>
          <w:rFonts w:ascii="Arial" w:hAnsi="Arial" w:cs="Arial"/>
          <w:color w:val="202124"/>
          <w:shd w:val="clear" w:color="auto" w:fill="FFFFFF"/>
        </w:rPr>
        <w:t xml:space="preserve">out </w:t>
      </w:r>
    </w:p>
    <w:p w14:paraId="60C8547A" w14:textId="005DA4F7" w:rsidR="00921C36" w:rsidRDefault="00921C36" w:rsidP="00921C36">
      <w:pPr>
        <w:spacing w:after="0" w:line="240" w:lineRule="auto"/>
        <w:rPr>
          <w:rFonts w:ascii="Arial" w:hAnsi="Arial" w:cs="Arial"/>
          <w:color w:val="202124"/>
          <w:shd w:val="clear" w:color="auto" w:fill="FFFFFF"/>
        </w:rPr>
      </w:pPr>
    </w:p>
    <w:p w14:paraId="66608980" w14:textId="0AA6687F" w:rsidR="00921C36" w:rsidRDefault="00921C36" w:rsidP="00921C36">
      <w:pPr>
        <w:spacing w:after="0" w:line="240" w:lineRule="auto"/>
        <w:rPr>
          <w:rFonts w:ascii="Arial" w:hAnsi="Arial" w:cs="Arial"/>
          <w:color w:val="202124"/>
          <w:shd w:val="clear" w:color="auto" w:fill="FFFFFF"/>
        </w:rPr>
      </w:pPr>
      <w:bookmarkStart w:id="19" w:name="_Hlk71379832"/>
      <w:r>
        <w:rPr>
          <w:rFonts w:ascii="Arial" w:hAnsi="Arial" w:cs="Arial"/>
          <w:color w:val="202124"/>
          <w:shd w:val="clear" w:color="auto" w:fill="FFFFFF"/>
        </w:rPr>
        <w:t>X</w:t>
      </w:r>
      <w:r w:rsidRPr="00921C36">
        <w:rPr>
          <w:rFonts w:ascii="Arial" w:hAnsi="Arial" w:cs="Arial"/>
          <w:color w:val="202124"/>
          <w:shd w:val="clear" w:color="auto" w:fill="FFFFFF"/>
          <w:vertAlign w:val="subscript"/>
        </w:rPr>
        <w:t>1</w:t>
      </w:r>
      <w:r>
        <w:rPr>
          <w:rFonts w:ascii="Arial" w:hAnsi="Arial" w:cs="Arial"/>
          <w:color w:val="202124"/>
          <w:shd w:val="clear" w:color="auto" w:fill="FFFFFF"/>
        </w:rPr>
        <w:t xml:space="preserve"> = </w:t>
      </w:r>
      <w:r w:rsidR="00CA76DF" w:rsidRPr="00CA76DF">
        <w:rPr>
          <w:rFonts w:ascii="Arial" w:hAnsi="Arial" w:cs="Arial"/>
          <w:color w:val="202124"/>
          <w:shd w:val="clear" w:color="auto" w:fill="FFFFFF"/>
        </w:rPr>
        <w:t>28.93</w:t>
      </w:r>
      <w:r>
        <w:rPr>
          <w:rFonts w:ascii="Arial" w:hAnsi="Arial" w:cs="Arial"/>
          <w:color w:val="202124"/>
          <w:shd w:val="clear" w:color="auto" w:fill="FFFFFF"/>
        </w:rPr>
        <w:t>, X</w:t>
      </w:r>
      <w:r w:rsidRPr="00921C36">
        <w:rPr>
          <w:rFonts w:ascii="Arial" w:hAnsi="Arial" w:cs="Arial"/>
          <w:color w:val="202124"/>
          <w:shd w:val="clear" w:color="auto" w:fill="FFFFFF"/>
          <w:vertAlign w:val="subscript"/>
        </w:rPr>
        <w:t>2</w:t>
      </w:r>
      <w:r>
        <w:rPr>
          <w:rFonts w:ascii="Arial" w:hAnsi="Arial" w:cs="Arial"/>
          <w:color w:val="202124"/>
          <w:shd w:val="clear" w:color="auto" w:fill="FFFFFF"/>
        </w:rPr>
        <w:t xml:space="preserve"> = </w:t>
      </w:r>
      <w:bookmarkStart w:id="20" w:name="_Hlk72775190"/>
      <w:r w:rsidR="00CA76DF" w:rsidRPr="00CA76DF">
        <w:rPr>
          <w:rFonts w:ascii="Arial" w:hAnsi="Arial" w:cs="Arial"/>
          <w:color w:val="202124"/>
          <w:shd w:val="clear" w:color="auto" w:fill="FFFFFF"/>
        </w:rPr>
        <w:t>9.17</w:t>
      </w:r>
      <w:bookmarkEnd w:id="20"/>
      <w:r>
        <w:rPr>
          <w:rFonts w:ascii="Arial" w:hAnsi="Arial" w:cs="Arial"/>
          <w:color w:val="202124"/>
          <w:shd w:val="clear" w:color="auto" w:fill="FFFFFF"/>
        </w:rPr>
        <w:t>, n</w:t>
      </w:r>
      <w:r w:rsidRPr="00921C36">
        <w:rPr>
          <w:rFonts w:ascii="Arial" w:hAnsi="Arial" w:cs="Arial"/>
          <w:color w:val="202124"/>
          <w:shd w:val="clear" w:color="auto" w:fill="FFFFFF"/>
          <w:vertAlign w:val="subscript"/>
        </w:rPr>
        <w:t>1</w:t>
      </w:r>
      <w:r>
        <w:rPr>
          <w:rFonts w:ascii="Arial" w:hAnsi="Arial" w:cs="Arial"/>
          <w:color w:val="202124"/>
          <w:shd w:val="clear" w:color="auto" w:fill="FFFFFF"/>
        </w:rPr>
        <w:t xml:space="preserve"> = </w:t>
      </w:r>
      <w:r w:rsidR="00CA76DF" w:rsidRPr="00CA76DF">
        <w:rPr>
          <w:rFonts w:ascii="Arial" w:hAnsi="Arial" w:cs="Arial"/>
          <w:color w:val="202124"/>
          <w:shd w:val="clear" w:color="auto" w:fill="FFFFFF"/>
        </w:rPr>
        <w:t>62372</w:t>
      </w:r>
      <w:r>
        <w:rPr>
          <w:rFonts w:ascii="Arial" w:hAnsi="Arial" w:cs="Arial"/>
          <w:color w:val="202124"/>
          <w:shd w:val="clear" w:color="auto" w:fill="FFFFFF"/>
        </w:rPr>
        <w:t>, n</w:t>
      </w:r>
      <w:r w:rsidRPr="00921C36">
        <w:rPr>
          <w:rFonts w:ascii="Arial" w:hAnsi="Arial" w:cs="Arial"/>
          <w:color w:val="202124"/>
          <w:shd w:val="clear" w:color="auto" w:fill="FFFFFF"/>
          <w:vertAlign w:val="subscript"/>
        </w:rPr>
        <w:t>2</w:t>
      </w:r>
      <w:r>
        <w:rPr>
          <w:rFonts w:ascii="Arial" w:hAnsi="Arial" w:cs="Arial"/>
          <w:color w:val="202124"/>
          <w:shd w:val="clear" w:color="auto" w:fill="FFFFFF"/>
        </w:rPr>
        <w:t xml:space="preserve"> = </w:t>
      </w:r>
      <w:r w:rsidR="00CA76DF" w:rsidRPr="00CA76DF">
        <w:rPr>
          <w:rFonts w:ascii="Arial" w:hAnsi="Arial" w:cs="Arial"/>
          <w:color w:val="202124"/>
          <w:shd w:val="clear" w:color="auto" w:fill="FFFFFF"/>
        </w:rPr>
        <w:t>2383</w:t>
      </w:r>
      <w:r>
        <w:rPr>
          <w:rFonts w:ascii="Arial" w:hAnsi="Arial" w:cs="Arial"/>
          <w:color w:val="202124"/>
          <w:shd w:val="clear" w:color="auto" w:fill="FFFFFF"/>
        </w:rPr>
        <w:t>, s</w:t>
      </w:r>
      <w:r w:rsidRPr="00921C36">
        <w:rPr>
          <w:rFonts w:ascii="Arial" w:hAnsi="Arial" w:cs="Arial"/>
          <w:color w:val="202124"/>
          <w:shd w:val="clear" w:color="auto" w:fill="FFFFFF"/>
          <w:vertAlign w:val="subscript"/>
        </w:rPr>
        <w:t>1</w:t>
      </w:r>
      <w:r>
        <w:rPr>
          <w:rFonts w:ascii="Arial" w:hAnsi="Arial" w:cs="Arial"/>
          <w:color w:val="202124"/>
          <w:shd w:val="clear" w:color="auto" w:fill="FFFFFF"/>
        </w:rPr>
        <w:t xml:space="preserve"> = </w:t>
      </w:r>
      <w:bookmarkStart w:id="21" w:name="_Hlk72775233"/>
      <w:r w:rsidR="008E2210" w:rsidRPr="008E2210">
        <w:rPr>
          <w:rFonts w:ascii="Arial" w:hAnsi="Arial" w:cs="Arial"/>
          <w:color w:val="202124"/>
          <w:shd w:val="clear" w:color="auto" w:fill="FFFFFF"/>
        </w:rPr>
        <w:t>16.94</w:t>
      </w:r>
      <w:bookmarkEnd w:id="21"/>
      <w:r>
        <w:rPr>
          <w:rFonts w:ascii="Arial" w:hAnsi="Arial" w:cs="Arial"/>
          <w:color w:val="202124"/>
          <w:shd w:val="clear" w:color="auto" w:fill="FFFFFF"/>
        </w:rPr>
        <w:t>, s</w:t>
      </w:r>
      <w:r w:rsidRPr="00921C36">
        <w:rPr>
          <w:rFonts w:ascii="Arial" w:hAnsi="Arial" w:cs="Arial"/>
          <w:color w:val="202124"/>
          <w:shd w:val="clear" w:color="auto" w:fill="FFFFFF"/>
          <w:vertAlign w:val="subscript"/>
        </w:rPr>
        <w:t>2</w:t>
      </w:r>
      <w:r>
        <w:rPr>
          <w:rFonts w:ascii="Arial" w:hAnsi="Arial" w:cs="Arial"/>
          <w:color w:val="202124"/>
          <w:shd w:val="clear" w:color="auto" w:fill="FFFFFF"/>
        </w:rPr>
        <w:t xml:space="preserve"> = </w:t>
      </w:r>
      <w:bookmarkStart w:id="22" w:name="_Hlk72775255"/>
      <w:r w:rsidR="008E2210" w:rsidRPr="008E2210">
        <w:rPr>
          <w:rFonts w:ascii="Arial" w:hAnsi="Arial" w:cs="Arial"/>
          <w:color w:val="202124"/>
          <w:shd w:val="clear" w:color="auto" w:fill="FFFFFF"/>
        </w:rPr>
        <w:t>13.18</w:t>
      </w:r>
      <w:bookmarkEnd w:id="22"/>
      <w:r w:rsidR="00EA7A81">
        <w:rPr>
          <w:rFonts w:ascii="Arial" w:hAnsi="Arial" w:cs="Arial"/>
          <w:color w:val="202124"/>
          <w:shd w:val="clear" w:color="auto" w:fill="FFFFFF"/>
        </w:rPr>
        <w:t xml:space="preserve">, </w:t>
      </w:r>
      <w:r w:rsidR="008E2210">
        <w:rPr>
          <w:rFonts w:ascii="Arial" w:hAnsi="Arial" w:cs="Arial"/>
          <w:color w:val="202124"/>
          <w:shd w:val="clear" w:color="auto" w:fill="FFFFFF"/>
        </w:rPr>
        <w:t>Z*</w:t>
      </w:r>
      <w:r w:rsidR="00EA7A81">
        <w:rPr>
          <w:rFonts w:ascii="Arial" w:hAnsi="Arial" w:cs="Arial"/>
          <w:color w:val="202124"/>
          <w:shd w:val="clear" w:color="auto" w:fill="FFFFFF"/>
        </w:rPr>
        <w:t xml:space="preserve"> = </w:t>
      </w:r>
      <w:r w:rsidR="008E2210">
        <w:rPr>
          <w:rFonts w:ascii="Arial" w:hAnsi="Arial" w:cs="Arial"/>
          <w:color w:val="202124"/>
          <w:shd w:val="clear" w:color="auto" w:fill="FFFFFF"/>
        </w:rPr>
        <w:t>1.96</w:t>
      </w:r>
    </w:p>
    <w:p w14:paraId="74478EA6" w14:textId="29D097B7" w:rsidR="00921C36" w:rsidRDefault="00921C36" w:rsidP="00921C36">
      <w:pPr>
        <w:spacing w:after="0" w:line="240" w:lineRule="auto"/>
        <w:rPr>
          <w:rFonts w:ascii="Arial" w:hAnsi="Arial" w:cs="Arial"/>
          <w:color w:val="202124"/>
          <w:shd w:val="clear" w:color="auto" w:fill="FFFFFF"/>
        </w:rPr>
      </w:pPr>
      <w:r>
        <w:rPr>
          <w:rFonts w:ascii="Arial" w:hAnsi="Arial" w:cs="Arial"/>
          <w:color w:val="202124"/>
          <w:shd w:val="clear" w:color="auto" w:fill="FFFFFF"/>
        </w:rPr>
        <w:t>Confidence interval = (</w:t>
      </w:r>
      <w:r w:rsidR="008E2210" w:rsidRPr="00CA76DF">
        <w:rPr>
          <w:rFonts w:ascii="Arial" w:hAnsi="Arial" w:cs="Arial"/>
          <w:color w:val="202124"/>
          <w:shd w:val="clear" w:color="auto" w:fill="FFFFFF"/>
        </w:rPr>
        <w:t>28.93</w:t>
      </w:r>
      <w:r>
        <w:rPr>
          <w:rFonts w:ascii="Arial" w:hAnsi="Arial" w:cs="Arial"/>
          <w:color w:val="202124"/>
          <w:shd w:val="clear" w:color="auto" w:fill="FFFFFF"/>
        </w:rPr>
        <w:t xml:space="preserve">– </w:t>
      </w:r>
      <w:r w:rsidR="008E2210" w:rsidRPr="008E2210">
        <w:rPr>
          <w:rFonts w:ascii="Arial" w:hAnsi="Arial" w:cs="Arial"/>
          <w:color w:val="202124"/>
          <w:shd w:val="clear" w:color="auto" w:fill="FFFFFF"/>
        </w:rPr>
        <w:t>9.17</w:t>
      </w:r>
      <w:r>
        <w:rPr>
          <w:rFonts w:ascii="Arial" w:hAnsi="Arial" w:cs="Arial"/>
          <w:color w:val="202124"/>
          <w:shd w:val="clear" w:color="auto" w:fill="FFFFFF"/>
        </w:rPr>
        <w:t>) ±</w:t>
      </w:r>
      <w:r w:rsidR="00EA7A81">
        <w:rPr>
          <w:rFonts w:ascii="Arial" w:hAnsi="Arial" w:cs="Arial"/>
          <w:color w:val="202124"/>
          <w:shd w:val="clear" w:color="auto" w:fill="FFFFFF"/>
        </w:rPr>
        <w:t xml:space="preserve"> </w:t>
      </w:r>
      <w:r w:rsidR="008E2210">
        <w:rPr>
          <w:rFonts w:ascii="Arial" w:hAnsi="Arial" w:cs="Arial"/>
          <w:color w:val="202124"/>
          <w:shd w:val="clear" w:color="auto" w:fill="FFFFFF"/>
        </w:rPr>
        <w:t>1.96</w:t>
      </w:r>
      <w:r w:rsidR="00EA7A81">
        <w:rPr>
          <w:rFonts w:ascii="Arial" w:hAnsi="Arial" w:cs="Arial"/>
          <w:color w:val="202124"/>
          <w:shd w:val="clear" w:color="auto" w:fill="FFFFFF"/>
        </w:rPr>
        <w:t xml:space="preserve"> </w:t>
      </w:r>
      <w:r w:rsidR="00EA7A81" w:rsidRPr="003C0A38">
        <w:rPr>
          <w:rFonts w:ascii="Arial" w:hAnsi="Arial" w:cs="Arial"/>
          <w:color w:val="202124"/>
          <w:shd w:val="clear" w:color="auto" w:fill="FFFFFF"/>
        </w:rPr>
        <w:t>√</w:t>
      </w:r>
      <w:r w:rsidR="00EA7A81">
        <w:rPr>
          <w:rFonts w:ascii="Arial" w:hAnsi="Arial" w:cs="Arial"/>
          <w:color w:val="202124"/>
          <w:shd w:val="clear" w:color="auto" w:fill="FFFFFF"/>
        </w:rPr>
        <w:t xml:space="preserve"> ([</w:t>
      </w:r>
      <w:r w:rsidR="008E2210" w:rsidRPr="008E2210">
        <w:rPr>
          <w:rFonts w:ascii="Arial" w:hAnsi="Arial" w:cs="Arial"/>
          <w:color w:val="202124"/>
          <w:shd w:val="clear" w:color="auto" w:fill="FFFFFF"/>
        </w:rPr>
        <w:t>16.94</w:t>
      </w:r>
      <w:r w:rsidR="00CE2D0B" w:rsidRPr="00CE2D0B">
        <w:rPr>
          <w:rFonts w:ascii="Arial" w:hAnsi="Arial" w:cs="Arial"/>
          <w:color w:val="202124"/>
          <w:shd w:val="clear" w:color="auto" w:fill="FFFFFF"/>
          <w:vertAlign w:val="superscript"/>
        </w:rPr>
        <w:t>2</w:t>
      </w:r>
      <w:r w:rsidR="00EA7A81">
        <w:rPr>
          <w:rFonts w:ascii="Arial" w:hAnsi="Arial" w:cs="Arial"/>
          <w:color w:val="202124"/>
          <w:shd w:val="clear" w:color="auto" w:fill="FFFFFF"/>
        </w:rPr>
        <w:t xml:space="preserve">/ </w:t>
      </w:r>
      <w:r w:rsidR="008E2210" w:rsidRPr="00CA76DF">
        <w:rPr>
          <w:rFonts w:ascii="Arial" w:hAnsi="Arial" w:cs="Arial"/>
          <w:color w:val="202124"/>
          <w:shd w:val="clear" w:color="auto" w:fill="FFFFFF"/>
        </w:rPr>
        <w:t>62372</w:t>
      </w:r>
      <w:r w:rsidR="00EA7A81">
        <w:rPr>
          <w:rFonts w:ascii="Arial" w:hAnsi="Arial" w:cs="Arial"/>
          <w:color w:val="202124"/>
          <w:shd w:val="clear" w:color="auto" w:fill="FFFFFF"/>
        </w:rPr>
        <w:t>] + [</w:t>
      </w:r>
      <w:r w:rsidR="008E2210" w:rsidRPr="008E2210">
        <w:rPr>
          <w:rFonts w:ascii="Arial" w:hAnsi="Arial" w:cs="Arial"/>
          <w:color w:val="202124"/>
          <w:shd w:val="clear" w:color="auto" w:fill="FFFFFF"/>
        </w:rPr>
        <w:t>13.18</w:t>
      </w:r>
      <w:r w:rsidR="00EA7A81" w:rsidRPr="00EA7A81">
        <w:rPr>
          <w:rFonts w:ascii="Arial" w:hAnsi="Arial" w:cs="Arial"/>
          <w:color w:val="202124"/>
          <w:shd w:val="clear" w:color="auto" w:fill="FFFFFF"/>
          <w:vertAlign w:val="superscript"/>
        </w:rPr>
        <w:t>2</w:t>
      </w:r>
      <w:r w:rsidR="00EA7A81">
        <w:rPr>
          <w:rFonts w:ascii="Arial" w:hAnsi="Arial" w:cs="Arial"/>
          <w:color w:val="202124"/>
          <w:shd w:val="clear" w:color="auto" w:fill="FFFFFF"/>
        </w:rPr>
        <w:t>/</w:t>
      </w:r>
      <w:r w:rsidR="008E2210" w:rsidRPr="00CA76DF">
        <w:rPr>
          <w:rFonts w:ascii="Arial" w:hAnsi="Arial" w:cs="Arial"/>
          <w:color w:val="202124"/>
          <w:shd w:val="clear" w:color="auto" w:fill="FFFFFF"/>
        </w:rPr>
        <w:t>2383</w:t>
      </w:r>
      <w:r w:rsidR="00EA7A81">
        <w:rPr>
          <w:rFonts w:ascii="Arial" w:hAnsi="Arial" w:cs="Arial"/>
          <w:color w:val="202124"/>
          <w:shd w:val="clear" w:color="auto" w:fill="FFFFFF"/>
        </w:rPr>
        <w:t>])</w:t>
      </w:r>
      <w:bookmarkEnd w:id="19"/>
    </w:p>
    <w:p w14:paraId="1E6591CD" w14:textId="24508E09" w:rsidR="008E2210" w:rsidRDefault="00EA7A81" w:rsidP="00EA7A81">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8E2210" w:rsidRPr="008E2210">
        <w:rPr>
          <w:rFonts w:ascii="Arial" w:hAnsi="Arial" w:cs="Arial"/>
          <w:color w:val="202124"/>
          <w:shd w:val="clear" w:color="auto" w:fill="FFFFFF"/>
        </w:rPr>
        <w:t>19.76</w:t>
      </w:r>
      <w:r w:rsidR="008E2210">
        <w:rPr>
          <w:rFonts w:ascii="Arial" w:hAnsi="Arial" w:cs="Arial"/>
          <w:color w:val="202124"/>
          <w:shd w:val="clear" w:color="auto" w:fill="FFFFFF"/>
        </w:rPr>
        <w:t xml:space="preserve"> ± 1.96 </w:t>
      </w:r>
      <w:r w:rsidR="008E2210" w:rsidRPr="003C0A38">
        <w:rPr>
          <w:rFonts w:ascii="Arial" w:hAnsi="Arial" w:cs="Arial"/>
          <w:color w:val="202124"/>
          <w:shd w:val="clear" w:color="auto" w:fill="FFFFFF"/>
        </w:rPr>
        <w:t>√</w:t>
      </w:r>
      <w:r w:rsidR="008E2210">
        <w:rPr>
          <w:rFonts w:ascii="Arial" w:hAnsi="Arial" w:cs="Arial"/>
          <w:color w:val="202124"/>
          <w:shd w:val="clear" w:color="auto" w:fill="FFFFFF"/>
        </w:rPr>
        <w:t xml:space="preserve"> </w:t>
      </w:r>
      <w:r w:rsidR="00596056">
        <w:rPr>
          <w:rFonts w:ascii="Arial" w:hAnsi="Arial" w:cs="Arial"/>
          <w:color w:val="202124"/>
          <w:shd w:val="clear" w:color="auto" w:fill="FFFFFF"/>
        </w:rPr>
        <w:t>(0.005</w:t>
      </w:r>
      <w:r w:rsidR="008E2210">
        <w:rPr>
          <w:rFonts w:ascii="Arial" w:hAnsi="Arial" w:cs="Arial"/>
          <w:color w:val="202124"/>
          <w:shd w:val="clear" w:color="auto" w:fill="FFFFFF"/>
        </w:rPr>
        <w:t xml:space="preserve"> + </w:t>
      </w:r>
      <w:r w:rsidR="00596056">
        <w:rPr>
          <w:rFonts w:ascii="Arial" w:hAnsi="Arial" w:cs="Arial"/>
          <w:color w:val="202124"/>
          <w:shd w:val="clear" w:color="auto" w:fill="FFFFFF"/>
        </w:rPr>
        <w:t>0.073)</w:t>
      </w:r>
    </w:p>
    <w:p w14:paraId="5C16C3FA" w14:textId="38BFAFC7" w:rsidR="00EA7A81" w:rsidRPr="00EA7A81" w:rsidRDefault="00EA7A81" w:rsidP="00EA7A81">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596056" w:rsidRPr="008E2210">
        <w:rPr>
          <w:rFonts w:ascii="Arial" w:hAnsi="Arial" w:cs="Arial"/>
          <w:color w:val="202124"/>
          <w:shd w:val="clear" w:color="auto" w:fill="FFFFFF"/>
        </w:rPr>
        <w:t>19.76</w:t>
      </w:r>
      <w:r w:rsidR="00596056">
        <w:rPr>
          <w:rFonts w:ascii="Arial" w:hAnsi="Arial" w:cs="Arial"/>
          <w:color w:val="202124"/>
          <w:shd w:val="clear" w:color="auto" w:fill="FFFFFF"/>
        </w:rPr>
        <w:t xml:space="preserve"> ± 1.96 </w:t>
      </w:r>
      <w:r w:rsidR="00596056" w:rsidRPr="003C0A38">
        <w:rPr>
          <w:rFonts w:ascii="Arial" w:hAnsi="Arial" w:cs="Arial"/>
          <w:color w:val="202124"/>
          <w:shd w:val="clear" w:color="auto" w:fill="FFFFFF"/>
        </w:rPr>
        <w:t>√</w:t>
      </w:r>
      <w:r w:rsidR="00596056">
        <w:rPr>
          <w:rFonts w:ascii="Arial" w:hAnsi="Arial" w:cs="Arial"/>
          <w:color w:val="202124"/>
          <w:shd w:val="clear" w:color="auto" w:fill="FFFFFF"/>
        </w:rPr>
        <w:t xml:space="preserve"> </w:t>
      </w:r>
      <w:r w:rsidR="00596056" w:rsidRPr="00596056">
        <w:rPr>
          <w:rFonts w:ascii="Arial" w:hAnsi="Arial" w:cs="Arial"/>
          <w:color w:val="202124"/>
          <w:shd w:val="clear" w:color="auto" w:fill="FFFFFF"/>
        </w:rPr>
        <w:t>0.078</w:t>
      </w:r>
    </w:p>
    <w:p w14:paraId="34DFAFE9" w14:textId="07440618" w:rsidR="008E2210" w:rsidRDefault="00EA7A81" w:rsidP="00C8727E">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596056" w:rsidRPr="008E2210">
        <w:rPr>
          <w:rFonts w:ascii="Arial" w:hAnsi="Arial" w:cs="Arial"/>
          <w:color w:val="202124"/>
          <w:shd w:val="clear" w:color="auto" w:fill="FFFFFF"/>
        </w:rPr>
        <w:t>19.76</w:t>
      </w:r>
      <w:r w:rsidR="00596056">
        <w:rPr>
          <w:rFonts w:ascii="Arial" w:hAnsi="Arial" w:cs="Arial"/>
          <w:color w:val="202124"/>
          <w:shd w:val="clear" w:color="auto" w:fill="FFFFFF"/>
        </w:rPr>
        <w:t xml:space="preserve"> ± 1.96 (</w:t>
      </w:r>
      <w:bookmarkStart w:id="23" w:name="_Hlk72837997"/>
      <w:r w:rsidR="00596056">
        <w:rPr>
          <w:rFonts w:ascii="Arial" w:hAnsi="Arial" w:cs="Arial"/>
          <w:color w:val="202124"/>
          <w:shd w:val="clear" w:color="auto" w:fill="FFFFFF"/>
        </w:rPr>
        <w:t>0.28</w:t>
      </w:r>
      <w:bookmarkEnd w:id="23"/>
      <w:r w:rsidR="00596056">
        <w:rPr>
          <w:rFonts w:ascii="Arial" w:hAnsi="Arial" w:cs="Arial"/>
          <w:color w:val="202124"/>
          <w:shd w:val="clear" w:color="auto" w:fill="FFFFFF"/>
        </w:rPr>
        <w:t>)</w:t>
      </w:r>
    </w:p>
    <w:p w14:paraId="1ACE5B1E" w14:textId="3D792A29" w:rsidR="00C8727E" w:rsidRDefault="00C8727E" w:rsidP="00C8727E">
      <w:pPr>
        <w:spacing w:after="0" w:line="240" w:lineRule="auto"/>
        <w:rPr>
          <w:rFonts w:ascii="Arial" w:hAnsi="Arial" w:cs="Arial"/>
          <w:color w:val="202124"/>
          <w:sz w:val="45"/>
          <w:szCs w:val="45"/>
          <w:shd w:val="clear" w:color="auto" w:fill="FFFFFF"/>
        </w:rPr>
      </w:pPr>
      <w:r>
        <w:rPr>
          <w:rFonts w:ascii="Arial" w:hAnsi="Arial" w:cs="Arial"/>
          <w:color w:val="202124"/>
          <w:shd w:val="clear" w:color="auto" w:fill="FFFFFF"/>
        </w:rPr>
        <w:t xml:space="preserve">Confidence interval = </w:t>
      </w:r>
      <w:r w:rsidR="00596056" w:rsidRPr="008E2210">
        <w:rPr>
          <w:rFonts w:ascii="Arial" w:hAnsi="Arial" w:cs="Arial"/>
          <w:color w:val="202124"/>
          <w:shd w:val="clear" w:color="auto" w:fill="FFFFFF"/>
        </w:rPr>
        <w:t>19.76</w:t>
      </w:r>
      <w:r w:rsidR="00596056">
        <w:rPr>
          <w:rFonts w:ascii="Arial" w:hAnsi="Arial" w:cs="Arial"/>
          <w:color w:val="202124"/>
          <w:shd w:val="clear" w:color="auto" w:fill="FFFFFF"/>
        </w:rPr>
        <w:t xml:space="preserve"> ± 0.55</w:t>
      </w:r>
    </w:p>
    <w:p w14:paraId="2F2B0777" w14:textId="110720B2" w:rsidR="00C8727E" w:rsidRDefault="00C8727E" w:rsidP="00C8727E">
      <w:pPr>
        <w:spacing w:after="0" w:line="240" w:lineRule="auto"/>
        <w:rPr>
          <w:rFonts w:ascii="Arial" w:hAnsi="Arial" w:cs="Arial"/>
          <w:color w:val="202124"/>
          <w:shd w:val="clear" w:color="auto" w:fill="FFFFFF"/>
        </w:rPr>
      </w:pPr>
      <w:r>
        <w:rPr>
          <w:rFonts w:ascii="Arial" w:hAnsi="Arial" w:cs="Arial"/>
          <w:color w:val="202124"/>
          <w:shd w:val="clear" w:color="auto" w:fill="FFFFFF"/>
        </w:rPr>
        <w:lastRenderedPageBreak/>
        <w:t xml:space="preserve">Confidence interval = </w:t>
      </w:r>
      <w:r w:rsidR="00447EF6" w:rsidRPr="00447EF6">
        <w:rPr>
          <w:rFonts w:ascii="Arial" w:hAnsi="Arial" w:cs="Arial"/>
          <w:color w:val="202124"/>
          <w:shd w:val="clear" w:color="auto" w:fill="FFFFFF"/>
        </w:rPr>
        <w:t>19.21</w:t>
      </w:r>
      <w:r w:rsidRPr="00C8727E">
        <w:rPr>
          <w:rFonts w:ascii="Arial" w:hAnsi="Arial" w:cs="Arial"/>
          <w:color w:val="202124"/>
          <w:shd w:val="clear" w:color="auto" w:fill="FFFFFF"/>
        </w:rPr>
        <w:t>,</w:t>
      </w:r>
      <w:r w:rsidR="00447EF6" w:rsidRPr="00447EF6">
        <w:rPr>
          <w:rFonts w:ascii="Arial" w:hAnsi="Arial" w:cs="Arial"/>
          <w:color w:val="202124"/>
          <w:sz w:val="45"/>
          <w:szCs w:val="45"/>
          <w:shd w:val="clear" w:color="auto" w:fill="FFFFFF"/>
        </w:rPr>
        <w:t xml:space="preserve"> </w:t>
      </w:r>
      <w:r w:rsidR="00447EF6" w:rsidRPr="00447EF6">
        <w:rPr>
          <w:rFonts w:ascii="Arial" w:hAnsi="Arial" w:cs="Arial"/>
          <w:color w:val="202124"/>
          <w:shd w:val="clear" w:color="auto" w:fill="FFFFFF"/>
        </w:rPr>
        <w:t>20.31</w:t>
      </w:r>
    </w:p>
    <w:p w14:paraId="080C478A" w14:textId="77777777" w:rsidR="00C03F76" w:rsidRDefault="00C03F76" w:rsidP="00C03F76">
      <w:pPr>
        <w:spacing w:after="0" w:line="240" w:lineRule="auto"/>
        <w:rPr>
          <w:rFonts w:ascii="Arial" w:hAnsi="Arial" w:cs="Arial"/>
          <w:color w:val="202124"/>
          <w:shd w:val="clear" w:color="auto" w:fill="FFFFFF"/>
        </w:rPr>
      </w:pPr>
    </w:p>
    <w:p w14:paraId="0903D98B" w14:textId="1C2AFBD1" w:rsidR="00C03F76" w:rsidRPr="00C03F76" w:rsidRDefault="00C03F76" w:rsidP="00C03F76">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Interpretation: The percentage of CHWs experiencing stock-out was greater than the </w:t>
      </w:r>
      <w:r w:rsidR="00CA33EA">
        <w:rPr>
          <w:rFonts w:ascii="Arial" w:hAnsi="Arial" w:cs="Arial"/>
          <w:color w:val="202124"/>
          <w:shd w:val="clear" w:color="auto" w:fill="FFFFFF"/>
        </w:rPr>
        <w:t xml:space="preserve">percentage of health facilities experiencing stock-out by about 19.21% and 20.31%. </w:t>
      </w:r>
    </w:p>
    <w:p w14:paraId="39E2D138" w14:textId="3356019F" w:rsidR="00C8727E" w:rsidRDefault="00C8727E" w:rsidP="00C8727E">
      <w:pPr>
        <w:spacing w:after="0" w:line="240" w:lineRule="auto"/>
        <w:rPr>
          <w:rFonts w:ascii="Arial" w:hAnsi="Arial" w:cs="Arial"/>
          <w:color w:val="202124"/>
          <w:shd w:val="clear" w:color="auto" w:fill="FFFFFF"/>
        </w:rPr>
      </w:pPr>
    </w:p>
    <w:p w14:paraId="0588FA0C" w14:textId="72ED4432" w:rsidR="00C03F76" w:rsidRDefault="00C03F76" w:rsidP="00C8727E">
      <w:pPr>
        <w:spacing w:after="0" w:line="240" w:lineRule="auto"/>
        <w:rPr>
          <w:rFonts w:ascii="Arial" w:hAnsi="Arial" w:cs="Arial"/>
          <w:color w:val="202124"/>
          <w:shd w:val="clear" w:color="auto" w:fill="FFFFFF"/>
        </w:rPr>
      </w:pPr>
    </w:p>
    <w:p w14:paraId="049EB466" w14:textId="31CF8F7B" w:rsidR="00894E51" w:rsidRDefault="00CA33EA" w:rsidP="00C8727E">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Calculating the </w:t>
      </w:r>
      <w:r w:rsidR="00673D3B">
        <w:rPr>
          <w:rFonts w:ascii="Arial" w:hAnsi="Arial" w:cs="Arial"/>
          <w:color w:val="202124"/>
          <w:shd w:val="clear" w:color="auto" w:fill="FFFFFF"/>
        </w:rPr>
        <w:t xml:space="preserve">Z-score </w:t>
      </w:r>
      <w:r w:rsidR="00894E51">
        <w:rPr>
          <w:rFonts w:ascii="Arial" w:hAnsi="Arial" w:cs="Arial"/>
          <w:color w:val="202124"/>
          <w:shd w:val="clear" w:color="auto" w:fill="FFFFFF"/>
        </w:rPr>
        <w:t xml:space="preserve">where </w:t>
      </w:r>
      <w:r w:rsidR="00894E51" w:rsidRPr="00894E51">
        <w:rPr>
          <w:rFonts w:ascii="Arial" w:hAnsi="Arial" w:cs="Arial"/>
          <w:color w:val="202124"/>
          <w:shd w:val="clear" w:color="auto" w:fill="FFFFFF"/>
        </w:rPr>
        <w:t>(</w:t>
      </w:r>
      <w:r w:rsidR="00894E51" w:rsidRPr="003C0A38">
        <w:rPr>
          <w:rFonts w:ascii="Arial" w:hAnsi="Arial" w:cs="Arial"/>
          <w:color w:val="202124"/>
          <w:shd w:val="clear" w:color="auto" w:fill="FFFFFF"/>
        </w:rPr>
        <w:t>X̄</w:t>
      </w:r>
      <w:r w:rsidR="00894E51" w:rsidRPr="00894E51">
        <w:rPr>
          <w:rFonts w:ascii="Arial" w:hAnsi="Arial" w:cs="Arial"/>
          <w:color w:val="202124"/>
          <w:shd w:val="clear" w:color="auto" w:fill="FFFFFF"/>
          <w:vertAlign w:val="subscript"/>
        </w:rPr>
        <w:t>1</w:t>
      </w:r>
      <w:r w:rsidR="00894E51" w:rsidRPr="00894E51">
        <w:rPr>
          <w:rFonts w:ascii="Arial" w:hAnsi="Arial" w:cs="Arial"/>
          <w:color w:val="202124"/>
          <w:shd w:val="clear" w:color="auto" w:fill="FFFFFF"/>
        </w:rPr>
        <w:t xml:space="preserve"> – X</w:t>
      </w:r>
      <w:r w:rsidR="00894E51" w:rsidRPr="00894E51">
        <w:rPr>
          <w:rFonts w:ascii="Arial" w:hAnsi="Arial" w:cs="Arial"/>
          <w:color w:val="202124"/>
          <w:shd w:val="clear" w:color="auto" w:fill="FFFFFF"/>
          <w:vertAlign w:val="subscript"/>
        </w:rPr>
        <w:t>2</w:t>
      </w:r>
      <w:r w:rsidR="00894E51" w:rsidRPr="00894E51">
        <w:rPr>
          <w:rFonts w:ascii="Arial" w:hAnsi="Arial" w:cs="Arial"/>
          <w:color w:val="202124"/>
          <w:shd w:val="clear" w:color="auto" w:fill="FFFFFF"/>
        </w:rPr>
        <w:t>)</w:t>
      </w:r>
      <w:r w:rsidR="00894E51">
        <w:rPr>
          <w:rFonts w:ascii="Arial" w:hAnsi="Arial" w:cs="Arial"/>
          <w:color w:val="202124"/>
          <w:shd w:val="clear" w:color="auto" w:fill="FFFFFF"/>
        </w:rPr>
        <w:t xml:space="preserve"> = </w:t>
      </w:r>
      <w:r w:rsidR="00DA4FF9" w:rsidRPr="00DA4FF9">
        <w:rPr>
          <w:rFonts w:ascii="Arial" w:hAnsi="Arial" w:cs="Arial"/>
          <w:color w:val="202124"/>
          <w:shd w:val="clear" w:color="auto" w:fill="FFFFFF"/>
        </w:rPr>
        <w:t xml:space="preserve">19.76 </w:t>
      </w:r>
      <w:r w:rsidR="00894E51">
        <w:rPr>
          <w:rFonts w:ascii="Arial" w:hAnsi="Arial" w:cs="Arial"/>
          <w:color w:val="202124"/>
          <w:shd w:val="clear" w:color="auto" w:fill="FFFFFF"/>
        </w:rPr>
        <w:t xml:space="preserve">and </w:t>
      </w:r>
      <w:r w:rsidR="00894E51" w:rsidRPr="00894E51">
        <w:rPr>
          <w:rFonts w:ascii="Arial" w:hAnsi="Arial" w:cs="Arial"/>
          <w:color w:val="202124"/>
          <w:shd w:val="clear" w:color="auto" w:fill="FFFFFF"/>
        </w:rPr>
        <w:t>√ ([s</w:t>
      </w:r>
      <w:r w:rsidR="00894E51" w:rsidRPr="00894E51">
        <w:rPr>
          <w:rFonts w:ascii="Arial" w:hAnsi="Arial" w:cs="Arial"/>
          <w:color w:val="202124"/>
          <w:shd w:val="clear" w:color="auto" w:fill="FFFFFF"/>
          <w:vertAlign w:val="subscript"/>
        </w:rPr>
        <w:t>1</w:t>
      </w:r>
      <w:r w:rsidR="00894E51" w:rsidRPr="00894E51">
        <w:rPr>
          <w:rFonts w:ascii="Arial" w:hAnsi="Arial" w:cs="Arial"/>
          <w:color w:val="202124"/>
          <w:shd w:val="clear" w:color="auto" w:fill="FFFFFF"/>
          <w:vertAlign w:val="superscript"/>
        </w:rPr>
        <w:t>2</w:t>
      </w:r>
      <w:r w:rsidR="00894E51" w:rsidRPr="00894E51">
        <w:rPr>
          <w:rFonts w:ascii="Arial" w:hAnsi="Arial" w:cs="Arial"/>
          <w:color w:val="202124"/>
          <w:shd w:val="clear" w:color="auto" w:fill="FFFFFF"/>
        </w:rPr>
        <w:t>/n</w:t>
      </w:r>
      <w:r w:rsidR="00894E51" w:rsidRPr="00894E51">
        <w:rPr>
          <w:rFonts w:ascii="Arial" w:hAnsi="Arial" w:cs="Arial"/>
          <w:color w:val="202124"/>
          <w:shd w:val="clear" w:color="auto" w:fill="FFFFFF"/>
          <w:vertAlign w:val="subscript"/>
        </w:rPr>
        <w:t>1</w:t>
      </w:r>
      <w:r w:rsidR="00894E51" w:rsidRPr="00894E51">
        <w:rPr>
          <w:rFonts w:ascii="Arial" w:hAnsi="Arial" w:cs="Arial"/>
          <w:color w:val="202124"/>
          <w:shd w:val="clear" w:color="auto" w:fill="FFFFFF"/>
        </w:rPr>
        <w:t>] + [s</w:t>
      </w:r>
      <w:r w:rsidR="00894E51" w:rsidRPr="00894E51">
        <w:rPr>
          <w:rFonts w:ascii="Arial" w:hAnsi="Arial" w:cs="Arial"/>
          <w:color w:val="202124"/>
          <w:shd w:val="clear" w:color="auto" w:fill="FFFFFF"/>
          <w:vertAlign w:val="subscript"/>
        </w:rPr>
        <w:t>2</w:t>
      </w:r>
      <w:r w:rsidR="00894E51" w:rsidRPr="00894E51">
        <w:rPr>
          <w:rFonts w:ascii="Arial" w:hAnsi="Arial" w:cs="Arial"/>
          <w:color w:val="202124"/>
          <w:shd w:val="clear" w:color="auto" w:fill="FFFFFF"/>
          <w:vertAlign w:val="superscript"/>
        </w:rPr>
        <w:t>2</w:t>
      </w:r>
      <w:r w:rsidR="00894E51" w:rsidRPr="00894E51">
        <w:rPr>
          <w:rFonts w:ascii="Arial" w:hAnsi="Arial" w:cs="Arial"/>
          <w:color w:val="202124"/>
          <w:shd w:val="clear" w:color="auto" w:fill="FFFFFF"/>
        </w:rPr>
        <w:t>/n</w:t>
      </w:r>
      <w:r w:rsidR="00894E51" w:rsidRPr="00894E51">
        <w:rPr>
          <w:rFonts w:ascii="Arial" w:hAnsi="Arial" w:cs="Arial"/>
          <w:color w:val="202124"/>
          <w:shd w:val="clear" w:color="auto" w:fill="FFFFFF"/>
          <w:vertAlign w:val="subscript"/>
        </w:rPr>
        <w:t>2</w:t>
      </w:r>
      <w:r w:rsidR="00894E51" w:rsidRPr="00894E51">
        <w:rPr>
          <w:rFonts w:ascii="Arial" w:hAnsi="Arial" w:cs="Arial"/>
          <w:color w:val="202124"/>
          <w:shd w:val="clear" w:color="auto" w:fill="FFFFFF"/>
        </w:rPr>
        <w:t>])</w:t>
      </w:r>
      <w:r w:rsidR="00894E51">
        <w:rPr>
          <w:rFonts w:ascii="Arial" w:hAnsi="Arial" w:cs="Arial"/>
          <w:color w:val="202124"/>
          <w:shd w:val="clear" w:color="auto" w:fill="FFFFFF"/>
        </w:rPr>
        <w:t xml:space="preserve"> = </w:t>
      </w:r>
      <w:r w:rsidR="00FB4DC3" w:rsidRPr="00FB4DC3">
        <w:rPr>
          <w:rFonts w:ascii="Arial" w:hAnsi="Arial" w:cs="Arial"/>
          <w:color w:val="202124"/>
          <w:shd w:val="clear" w:color="auto" w:fill="FFFFFF"/>
        </w:rPr>
        <w:t>0.28</w:t>
      </w:r>
      <w:r>
        <w:rPr>
          <w:rFonts w:ascii="Arial" w:hAnsi="Arial" w:cs="Arial"/>
          <w:color w:val="202124"/>
          <w:shd w:val="clear" w:color="auto" w:fill="FFFFFF"/>
        </w:rPr>
        <w:t xml:space="preserve">, </w:t>
      </w:r>
      <w:r w:rsidR="00894E51">
        <w:rPr>
          <w:rFonts w:ascii="Arial" w:hAnsi="Arial" w:cs="Arial"/>
          <w:color w:val="202124"/>
          <w:shd w:val="clear" w:color="auto" w:fill="FFFFFF"/>
        </w:rPr>
        <w:t>draw</w:t>
      </w:r>
      <w:r>
        <w:rPr>
          <w:rFonts w:ascii="Arial" w:hAnsi="Arial" w:cs="Arial"/>
          <w:color w:val="202124"/>
          <w:shd w:val="clear" w:color="auto" w:fill="FFFFFF"/>
        </w:rPr>
        <w:t xml:space="preserve">n </w:t>
      </w:r>
      <w:r w:rsidR="00894E51">
        <w:rPr>
          <w:rFonts w:ascii="Arial" w:hAnsi="Arial" w:cs="Arial"/>
          <w:color w:val="202124"/>
          <w:shd w:val="clear" w:color="auto" w:fill="FFFFFF"/>
        </w:rPr>
        <w:t xml:space="preserve">from </w:t>
      </w:r>
      <w:r>
        <w:rPr>
          <w:rFonts w:ascii="Arial" w:hAnsi="Arial" w:cs="Arial"/>
          <w:color w:val="202124"/>
          <w:shd w:val="clear" w:color="auto" w:fill="FFFFFF"/>
        </w:rPr>
        <w:t xml:space="preserve">the </w:t>
      </w:r>
      <w:r w:rsidR="00894E51">
        <w:rPr>
          <w:rFonts w:ascii="Arial" w:hAnsi="Arial" w:cs="Arial"/>
          <w:color w:val="202124"/>
          <w:shd w:val="clear" w:color="auto" w:fill="FFFFFF"/>
        </w:rPr>
        <w:t>solution above</w:t>
      </w:r>
    </w:p>
    <w:p w14:paraId="562F71CC" w14:textId="6922DE45" w:rsidR="00C8727E" w:rsidRDefault="00673D3B" w:rsidP="00C8727E">
      <w:pPr>
        <w:spacing w:after="0" w:line="240" w:lineRule="auto"/>
        <w:rPr>
          <w:rFonts w:ascii="Arial" w:hAnsi="Arial" w:cs="Arial"/>
          <w:color w:val="202124"/>
          <w:shd w:val="clear" w:color="auto" w:fill="FFFFFF"/>
        </w:rPr>
      </w:pPr>
      <w:r>
        <w:rPr>
          <w:rFonts w:ascii="Arial" w:hAnsi="Arial" w:cs="Arial"/>
          <w:color w:val="202124"/>
          <w:shd w:val="clear" w:color="auto" w:fill="FFFFFF"/>
        </w:rPr>
        <w:t>Z-score</w:t>
      </w:r>
      <w:r w:rsidR="00A23A59">
        <w:rPr>
          <w:rFonts w:ascii="Arial" w:hAnsi="Arial" w:cs="Arial"/>
          <w:color w:val="202124"/>
          <w:shd w:val="clear" w:color="auto" w:fill="FFFFFF"/>
        </w:rPr>
        <w:t xml:space="preserve"> = </w:t>
      </w:r>
      <w:r w:rsidRPr="00DA4FF9">
        <w:rPr>
          <w:rFonts w:ascii="Arial" w:hAnsi="Arial" w:cs="Arial"/>
          <w:color w:val="202124"/>
          <w:shd w:val="clear" w:color="auto" w:fill="FFFFFF"/>
        </w:rPr>
        <w:t xml:space="preserve">19.76 </w:t>
      </w:r>
      <w:r w:rsidR="00A23A59">
        <w:rPr>
          <w:rFonts w:ascii="Arial" w:hAnsi="Arial" w:cs="Arial"/>
          <w:color w:val="202124"/>
          <w:shd w:val="clear" w:color="auto" w:fill="FFFFFF"/>
        </w:rPr>
        <w:t xml:space="preserve">/ </w:t>
      </w:r>
      <w:r w:rsidRPr="00596056">
        <w:rPr>
          <w:rFonts w:ascii="Arial" w:hAnsi="Arial" w:cs="Arial"/>
          <w:color w:val="202124"/>
          <w:shd w:val="clear" w:color="auto" w:fill="FFFFFF"/>
        </w:rPr>
        <w:t>0</w:t>
      </w:r>
      <w:r w:rsidR="007E3CC3">
        <w:rPr>
          <w:rFonts w:ascii="Arial" w:hAnsi="Arial" w:cs="Arial"/>
          <w:color w:val="202124"/>
          <w:shd w:val="clear" w:color="auto" w:fill="FFFFFF"/>
        </w:rPr>
        <w:t>.28</w:t>
      </w:r>
      <w:r>
        <w:rPr>
          <w:rFonts w:ascii="Arial" w:hAnsi="Arial" w:cs="Arial"/>
          <w:color w:val="202124"/>
          <w:shd w:val="clear" w:color="auto" w:fill="FFFFFF"/>
        </w:rPr>
        <w:t xml:space="preserve"> </w:t>
      </w:r>
      <w:r w:rsidR="00A23A59">
        <w:rPr>
          <w:rFonts w:ascii="Arial" w:hAnsi="Arial" w:cs="Arial"/>
          <w:color w:val="202124"/>
          <w:shd w:val="clear" w:color="auto" w:fill="FFFFFF"/>
        </w:rPr>
        <w:t xml:space="preserve">= </w:t>
      </w:r>
      <w:r w:rsidR="007E3CC3" w:rsidRPr="007E3CC3">
        <w:rPr>
          <w:rFonts w:ascii="Arial" w:hAnsi="Arial" w:cs="Arial"/>
          <w:color w:val="202124"/>
          <w:shd w:val="clear" w:color="auto" w:fill="FFFFFF"/>
        </w:rPr>
        <w:t>70.57</w:t>
      </w:r>
    </w:p>
    <w:p w14:paraId="4B3E36D4" w14:textId="2315295B" w:rsidR="00A23A59" w:rsidRPr="00AA2DD6" w:rsidRDefault="007E3CC3" w:rsidP="00C8727E">
      <w:pPr>
        <w:spacing w:after="0" w:line="240" w:lineRule="auto"/>
        <w:rPr>
          <w:rFonts w:ascii="Arial" w:hAnsi="Arial" w:cs="Arial"/>
          <w:shd w:val="clear" w:color="auto" w:fill="FFFFFF"/>
        </w:rPr>
      </w:pPr>
      <w:r w:rsidRPr="00AA2DD6">
        <w:rPr>
          <w:rFonts w:ascii="Arial" w:hAnsi="Arial" w:cs="Arial"/>
          <w:shd w:val="clear" w:color="auto" w:fill="FFFFFF"/>
        </w:rPr>
        <w:t xml:space="preserve">70.57 </w:t>
      </w:r>
      <w:r w:rsidR="00FD54AD" w:rsidRPr="00AA2DD6">
        <w:rPr>
          <w:rFonts w:ascii="Arial" w:hAnsi="Arial" w:cs="Arial"/>
          <w:shd w:val="clear" w:color="auto" w:fill="FFFFFF"/>
        </w:rPr>
        <w:t>is greater than critical value of 1.96.</w:t>
      </w:r>
      <w:r w:rsidR="00A23A59" w:rsidRPr="00AA2DD6">
        <w:rPr>
          <w:rFonts w:ascii="Arial" w:hAnsi="Arial" w:cs="Arial"/>
          <w:shd w:val="clear" w:color="auto" w:fill="FFFFFF"/>
        </w:rPr>
        <w:t xml:space="preserve"> Hence, we </w:t>
      </w:r>
      <w:r w:rsidR="00FD54AD" w:rsidRPr="00AA2DD6">
        <w:rPr>
          <w:rFonts w:ascii="Arial" w:hAnsi="Arial" w:cs="Arial"/>
          <w:shd w:val="clear" w:color="auto" w:fill="FFFFFF"/>
        </w:rPr>
        <w:t xml:space="preserve">reject </w:t>
      </w:r>
      <w:r w:rsidR="00A23A59" w:rsidRPr="00AA2DD6">
        <w:rPr>
          <w:rFonts w:ascii="Arial" w:hAnsi="Arial" w:cs="Arial"/>
          <w:shd w:val="clear" w:color="auto" w:fill="FFFFFF"/>
        </w:rPr>
        <w:t>the null hypothesis.</w:t>
      </w:r>
    </w:p>
    <w:p w14:paraId="7DCDA6C2" w14:textId="3295D6D9" w:rsidR="00C8727E" w:rsidRDefault="00C8727E" w:rsidP="00EA7A81">
      <w:pPr>
        <w:spacing w:after="0" w:line="240" w:lineRule="auto"/>
        <w:rPr>
          <w:rFonts w:ascii="Arial" w:hAnsi="Arial" w:cs="Arial"/>
          <w:color w:val="202124"/>
          <w:shd w:val="clear" w:color="auto" w:fill="FFFFFF"/>
        </w:rPr>
      </w:pPr>
    </w:p>
    <w:p w14:paraId="39600598" w14:textId="77777777" w:rsidR="00A23A59" w:rsidRPr="00EA7A81" w:rsidRDefault="00A23A59" w:rsidP="00EA7A81">
      <w:pPr>
        <w:spacing w:after="0" w:line="240" w:lineRule="auto"/>
        <w:rPr>
          <w:rFonts w:ascii="Arial" w:hAnsi="Arial" w:cs="Arial"/>
          <w:color w:val="202124"/>
          <w:shd w:val="clear" w:color="auto" w:fill="FFFFFF"/>
        </w:rPr>
      </w:pPr>
    </w:p>
    <w:p w14:paraId="4AFDB298" w14:textId="35841918" w:rsidR="00315211" w:rsidRDefault="00901F8C" w:rsidP="00901F8C">
      <w:pPr>
        <w:spacing w:after="0" w:line="240" w:lineRule="auto"/>
        <w:rPr>
          <w:rFonts w:ascii="Arial" w:hAnsi="Arial" w:cs="Arial"/>
          <w:color w:val="202124"/>
          <w:shd w:val="clear" w:color="auto" w:fill="FFFFFF"/>
        </w:rPr>
      </w:pPr>
      <w:bookmarkStart w:id="24" w:name="_Hlk71382368"/>
      <w:r w:rsidRPr="00901F8C">
        <w:rPr>
          <w:rFonts w:ascii="Arial" w:hAnsi="Arial" w:cs="Arial"/>
          <w:color w:val="202124"/>
          <w:shd w:val="clear" w:color="auto" w:fill="FFFFFF"/>
        </w:rPr>
        <w:t>The number </w:t>
      </w:r>
      <w:r w:rsidR="007E3CC3" w:rsidRPr="007E3CC3">
        <w:rPr>
          <w:rFonts w:ascii="Arial" w:hAnsi="Arial" w:cs="Arial"/>
          <w:color w:val="202124"/>
          <w:shd w:val="clear" w:color="auto" w:fill="FFFFFF"/>
        </w:rPr>
        <w:t>70.57</w:t>
      </w:r>
      <w:r w:rsidR="007E3CC3">
        <w:rPr>
          <w:rFonts w:ascii="Arial" w:hAnsi="Arial" w:cs="Arial"/>
          <w:color w:val="202124"/>
          <w:shd w:val="clear" w:color="auto" w:fill="FFFFFF"/>
        </w:rPr>
        <w:t xml:space="preserve"> </w:t>
      </w:r>
      <w:r w:rsidRPr="00901F8C">
        <w:rPr>
          <w:rFonts w:ascii="Arial" w:hAnsi="Arial" w:cs="Arial"/>
          <w:color w:val="202124"/>
          <w:shd w:val="clear" w:color="auto" w:fill="FFFFFF"/>
        </w:rPr>
        <w:t xml:space="preserve">is too large to appear in </w:t>
      </w:r>
      <w:r>
        <w:rPr>
          <w:rFonts w:ascii="Arial" w:hAnsi="Arial" w:cs="Arial"/>
          <w:color w:val="202124"/>
          <w:shd w:val="clear" w:color="auto" w:fill="FFFFFF"/>
        </w:rPr>
        <w:t>Z-table</w:t>
      </w:r>
      <w:r w:rsidR="00622BF2">
        <w:rPr>
          <w:rFonts w:ascii="Arial" w:hAnsi="Arial" w:cs="Arial"/>
          <w:color w:val="202124"/>
          <w:shd w:val="clear" w:color="auto" w:fill="FFFFFF"/>
        </w:rPr>
        <w:t xml:space="preserve"> </w:t>
      </w:r>
      <w:bookmarkStart w:id="25" w:name="_Hlk73118579"/>
      <w:r w:rsidR="00622BF2">
        <w:rPr>
          <w:rFonts w:ascii="Arial" w:hAnsi="Arial" w:cs="Arial"/>
          <w:color w:val="202124"/>
          <w:shd w:val="clear" w:color="auto" w:fill="FFFFFF"/>
        </w:rPr>
        <w:t xml:space="preserve">and the </w:t>
      </w:r>
      <w:r w:rsidR="00315211">
        <w:rPr>
          <w:rFonts w:ascii="Arial" w:hAnsi="Arial" w:cs="Arial"/>
          <w:color w:val="202124"/>
          <w:shd w:val="clear" w:color="auto" w:fill="FFFFFF"/>
        </w:rPr>
        <w:t xml:space="preserve">vast majority </w:t>
      </w:r>
      <w:r w:rsidR="00622BF2">
        <w:rPr>
          <w:rFonts w:ascii="Arial" w:hAnsi="Arial" w:cs="Arial"/>
          <w:color w:val="202124"/>
          <w:shd w:val="clear" w:color="auto" w:fill="FFFFFF"/>
        </w:rPr>
        <w:t xml:space="preserve">(close to 1) </w:t>
      </w:r>
      <w:r w:rsidR="00315211">
        <w:rPr>
          <w:rFonts w:ascii="Arial" w:hAnsi="Arial" w:cs="Arial"/>
          <w:color w:val="202124"/>
          <w:shd w:val="clear" w:color="auto" w:fill="FFFFFF"/>
        </w:rPr>
        <w:t>of the area in the normal curve lies to the left of this Z-score.</w:t>
      </w:r>
    </w:p>
    <w:p w14:paraId="70929061" w14:textId="435656DD" w:rsidR="00901F8C" w:rsidRPr="00901F8C" w:rsidRDefault="00315211" w:rsidP="00901F8C">
      <w:pPr>
        <w:spacing w:after="0" w:line="240" w:lineRule="auto"/>
        <w:rPr>
          <w:rFonts w:ascii="Arial" w:hAnsi="Arial" w:cs="Arial"/>
          <w:color w:val="202124"/>
          <w:shd w:val="clear" w:color="auto" w:fill="FFFFFF"/>
        </w:rPr>
      </w:pPr>
      <w:bookmarkStart w:id="26" w:name="_Hlk73118729"/>
      <w:bookmarkEnd w:id="25"/>
      <w:r>
        <w:rPr>
          <w:rFonts w:ascii="Arial" w:hAnsi="Arial" w:cs="Arial"/>
          <w:color w:val="202124"/>
          <w:shd w:val="clear" w:color="auto" w:fill="FFFFFF"/>
        </w:rPr>
        <w:t xml:space="preserve">Therefore p(Z-score) = </w:t>
      </w:r>
      <w:r w:rsidR="00901F8C" w:rsidRPr="00901F8C">
        <w:rPr>
          <w:rFonts w:ascii="Arial" w:hAnsi="Arial" w:cs="Arial"/>
          <w:color w:val="202124"/>
          <w:shd w:val="clear" w:color="auto" w:fill="FFFFFF"/>
        </w:rPr>
        <w:t>1−1.0000</w:t>
      </w:r>
      <w:r w:rsidR="00A4571C">
        <w:rPr>
          <w:rFonts w:ascii="Arial" w:hAnsi="Arial" w:cs="Arial"/>
          <w:color w:val="202124"/>
          <w:shd w:val="clear" w:color="auto" w:fill="FFFFFF"/>
        </w:rPr>
        <w:t xml:space="preserve"> </w:t>
      </w:r>
      <w:r w:rsidR="00901F8C" w:rsidRPr="00901F8C">
        <w:rPr>
          <w:rFonts w:ascii="Arial" w:hAnsi="Arial" w:cs="Arial"/>
          <w:color w:val="202124"/>
          <w:shd w:val="clear" w:color="auto" w:fill="FFFFFF"/>
        </w:rPr>
        <w:t>=</w:t>
      </w:r>
      <w:r w:rsidR="00A4571C">
        <w:rPr>
          <w:rFonts w:ascii="Arial" w:hAnsi="Arial" w:cs="Arial"/>
          <w:color w:val="202124"/>
          <w:shd w:val="clear" w:color="auto" w:fill="FFFFFF"/>
        </w:rPr>
        <w:t xml:space="preserve"> </w:t>
      </w:r>
      <w:r w:rsidR="00901F8C" w:rsidRPr="00901F8C">
        <w:rPr>
          <w:rFonts w:ascii="Arial" w:hAnsi="Arial" w:cs="Arial"/>
          <w:color w:val="202124"/>
          <w:shd w:val="clear" w:color="auto" w:fill="FFFFFF"/>
        </w:rPr>
        <w:t>0.0000</w:t>
      </w:r>
      <w:r w:rsidR="00A4571C">
        <w:rPr>
          <w:rFonts w:ascii="Arial" w:hAnsi="Arial" w:cs="Arial"/>
          <w:color w:val="202124"/>
          <w:shd w:val="clear" w:color="auto" w:fill="FFFFFF"/>
        </w:rPr>
        <w:t xml:space="preserve">. The </w:t>
      </w:r>
      <w:r w:rsidR="00901F8C" w:rsidRPr="00901F8C">
        <w:rPr>
          <w:rFonts w:ascii="Arial" w:hAnsi="Arial" w:cs="Arial"/>
          <w:color w:val="202124"/>
          <w:shd w:val="clear" w:color="auto" w:fill="FFFFFF"/>
        </w:rPr>
        <w:t>p-value</w:t>
      </w:r>
      <w:r w:rsidR="00A4571C">
        <w:rPr>
          <w:rFonts w:ascii="Arial" w:hAnsi="Arial" w:cs="Arial"/>
          <w:color w:val="202124"/>
          <w:shd w:val="clear" w:color="auto" w:fill="FFFFFF"/>
        </w:rPr>
        <w:t xml:space="preserve"> </w:t>
      </w:r>
      <w:r w:rsidR="00901F8C" w:rsidRPr="00901F8C">
        <w:rPr>
          <w:rFonts w:ascii="Arial" w:hAnsi="Arial" w:cs="Arial"/>
          <w:color w:val="202124"/>
          <w:shd w:val="clear" w:color="auto" w:fill="FFFFFF"/>
        </w:rPr>
        <w:t>=</w:t>
      </w:r>
      <w:r w:rsidR="00A4571C">
        <w:rPr>
          <w:rFonts w:ascii="Arial" w:hAnsi="Arial" w:cs="Arial"/>
          <w:color w:val="202124"/>
          <w:shd w:val="clear" w:color="auto" w:fill="FFFFFF"/>
        </w:rPr>
        <w:t xml:space="preserve"> </w:t>
      </w:r>
      <w:r w:rsidR="00901F8C" w:rsidRPr="00901F8C">
        <w:rPr>
          <w:rFonts w:ascii="Arial" w:hAnsi="Arial" w:cs="Arial"/>
          <w:color w:val="202124"/>
          <w:shd w:val="clear" w:color="auto" w:fill="FFFFFF"/>
        </w:rPr>
        <w:t>0.0000</w:t>
      </w:r>
    </w:p>
    <w:bookmarkEnd w:id="26"/>
    <w:p w14:paraId="4632F134" w14:textId="77777777" w:rsidR="00901F8C" w:rsidRDefault="00901F8C" w:rsidP="00921C36">
      <w:pPr>
        <w:spacing w:after="0" w:line="240" w:lineRule="auto"/>
        <w:rPr>
          <w:rFonts w:ascii="Arial" w:hAnsi="Arial" w:cs="Arial"/>
          <w:color w:val="202124"/>
          <w:shd w:val="clear" w:color="auto" w:fill="FFFFFF"/>
        </w:rPr>
      </w:pPr>
    </w:p>
    <w:bookmarkEnd w:id="24"/>
    <w:p w14:paraId="5BAA5260" w14:textId="57C32883" w:rsidR="00BE1DBC" w:rsidRDefault="00A4571C" w:rsidP="00921C36">
      <w:pPr>
        <w:spacing w:after="0" w:line="240" w:lineRule="auto"/>
        <w:rPr>
          <w:rFonts w:ascii="Arial" w:hAnsi="Arial" w:cs="Arial"/>
          <w:color w:val="202124"/>
          <w:shd w:val="clear" w:color="auto" w:fill="FFFFFF"/>
        </w:rPr>
      </w:pPr>
      <w:r w:rsidRPr="00A4571C">
        <w:rPr>
          <w:rFonts w:ascii="Arial" w:hAnsi="Arial" w:cs="Arial"/>
          <w:color w:val="202124"/>
          <w:shd w:val="clear" w:color="auto" w:fill="FFFFFF"/>
        </w:rPr>
        <w:t>The data provide sufficient evidence, at the </w:t>
      </w:r>
      <w:r>
        <w:rPr>
          <w:rFonts w:ascii="Arial" w:hAnsi="Arial" w:cs="Arial"/>
          <w:color w:val="202124"/>
          <w:shd w:val="clear" w:color="auto" w:fill="FFFFFF"/>
        </w:rPr>
        <w:t>5</w:t>
      </w:r>
      <w:r w:rsidRPr="00A4571C">
        <w:rPr>
          <w:rFonts w:ascii="Arial" w:hAnsi="Arial" w:cs="Arial"/>
          <w:color w:val="202124"/>
          <w:shd w:val="clear" w:color="auto" w:fill="FFFFFF"/>
        </w:rPr>
        <w:t>%</w:t>
      </w:r>
      <w:r>
        <w:rPr>
          <w:rFonts w:ascii="Arial" w:hAnsi="Arial" w:cs="Arial"/>
          <w:color w:val="202124"/>
          <w:shd w:val="clear" w:color="auto" w:fill="FFFFFF"/>
        </w:rPr>
        <w:t xml:space="preserve"> </w:t>
      </w:r>
      <w:r w:rsidRPr="00A4571C">
        <w:rPr>
          <w:rFonts w:ascii="Arial" w:hAnsi="Arial" w:cs="Arial"/>
          <w:color w:val="202124"/>
          <w:shd w:val="clear" w:color="auto" w:fill="FFFFFF"/>
        </w:rPr>
        <w:t>level of significance, to conclude that the</w:t>
      </w:r>
      <w:r>
        <w:rPr>
          <w:rFonts w:ascii="Arial" w:hAnsi="Arial" w:cs="Arial"/>
          <w:color w:val="202124"/>
          <w:shd w:val="clear" w:color="auto" w:fill="FFFFFF"/>
        </w:rPr>
        <w:t xml:space="preserve">re is a difference between CHW and </w:t>
      </w:r>
      <w:r w:rsidR="003B6CF7">
        <w:rPr>
          <w:rFonts w:ascii="Arial" w:hAnsi="Arial" w:cs="Arial"/>
          <w:color w:val="202124"/>
          <w:shd w:val="clear" w:color="auto" w:fill="FFFFFF"/>
        </w:rPr>
        <w:t>center</w:t>
      </w:r>
      <w:r>
        <w:rPr>
          <w:rFonts w:ascii="Arial" w:hAnsi="Arial" w:cs="Arial"/>
          <w:color w:val="202124"/>
          <w:shd w:val="clear" w:color="auto" w:fill="FFFFFF"/>
        </w:rPr>
        <w:t xml:space="preserve"> level stock-out.</w:t>
      </w:r>
    </w:p>
    <w:p w14:paraId="643F2BE4" w14:textId="6683C156" w:rsidR="00BE1DBC" w:rsidRDefault="00BE1DBC" w:rsidP="00921C36">
      <w:pPr>
        <w:spacing w:after="0" w:line="240" w:lineRule="auto"/>
        <w:rPr>
          <w:rFonts w:ascii="Arial" w:hAnsi="Arial" w:cs="Arial"/>
          <w:color w:val="202124"/>
          <w:shd w:val="clear" w:color="auto" w:fill="FFFFFF"/>
        </w:rPr>
      </w:pPr>
    </w:p>
    <w:p w14:paraId="679CF594" w14:textId="0B8619D7" w:rsidR="00BE1DBC" w:rsidRDefault="00BE1DBC" w:rsidP="00921C36">
      <w:pPr>
        <w:spacing w:after="0" w:line="240" w:lineRule="auto"/>
        <w:rPr>
          <w:rFonts w:ascii="Arial" w:hAnsi="Arial" w:cs="Arial"/>
          <w:color w:val="202124"/>
          <w:shd w:val="clear" w:color="auto" w:fill="FFFFFF"/>
        </w:rPr>
      </w:pPr>
    </w:p>
    <w:p w14:paraId="329A163D" w14:textId="1D7010EC" w:rsidR="00BE1DBC" w:rsidRPr="009415E8" w:rsidRDefault="00BE1DBC" w:rsidP="00921C36">
      <w:pPr>
        <w:spacing w:after="0" w:line="240" w:lineRule="auto"/>
        <w:rPr>
          <w:rFonts w:ascii="Arial" w:hAnsi="Arial" w:cs="Arial"/>
          <w:b/>
          <w:bCs/>
          <w:i/>
          <w:iCs/>
          <w:color w:val="202124"/>
          <w:shd w:val="clear" w:color="auto" w:fill="FFFFFF"/>
        </w:rPr>
      </w:pPr>
      <w:r w:rsidRPr="009415E8">
        <w:rPr>
          <w:rFonts w:ascii="Arial" w:hAnsi="Arial" w:cs="Arial"/>
          <w:b/>
          <w:bCs/>
          <w:i/>
          <w:iCs/>
          <w:color w:val="202124"/>
          <w:shd w:val="clear" w:color="auto" w:fill="FFFFFF"/>
        </w:rPr>
        <w:t xml:space="preserve">Period 2006- 2015 vs period 2016-2021 </w:t>
      </w:r>
    </w:p>
    <w:p w14:paraId="6F45FE21" w14:textId="6B33345E" w:rsidR="0061361D" w:rsidRDefault="0061361D" w:rsidP="00921C36">
      <w:pPr>
        <w:spacing w:after="0" w:line="240" w:lineRule="auto"/>
        <w:rPr>
          <w:rFonts w:ascii="Arial" w:hAnsi="Arial" w:cs="Arial"/>
          <w:color w:val="202124"/>
          <w:shd w:val="clear" w:color="auto" w:fill="FFFFFF"/>
        </w:rPr>
      </w:pPr>
    </w:p>
    <w:p w14:paraId="266CE812" w14:textId="31334DA4" w:rsidR="0061361D" w:rsidRDefault="001B4BEF" w:rsidP="00921C36">
      <w:pPr>
        <w:spacing w:after="0" w:line="240" w:lineRule="auto"/>
        <w:rPr>
          <w:rFonts w:ascii="Arial" w:hAnsi="Arial" w:cs="Arial"/>
          <w:color w:val="202124"/>
          <w:shd w:val="clear" w:color="auto" w:fill="FFFFFF"/>
        </w:rPr>
      </w:pPr>
      <w:bookmarkStart w:id="27" w:name="_Hlk72792820"/>
      <w:r>
        <w:rPr>
          <w:rFonts w:ascii="Arial" w:hAnsi="Arial" w:cs="Arial"/>
          <w:color w:val="202124"/>
          <w:shd w:val="clear" w:color="auto" w:fill="FFFFFF"/>
        </w:rPr>
        <w:t>a</w:t>
      </w:r>
      <w:r w:rsidR="0061361D">
        <w:rPr>
          <w:rFonts w:ascii="Arial" w:hAnsi="Arial" w:cs="Arial"/>
          <w:color w:val="202124"/>
          <w:shd w:val="clear" w:color="auto" w:fill="FFFFFF"/>
        </w:rPr>
        <w:t xml:space="preserve">. Comparing difference in </w:t>
      </w:r>
      <w:r w:rsidR="009415E8">
        <w:rPr>
          <w:rFonts w:ascii="Arial" w:hAnsi="Arial" w:cs="Arial"/>
          <w:color w:val="202124"/>
          <w:shd w:val="clear" w:color="auto" w:fill="FFFFFF"/>
        </w:rPr>
        <w:t xml:space="preserve">CHW </w:t>
      </w:r>
      <w:r w:rsidR="0061361D">
        <w:rPr>
          <w:rFonts w:ascii="Arial" w:hAnsi="Arial" w:cs="Arial"/>
          <w:color w:val="202124"/>
          <w:shd w:val="clear" w:color="auto" w:fill="FFFFFF"/>
        </w:rPr>
        <w:t>stock</w:t>
      </w:r>
      <w:r w:rsidR="002D11CE">
        <w:rPr>
          <w:rFonts w:ascii="Arial" w:hAnsi="Arial" w:cs="Arial"/>
          <w:color w:val="202124"/>
          <w:shd w:val="clear" w:color="auto" w:fill="FFFFFF"/>
        </w:rPr>
        <w:t>-</w:t>
      </w:r>
      <w:r w:rsidR="0061361D">
        <w:rPr>
          <w:rFonts w:ascii="Arial" w:hAnsi="Arial" w:cs="Arial"/>
          <w:color w:val="202124"/>
          <w:shd w:val="clear" w:color="auto" w:fill="FFFFFF"/>
        </w:rPr>
        <w:t>out during the two periods.</w:t>
      </w:r>
    </w:p>
    <w:p w14:paraId="78923C4D" w14:textId="1D204458" w:rsidR="0061361D" w:rsidRDefault="0061361D" w:rsidP="00921C36">
      <w:pPr>
        <w:spacing w:after="0" w:line="240" w:lineRule="auto"/>
        <w:rPr>
          <w:rFonts w:ascii="Arial" w:hAnsi="Arial" w:cs="Arial"/>
          <w:color w:val="202124"/>
          <w:shd w:val="clear" w:color="auto" w:fill="FFFFFF"/>
        </w:rPr>
      </w:pPr>
    </w:p>
    <w:p w14:paraId="467CA0C9" w14:textId="41682230" w:rsidR="0061361D" w:rsidRDefault="0061361D" w:rsidP="0061361D">
      <w:pPr>
        <w:spacing w:after="0" w:line="240" w:lineRule="auto"/>
        <w:rPr>
          <w:rFonts w:ascii="Arial" w:hAnsi="Arial" w:cs="Arial"/>
          <w:color w:val="202124"/>
          <w:shd w:val="clear" w:color="auto" w:fill="FFFFFF"/>
        </w:rPr>
      </w:pPr>
      <w:r>
        <w:rPr>
          <w:rFonts w:ascii="Arial" w:hAnsi="Arial" w:cs="Arial"/>
          <w:color w:val="202124"/>
          <w:shd w:val="clear" w:color="auto" w:fill="FFFFFF"/>
        </w:rPr>
        <w:t>X</w:t>
      </w:r>
      <w:r w:rsidRPr="00921C36">
        <w:rPr>
          <w:rFonts w:ascii="Arial" w:hAnsi="Arial" w:cs="Arial"/>
          <w:color w:val="202124"/>
          <w:shd w:val="clear" w:color="auto" w:fill="FFFFFF"/>
          <w:vertAlign w:val="subscript"/>
        </w:rPr>
        <w:t>1</w:t>
      </w:r>
      <w:r>
        <w:rPr>
          <w:rFonts w:ascii="Arial" w:hAnsi="Arial" w:cs="Arial"/>
          <w:color w:val="202124"/>
          <w:shd w:val="clear" w:color="auto" w:fill="FFFFFF"/>
        </w:rPr>
        <w:t xml:space="preserve"> = </w:t>
      </w:r>
      <w:bookmarkStart w:id="28" w:name="_Hlk72790660"/>
      <w:r w:rsidR="00A4571C" w:rsidRPr="00A4571C">
        <w:rPr>
          <w:rFonts w:ascii="Arial" w:hAnsi="Arial" w:cs="Arial"/>
          <w:color w:val="202124"/>
          <w:shd w:val="clear" w:color="auto" w:fill="FFFFFF"/>
        </w:rPr>
        <w:t>26.36</w:t>
      </w:r>
      <w:bookmarkEnd w:id="28"/>
      <w:r>
        <w:rPr>
          <w:rFonts w:ascii="Arial" w:hAnsi="Arial" w:cs="Arial"/>
          <w:color w:val="202124"/>
          <w:shd w:val="clear" w:color="auto" w:fill="FFFFFF"/>
        </w:rPr>
        <w:t>, X</w:t>
      </w:r>
      <w:r w:rsidRPr="00921C36">
        <w:rPr>
          <w:rFonts w:ascii="Arial" w:hAnsi="Arial" w:cs="Arial"/>
          <w:color w:val="202124"/>
          <w:shd w:val="clear" w:color="auto" w:fill="FFFFFF"/>
          <w:vertAlign w:val="subscript"/>
        </w:rPr>
        <w:t>2</w:t>
      </w:r>
      <w:r>
        <w:rPr>
          <w:rFonts w:ascii="Arial" w:hAnsi="Arial" w:cs="Arial"/>
          <w:color w:val="202124"/>
          <w:shd w:val="clear" w:color="auto" w:fill="FFFFFF"/>
        </w:rPr>
        <w:t xml:space="preserve"> = </w:t>
      </w:r>
      <w:bookmarkStart w:id="29" w:name="_Hlk72790674"/>
      <w:r w:rsidR="003B3DD1" w:rsidRPr="003B3DD1">
        <w:rPr>
          <w:rFonts w:ascii="Arial" w:hAnsi="Arial" w:cs="Arial"/>
          <w:color w:val="202124"/>
          <w:shd w:val="clear" w:color="auto" w:fill="FFFFFF"/>
        </w:rPr>
        <w:t>48.65</w:t>
      </w:r>
      <w:bookmarkEnd w:id="29"/>
      <w:r w:rsidR="008275BC">
        <w:rPr>
          <w:rFonts w:ascii="Arial" w:hAnsi="Arial" w:cs="Arial"/>
          <w:color w:val="202124"/>
          <w:shd w:val="clear" w:color="auto" w:fill="FFFFFF"/>
        </w:rPr>
        <w:t>,</w:t>
      </w:r>
      <w:r>
        <w:rPr>
          <w:rFonts w:ascii="Arial" w:hAnsi="Arial" w:cs="Arial"/>
          <w:color w:val="202124"/>
          <w:shd w:val="clear" w:color="auto" w:fill="FFFFFF"/>
        </w:rPr>
        <w:t xml:space="preserve"> n</w:t>
      </w:r>
      <w:r w:rsidRPr="00921C36">
        <w:rPr>
          <w:rFonts w:ascii="Arial" w:hAnsi="Arial" w:cs="Arial"/>
          <w:color w:val="202124"/>
          <w:shd w:val="clear" w:color="auto" w:fill="FFFFFF"/>
          <w:vertAlign w:val="subscript"/>
        </w:rPr>
        <w:t>1</w:t>
      </w:r>
      <w:r>
        <w:rPr>
          <w:rFonts w:ascii="Arial" w:hAnsi="Arial" w:cs="Arial"/>
          <w:color w:val="202124"/>
          <w:shd w:val="clear" w:color="auto" w:fill="FFFFFF"/>
        </w:rPr>
        <w:t xml:space="preserve"> = </w:t>
      </w:r>
      <w:bookmarkStart w:id="30" w:name="_Hlk72790736"/>
      <w:r w:rsidR="003B3DD1" w:rsidRPr="003B3DD1">
        <w:rPr>
          <w:rFonts w:ascii="Arial" w:hAnsi="Arial" w:cs="Arial"/>
          <w:color w:val="202124"/>
          <w:shd w:val="clear" w:color="auto" w:fill="FFFFFF"/>
        </w:rPr>
        <w:t>55173</w:t>
      </w:r>
      <w:bookmarkEnd w:id="30"/>
      <w:r>
        <w:rPr>
          <w:rFonts w:ascii="Arial" w:hAnsi="Arial" w:cs="Arial"/>
          <w:color w:val="202124"/>
          <w:shd w:val="clear" w:color="auto" w:fill="FFFFFF"/>
        </w:rPr>
        <w:t>, n</w:t>
      </w:r>
      <w:r w:rsidRPr="00921C36">
        <w:rPr>
          <w:rFonts w:ascii="Arial" w:hAnsi="Arial" w:cs="Arial"/>
          <w:color w:val="202124"/>
          <w:shd w:val="clear" w:color="auto" w:fill="FFFFFF"/>
          <w:vertAlign w:val="subscript"/>
        </w:rPr>
        <w:t>2</w:t>
      </w:r>
      <w:r>
        <w:rPr>
          <w:rFonts w:ascii="Arial" w:hAnsi="Arial" w:cs="Arial"/>
          <w:color w:val="202124"/>
          <w:shd w:val="clear" w:color="auto" w:fill="FFFFFF"/>
        </w:rPr>
        <w:t xml:space="preserve"> = </w:t>
      </w:r>
      <w:bookmarkStart w:id="31" w:name="_Hlk72790784"/>
      <w:r w:rsidR="003B3DD1" w:rsidRPr="003B3DD1">
        <w:rPr>
          <w:rFonts w:ascii="Arial" w:hAnsi="Arial" w:cs="Arial"/>
          <w:color w:val="202124"/>
          <w:shd w:val="clear" w:color="auto" w:fill="FFFFFF"/>
        </w:rPr>
        <w:t>7199</w:t>
      </w:r>
      <w:bookmarkEnd w:id="31"/>
      <w:r>
        <w:rPr>
          <w:rFonts w:ascii="Arial" w:hAnsi="Arial" w:cs="Arial"/>
          <w:color w:val="202124"/>
          <w:shd w:val="clear" w:color="auto" w:fill="FFFFFF"/>
        </w:rPr>
        <w:t>, s</w:t>
      </w:r>
      <w:r w:rsidRPr="00921C36">
        <w:rPr>
          <w:rFonts w:ascii="Arial" w:hAnsi="Arial" w:cs="Arial"/>
          <w:color w:val="202124"/>
          <w:shd w:val="clear" w:color="auto" w:fill="FFFFFF"/>
          <w:vertAlign w:val="subscript"/>
        </w:rPr>
        <w:t>1</w:t>
      </w:r>
      <w:r>
        <w:rPr>
          <w:rFonts w:ascii="Arial" w:hAnsi="Arial" w:cs="Arial"/>
          <w:color w:val="202124"/>
          <w:shd w:val="clear" w:color="auto" w:fill="FFFFFF"/>
        </w:rPr>
        <w:t xml:space="preserve"> = </w:t>
      </w:r>
      <w:bookmarkStart w:id="32" w:name="_Hlk72790714"/>
      <w:r w:rsidR="003B3DD1" w:rsidRPr="003B3DD1">
        <w:rPr>
          <w:rFonts w:ascii="Arial" w:hAnsi="Arial" w:cs="Arial"/>
          <w:color w:val="202124"/>
          <w:shd w:val="clear" w:color="auto" w:fill="FFFFFF"/>
        </w:rPr>
        <w:t>15.51</w:t>
      </w:r>
      <w:bookmarkEnd w:id="32"/>
      <w:r>
        <w:rPr>
          <w:rFonts w:ascii="Arial" w:hAnsi="Arial" w:cs="Arial"/>
          <w:color w:val="202124"/>
          <w:shd w:val="clear" w:color="auto" w:fill="FFFFFF"/>
        </w:rPr>
        <w:t>, s</w:t>
      </w:r>
      <w:r w:rsidRPr="00921C36">
        <w:rPr>
          <w:rFonts w:ascii="Arial" w:hAnsi="Arial" w:cs="Arial"/>
          <w:color w:val="202124"/>
          <w:shd w:val="clear" w:color="auto" w:fill="FFFFFF"/>
          <w:vertAlign w:val="subscript"/>
        </w:rPr>
        <w:t>2</w:t>
      </w:r>
      <w:r>
        <w:rPr>
          <w:rFonts w:ascii="Arial" w:hAnsi="Arial" w:cs="Arial"/>
          <w:color w:val="202124"/>
          <w:shd w:val="clear" w:color="auto" w:fill="FFFFFF"/>
        </w:rPr>
        <w:t xml:space="preserve"> = </w:t>
      </w:r>
      <w:bookmarkStart w:id="33" w:name="_Hlk72790752"/>
      <w:r w:rsidR="003B3DD1" w:rsidRPr="003B3DD1">
        <w:rPr>
          <w:rFonts w:ascii="Arial" w:hAnsi="Arial" w:cs="Arial"/>
          <w:color w:val="202124"/>
          <w:shd w:val="clear" w:color="auto" w:fill="FFFFFF"/>
        </w:rPr>
        <w:t>26.97</w:t>
      </w:r>
      <w:bookmarkEnd w:id="33"/>
      <w:r>
        <w:rPr>
          <w:rFonts w:ascii="Arial" w:hAnsi="Arial" w:cs="Arial"/>
          <w:color w:val="202124"/>
          <w:shd w:val="clear" w:color="auto" w:fill="FFFFFF"/>
        </w:rPr>
        <w:t xml:space="preserve">, </w:t>
      </w:r>
      <w:r w:rsidR="003B3DD1">
        <w:rPr>
          <w:rFonts w:ascii="Arial" w:hAnsi="Arial" w:cs="Arial"/>
          <w:color w:val="202124"/>
          <w:shd w:val="clear" w:color="auto" w:fill="FFFFFF"/>
        </w:rPr>
        <w:t>Z*</w:t>
      </w:r>
      <w:r>
        <w:rPr>
          <w:rFonts w:ascii="Arial" w:hAnsi="Arial" w:cs="Arial"/>
          <w:color w:val="202124"/>
          <w:shd w:val="clear" w:color="auto" w:fill="FFFFFF"/>
        </w:rPr>
        <w:t xml:space="preserve"> = </w:t>
      </w:r>
      <w:bookmarkStart w:id="34" w:name="_Hlk71999895"/>
      <w:r w:rsidR="003B3DD1">
        <w:rPr>
          <w:rFonts w:ascii="Arial" w:hAnsi="Arial" w:cs="Arial"/>
          <w:color w:val="202124"/>
          <w:shd w:val="clear" w:color="auto" w:fill="FFFFFF"/>
        </w:rPr>
        <w:t>1.96</w:t>
      </w:r>
      <w:bookmarkEnd w:id="34"/>
    </w:p>
    <w:p w14:paraId="79EAACDF" w14:textId="0506CEA4" w:rsidR="0061361D" w:rsidRDefault="0061361D" w:rsidP="0061361D">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bookmarkStart w:id="35" w:name="_Hlk72790805"/>
      <w:r>
        <w:rPr>
          <w:rFonts w:ascii="Arial" w:hAnsi="Arial" w:cs="Arial"/>
          <w:color w:val="202124"/>
          <w:shd w:val="clear" w:color="auto" w:fill="FFFFFF"/>
        </w:rPr>
        <w:t>(</w:t>
      </w:r>
      <w:r w:rsidR="003B3DD1" w:rsidRPr="003B3DD1">
        <w:rPr>
          <w:rFonts w:ascii="Arial" w:hAnsi="Arial" w:cs="Arial"/>
          <w:color w:val="202124"/>
          <w:shd w:val="clear" w:color="auto" w:fill="FFFFFF"/>
        </w:rPr>
        <w:t>26.36</w:t>
      </w:r>
      <w:r>
        <w:rPr>
          <w:rFonts w:ascii="Arial" w:hAnsi="Arial" w:cs="Arial"/>
          <w:color w:val="202124"/>
          <w:shd w:val="clear" w:color="auto" w:fill="FFFFFF"/>
        </w:rPr>
        <w:t xml:space="preserve">– </w:t>
      </w:r>
      <w:r w:rsidR="003B3DD1" w:rsidRPr="003B3DD1">
        <w:rPr>
          <w:rFonts w:ascii="Arial" w:hAnsi="Arial" w:cs="Arial"/>
          <w:color w:val="202124"/>
          <w:shd w:val="clear" w:color="auto" w:fill="FFFFFF"/>
        </w:rPr>
        <w:t>48.65</w:t>
      </w:r>
      <w:r>
        <w:rPr>
          <w:rFonts w:ascii="Arial" w:hAnsi="Arial" w:cs="Arial"/>
          <w:color w:val="202124"/>
          <w:shd w:val="clear" w:color="auto" w:fill="FFFFFF"/>
        </w:rPr>
        <w:t xml:space="preserve">) ± </w:t>
      </w:r>
      <w:r w:rsidR="003B3DD1">
        <w:rPr>
          <w:rFonts w:ascii="Arial" w:hAnsi="Arial" w:cs="Arial"/>
          <w:color w:val="202124"/>
          <w:shd w:val="clear" w:color="auto" w:fill="FFFFFF"/>
        </w:rPr>
        <w:t>1.96</w:t>
      </w:r>
      <w:r w:rsidRPr="003C0A38">
        <w:rPr>
          <w:rFonts w:ascii="Arial" w:hAnsi="Arial" w:cs="Arial"/>
          <w:color w:val="202124"/>
          <w:shd w:val="clear" w:color="auto" w:fill="FFFFFF"/>
        </w:rPr>
        <w:t>√</w:t>
      </w:r>
      <w:r>
        <w:rPr>
          <w:rFonts w:ascii="Arial" w:hAnsi="Arial" w:cs="Arial"/>
          <w:color w:val="202124"/>
          <w:shd w:val="clear" w:color="auto" w:fill="FFFFFF"/>
        </w:rPr>
        <w:t xml:space="preserve"> ([</w:t>
      </w:r>
      <w:r w:rsidR="003B3DD1" w:rsidRPr="003B3DD1">
        <w:rPr>
          <w:rFonts w:ascii="Arial" w:hAnsi="Arial" w:cs="Arial"/>
          <w:color w:val="202124"/>
          <w:shd w:val="clear" w:color="auto" w:fill="FFFFFF"/>
        </w:rPr>
        <w:t>15.51</w:t>
      </w:r>
      <w:r w:rsidRPr="00EA7A81">
        <w:rPr>
          <w:rFonts w:ascii="Arial" w:hAnsi="Arial" w:cs="Arial"/>
          <w:color w:val="202124"/>
          <w:shd w:val="clear" w:color="auto" w:fill="FFFFFF"/>
          <w:vertAlign w:val="superscript"/>
        </w:rPr>
        <w:t>2</w:t>
      </w:r>
      <w:r>
        <w:rPr>
          <w:rFonts w:ascii="Arial" w:hAnsi="Arial" w:cs="Arial"/>
          <w:color w:val="202124"/>
          <w:shd w:val="clear" w:color="auto" w:fill="FFFFFF"/>
        </w:rPr>
        <w:t xml:space="preserve">/ </w:t>
      </w:r>
      <w:r w:rsidR="003B3DD1" w:rsidRPr="003B3DD1">
        <w:rPr>
          <w:rFonts w:ascii="Arial" w:hAnsi="Arial" w:cs="Arial"/>
          <w:color w:val="202124"/>
          <w:shd w:val="clear" w:color="auto" w:fill="FFFFFF"/>
        </w:rPr>
        <w:t>55173</w:t>
      </w:r>
      <w:r>
        <w:rPr>
          <w:rFonts w:ascii="Arial" w:hAnsi="Arial" w:cs="Arial"/>
          <w:color w:val="202124"/>
          <w:shd w:val="clear" w:color="auto" w:fill="FFFFFF"/>
        </w:rPr>
        <w:t>] + [</w:t>
      </w:r>
      <w:r w:rsidR="003B3DD1" w:rsidRPr="003B3DD1">
        <w:rPr>
          <w:rFonts w:ascii="Arial" w:hAnsi="Arial" w:cs="Arial"/>
          <w:color w:val="202124"/>
          <w:shd w:val="clear" w:color="auto" w:fill="FFFFFF"/>
        </w:rPr>
        <w:t>26.97</w:t>
      </w:r>
      <w:r w:rsidRPr="00EA7A81">
        <w:rPr>
          <w:rFonts w:ascii="Arial" w:hAnsi="Arial" w:cs="Arial"/>
          <w:color w:val="202124"/>
          <w:shd w:val="clear" w:color="auto" w:fill="FFFFFF"/>
          <w:vertAlign w:val="superscript"/>
        </w:rPr>
        <w:t>2</w:t>
      </w:r>
      <w:r>
        <w:rPr>
          <w:rFonts w:ascii="Arial" w:hAnsi="Arial" w:cs="Arial"/>
          <w:color w:val="202124"/>
          <w:shd w:val="clear" w:color="auto" w:fill="FFFFFF"/>
        </w:rPr>
        <w:t>/</w:t>
      </w:r>
      <w:r w:rsidR="003B3DD1" w:rsidRPr="003B3DD1">
        <w:rPr>
          <w:rFonts w:ascii="Arial" w:hAnsi="Arial" w:cs="Arial"/>
          <w:color w:val="202124"/>
          <w:shd w:val="clear" w:color="auto" w:fill="FFFFFF"/>
        </w:rPr>
        <w:t>7199</w:t>
      </w:r>
      <w:r>
        <w:rPr>
          <w:rFonts w:ascii="Arial" w:hAnsi="Arial" w:cs="Arial"/>
          <w:color w:val="202124"/>
          <w:shd w:val="clear" w:color="auto" w:fill="FFFFFF"/>
        </w:rPr>
        <w:t>])</w:t>
      </w:r>
    </w:p>
    <w:p w14:paraId="3A79EFB1" w14:textId="5D445E40" w:rsidR="003B3DD1" w:rsidRDefault="008275BC" w:rsidP="003B3DD1">
      <w:pPr>
        <w:spacing w:after="0" w:line="240" w:lineRule="auto"/>
        <w:rPr>
          <w:rFonts w:ascii="Arial" w:hAnsi="Arial" w:cs="Arial"/>
          <w:color w:val="202124"/>
          <w:shd w:val="clear" w:color="auto" w:fill="FFFFFF"/>
        </w:rPr>
      </w:pPr>
      <w:bookmarkStart w:id="36" w:name="_Hlk72791159"/>
      <w:bookmarkEnd w:id="35"/>
      <w:r>
        <w:rPr>
          <w:rFonts w:ascii="Arial" w:hAnsi="Arial" w:cs="Arial"/>
          <w:color w:val="202124"/>
          <w:shd w:val="clear" w:color="auto" w:fill="FFFFFF"/>
        </w:rPr>
        <w:t xml:space="preserve">Confidence interval = </w:t>
      </w:r>
      <w:bookmarkStart w:id="37" w:name="_Hlk72791686"/>
      <w:r w:rsidR="003B3DD1" w:rsidRPr="003B3DD1">
        <w:rPr>
          <w:rFonts w:ascii="Arial" w:hAnsi="Arial" w:cs="Arial"/>
          <w:color w:val="202124"/>
          <w:shd w:val="clear" w:color="auto" w:fill="FFFFFF"/>
        </w:rPr>
        <w:t>(</w:t>
      </w:r>
      <w:r w:rsidR="00FF0E89" w:rsidRPr="00FF0E89">
        <w:rPr>
          <w:rFonts w:ascii="Arial" w:hAnsi="Arial" w:cs="Arial"/>
          <w:color w:val="202124"/>
          <w:shd w:val="clear" w:color="auto" w:fill="FFFFFF"/>
        </w:rPr>
        <w:t>-22.29</w:t>
      </w:r>
      <w:bookmarkEnd w:id="37"/>
      <w:r w:rsidR="003B3DD1" w:rsidRPr="003B3DD1">
        <w:rPr>
          <w:rFonts w:ascii="Arial" w:hAnsi="Arial" w:cs="Arial"/>
          <w:color w:val="202124"/>
          <w:shd w:val="clear" w:color="auto" w:fill="FFFFFF"/>
        </w:rPr>
        <w:t>) ± 1.96</w:t>
      </w:r>
      <w:r w:rsidR="00FF0E89" w:rsidRPr="003B3DD1">
        <w:rPr>
          <w:rFonts w:ascii="Arial" w:hAnsi="Arial" w:cs="Arial"/>
          <w:color w:val="202124"/>
          <w:shd w:val="clear" w:color="auto" w:fill="FFFFFF"/>
        </w:rPr>
        <w:t>√</w:t>
      </w:r>
      <w:r w:rsidR="00FF0E89">
        <w:rPr>
          <w:rFonts w:ascii="Arial" w:hAnsi="Arial" w:cs="Arial"/>
          <w:color w:val="202124"/>
          <w:shd w:val="clear" w:color="auto" w:fill="FFFFFF"/>
        </w:rPr>
        <w:t xml:space="preserve"> (</w:t>
      </w:r>
      <w:r w:rsidR="00FF0E89" w:rsidRPr="003B3DD1">
        <w:rPr>
          <w:rFonts w:ascii="Arial" w:hAnsi="Arial" w:cs="Arial"/>
          <w:color w:val="202124"/>
          <w:shd w:val="clear" w:color="auto" w:fill="FFFFFF"/>
        </w:rPr>
        <w:t>0</w:t>
      </w:r>
      <w:r w:rsidR="00FF0E89" w:rsidRPr="00FF0E89">
        <w:rPr>
          <w:rFonts w:ascii="Arial" w:hAnsi="Arial" w:cs="Arial"/>
          <w:color w:val="202124"/>
          <w:shd w:val="clear" w:color="auto" w:fill="FFFFFF"/>
        </w:rPr>
        <w:t>.004</w:t>
      </w:r>
      <w:r w:rsidR="003B3DD1" w:rsidRPr="003B3DD1">
        <w:rPr>
          <w:rFonts w:ascii="Arial" w:hAnsi="Arial" w:cs="Arial"/>
          <w:color w:val="202124"/>
          <w:shd w:val="clear" w:color="auto" w:fill="FFFFFF"/>
        </w:rPr>
        <w:t xml:space="preserve">+ </w:t>
      </w:r>
      <w:r w:rsidR="00FF0E89" w:rsidRPr="00FF0E89">
        <w:rPr>
          <w:rFonts w:ascii="Arial" w:hAnsi="Arial" w:cs="Arial"/>
          <w:color w:val="202124"/>
          <w:shd w:val="clear" w:color="auto" w:fill="FFFFFF"/>
        </w:rPr>
        <w:t>0.101</w:t>
      </w:r>
      <w:r w:rsidR="003B3DD1" w:rsidRPr="003B3DD1">
        <w:rPr>
          <w:rFonts w:ascii="Arial" w:hAnsi="Arial" w:cs="Arial"/>
          <w:color w:val="202124"/>
          <w:shd w:val="clear" w:color="auto" w:fill="FFFFFF"/>
        </w:rPr>
        <w:t>)</w:t>
      </w:r>
    </w:p>
    <w:p w14:paraId="01A83EBB" w14:textId="542CF312" w:rsidR="00FB4DC3" w:rsidRPr="003B3DD1" w:rsidRDefault="00FB4DC3" w:rsidP="00FB4DC3">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Pr="003B3DD1">
        <w:rPr>
          <w:rFonts w:ascii="Arial" w:hAnsi="Arial" w:cs="Arial"/>
          <w:color w:val="202124"/>
          <w:shd w:val="clear" w:color="auto" w:fill="FFFFFF"/>
        </w:rPr>
        <w:t>(</w:t>
      </w:r>
      <w:r w:rsidRPr="00FF0E89">
        <w:rPr>
          <w:rFonts w:ascii="Arial" w:hAnsi="Arial" w:cs="Arial"/>
          <w:color w:val="202124"/>
          <w:shd w:val="clear" w:color="auto" w:fill="FFFFFF"/>
        </w:rPr>
        <w:t>-22.29</w:t>
      </w:r>
      <w:r w:rsidRPr="003B3DD1">
        <w:rPr>
          <w:rFonts w:ascii="Arial" w:hAnsi="Arial" w:cs="Arial"/>
          <w:color w:val="202124"/>
          <w:shd w:val="clear" w:color="auto" w:fill="FFFFFF"/>
        </w:rPr>
        <w:t>) ± 1.96</w:t>
      </w:r>
      <w:r>
        <w:rPr>
          <w:rFonts w:ascii="Arial" w:hAnsi="Arial" w:cs="Arial"/>
          <w:color w:val="202124"/>
          <w:shd w:val="clear" w:color="auto" w:fill="FFFFFF"/>
        </w:rPr>
        <w:t>*</w:t>
      </w:r>
      <w:bookmarkStart w:id="38" w:name="_Hlk72838075"/>
      <w:r>
        <w:rPr>
          <w:rFonts w:ascii="Arial" w:hAnsi="Arial" w:cs="Arial"/>
          <w:color w:val="202124"/>
          <w:shd w:val="clear" w:color="auto" w:fill="FFFFFF"/>
        </w:rPr>
        <w:t>0.32</w:t>
      </w:r>
      <w:bookmarkEnd w:id="38"/>
    </w:p>
    <w:bookmarkEnd w:id="36"/>
    <w:p w14:paraId="476F96AC" w14:textId="343FCA4A" w:rsidR="00FF0E89" w:rsidRPr="00FF0E89" w:rsidRDefault="00FF0E89" w:rsidP="00FF0E89">
      <w:pPr>
        <w:spacing w:after="0" w:line="240" w:lineRule="auto"/>
        <w:rPr>
          <w:rFonts w:ascii="Arial" w:hAnsi="Arial" w:cs="Arial"/>
          <w:color w:val="202124"/>
          <w:shd w:val="clear" w:color="auto" w:fill="FFFFFF"/>
        </w:rPr>
      </w:pPr>
      <w:r w:rsidRPr="00FF0E89">
        <w:rPr>
          <w:rFonts w:ascii="Arial" w:hAnsi="Arial" w:cs="Arial"/>
          <w:color w:val="202124"/>
          <w:shd w:val="clear" w:color="auto" w:fill="FFFFFF"/>
        </w:rPr>
        <w:t>Confidence interval = -22.29</w:t>
      </w:r>
      <w:r>
        <w:rPr>
          <w:rFonts w:ascii="Arial" w:hAnsi="Arial" w:cs="Arial"/>
          <w:color w:val="202124"/>
          <w:shd w:val="clear" w:color="auto" w:fill="FFFFFF"/>
        </w:rPr>
        <w:t xml:space="preserve"> </w:t>
      </w:r>
      <w:r w:rsidRPr="00FF0E89">
        <w:rPr>
          <w:rFonts w:ascii="Arial" w:hAnsi="Arial" w:cs="Arial"/>
          <w:color w:val="202124"/>
          <w:shd w:val="clear" w:color="auto" w:fill="FFFFFF"/>
        </w:rPr>
        <w:t>± 0.6</w:t>
      </w:r>
      <w:r w:rsidR="00FB4DC3">
        <w:rPr>
          <w:rFonts w:ascii="Arial" w:hAnsi="Arial" w:cs="Arial"/>
          <w:color w:val="202124"/>
          <w:shd w:val="clear" w:color="auto" w:fill="FFFFFF"/>
        </w:rPr>
        <w:t>4</w:t>
      </w:r>
    </w:p>
    <w:p w14:paraId="6F5A8EDA" w14:textId="2F9C19D7" w:rsidR="006A54C1" w:rsidRDefault="006A54C1" w:rsidP="006A54C1">
      <w:pPr>
        <w:spacing w:after="0" w:line="240" w:lineRule="auto"/>
        <w:rPr>
          <w:rFonts w:ascii="Arial" w:hAnsi="Arial" w:cs="Arial"/>
          <w:color w:val="202124"/>
          <w:shd w:val="clear" w:color="auto" w:fill="FFFFFF"/>
        </w:rPr>
      </w:pPr>
      <w:r>
        <w:rPr>
          <w:rFonts w:ascii="Arial" w:hAnsi="Arial" w:cs="Arial"/>
          <w:color w:val="202124"/>
          <w:shd w:val="clear" w:color="auto" w:fill="FFFFFF"/>
        </w:rPr>
        <w:t xml:space="preserve">Confidence interval = </w:t>
      </w:r>
      <w:r w:rsidR="00FF0E89" w:rsidRPr="00FF0E89">
        <w:rPr>
          <w:rFonts w:ascii="Arial" w:hAnsi="Arial" w:cs="Arial"/>
          <w:color w:val="202124"/>
          <w:shd w:val="clear" w:color="auto" w:fill="FFFFFF"/>
        </w:rPr>
        <w:t>-22.9</w:t>
      </w:r>
      <w:r w:rsidR="00FB4DC3">
        <w:rPr>
          <w:rFonts w:ascii="Arial" w:hAnsi="Arial" w:cs="Arial"/>
          <w:color w:val="202124"/>
          <w:shd w:val="clear" w:color="auto" w:fill="FFFFFF"/>
        </w:rPr>
        <w:t>3</w:t>
      </w:r>
      <w:r w:rsidR="00FF0E89">
        <w:rPr>
          <w:rFonts w:ascii="Arial" w:hAnsi="Arial" w:cs="Arial"/>
          <w:color w:val="202124"/>
          <w:shd w:val="clear" w:color="auto" w:fill="FFFFFF"/>
        </w:rPr>
        <w:t xml:space="preserve">, </w:t>
      </w:r>
      <w:r w:rsidR="00FF0E89" w:rsidRPr="00FF0E89">
        <w:rPr>
          <w:rFonts w:ascii="Arial" w:hAnsi="Arial" w:cs="Arial"/>
          <w:color w:val="202124"/>
          <w:shd w:val="clear" w:color="auto" w:fill="FFFFFF"/>
        </w:rPr>
        <w:t>-21.65</w:t>
      </w:r>
    </w:p>
    <w:p w14:paraId="70BCC47C" w14:textId="138971E9" w:rsidR="006A54C1" w:rsidRPr="00AA2DD6" w:rsidRDefault="006A54C1" w:rsidP="006A54C1">
      <w:pPr>
        <w:spacing w:after="0" w:line="240" w:lineRule="auto"/>
        <w:rPr>
          <w:rFonts w:ascii="Arial" w:hAnsi="Arial" w:cs="Arial"/>
          <w:shd w:val="clear" w:color="auto" w:fill="FFFFFF"/>
        </w:rPr>
      </w:pPr>
      <w:r w:rsidRPr="00AA2DD6">
        <w:rPr>
          <w:rFonts w:ascii="Arial" w:hAnsi="Arial" w:cs="Arial"/>
          <w:shd w:val="clear" w:color="auto" w:fill="FFFFFF"/>
        </w:rPr>
        <w:t xml:space="preserve">Confidence interval </w:t>
      </w:r>
      <w:r w:rsidR="00FF0E89" w:rsidRPr="00AA2DD6">
        <w:rPr>
          <w:rFonts w:ascii="Arial" w:hAnsi="Arial" w:cs="Arial"/>
          <w:shd w:val="clear" w:color="auto" w:fill="FFFFFF"/>
        </w:rPr>
        <w:t xml:space="preserve">does not </w:t>
      </w:r>
      <w:r w:rsidRPr="00AA2DD6">
        <w:rPr>
          <w:rFonts w:ascii="Arial" w:hAnsi="Arial" w:cs="Arial"/>
          <w:shd w:val="clear" w:color="auto" w:fill="FFFFFF"/>
        </w:rPr>
        <w:t>include zero.</w:t>
      </w:r>
    </w:p>
    <w:p w14:paraId="37AC86D1" w14:textId="31DAF8BF" w:rsidR="006A54C1" w:rsidRDefault="006A54C1" w:rsidP="006A54C1">
      <w:pPr>
        <w:spacing w:after="0" w:line="240" w:lineRule="auto"/>
        <w:rPr>
          <w:rFonts w:ascii="Arial" w:hAnsi="Arial" w:cs="Arial"/>
          <w:color w:val="202124"/>
          <w:shd w:val="clear" w:color="auto" w:fill="FFFFFF"/>
        </w:rPr>
      </w:pPr>
    </w:p>
    <w:p w14:paraId="388592E0" w14:textId="77606CE5" w:rsidR="006A54C1" w:rsidRDefault="006A54C1" w:rsidP="006A54C1">
      <w:pPr>
        <w:spacing w:after="0" w:line="240" w:lineRule="auto"/>
        <w:rPr>
          <w:rFonts w:ascii="Arial" w:hAnsi="Arial" w:cs="Arial"/>
          <w:color w:val="202124"/>
          <w:shd w:val="clear" w:color="auto" w:fill="FFFFFF"/>
        </w:rPr>
      </w:pPr>
    </w:p>
    <w:p w14:paraId="7D9B4644" w14:textId="7DEC849B" w:rsidR="006A54C1" w:rsidRDefault="00D227B3" w:rsidP="006A54C1">
      <w:pPr>
        <w:spacing w:after="0" w:line="240" w:lineRule="auto"/>
        <w:rPr>
          <w:rFonts w:ascii="Arial" w:hAnsi="Arial" w:cs="Arial"/>
          <w:color w:val="202124"/>
          <w:shd w:val="clear" w:color="auto" w:fill="FFFFFF"/>
        </w:rPr>
      </w:pPr>
      <w:r>
        <w:rPr>
          <w:rFonts w:ascii="Arial" w:hAnsi="Arial" w:cs="Arial"/>
          <w:color w:val="202124"/>
          <w:shd w:val="clear" w:color="auto" w:fill="FFFFFF"/>
        </w:rPr>
        <w:t>Z statistic</w:t>
      </w:r>
      <w:r w:rsidR="006A54C1">
        <w:rPr>
          <w:rFonts w:ascii="Arial" w:hAnsi="Arial" w:cs="Arial"/>
          <w:color w:val="202124"/>
          <w:shd w:val="clear" w:color="auto" w:fill="FFFFFF"/>
        </w:rPr>
        <w:t xml:space="preserve"> where </w:t>
      </w:r>
      <w:r w:rsidR="006A54C1" w:rsidRPr="00894E51">
        <w:rPr>
          <w:rFonts w:ascii="Arial" w:hAnsi="Arial" w:cs="Arial"/>
          <w:color w:val="202124"/>
          <w:shd w:val="clear" w:color="auto" w:fill="FFFFFF"/>
        </w:rPr>
        <w:t>(</w:t>
      </w:r>
      <w:r w:rsidR="006A54C1" w:rsidRPr="003C0A38">
        <w:rPr>
          <w:rFonts w:ascii="Arial" w:hAnsi="Arial" w:cs="Arial"/>
          <w:color w:val="202124"/>
          <w:shd w:val="clear" w:color="auto" w:fill="FFFFFF"/>
        </w:rPr>
        <w:t>X̄</w:t>
      </w:r>
      <w:r w:rsidR="006A54C1" w:rsidRPr="00894E51">
        <w:rPr>
          <w:rFonts w:ascii="Arial" w:hAnsi="Arial" w:cs="Arial"/>
          <w:color w:val="202124"/>
          <w:shd w:val="clear" w:color="auto" w:fill="FFFFFF"/>
          <w:vertAlign w:val="subscript"/>
        </w:rPr>
        <w:t>1</w:t>
      </w:r>
      <w:r w:rsidR="006A54C1" w:rsidRPr="00894E51">
        <w:rPr>
          <w:rFonts w:ascii="Arial" w:hAnsi="Arial" w:cs="Arial"/>
          <w:color w:val="202124"/>
          <w:shd w:val="clear" w:color="auto" w:fill="FFFFFF"/>
        </w:rPr>
        <w:t xml:space="preserve"> – X</w:t>
      </w:r>
      <w:r w:rsidR="006A54C1" w:rsidRPr="00894E51">
        <w:rPr>
          <w:rFonts w:ascii="Arial" w:hAnsi="Arial" w:cs="Arial"/>
          <w:color w:val="202124"/>
          <w:shd w:val="clear" w:color="auto" w:fill="FFFFFF"/>
          <w:vertAlign w:val="subscript"/>
        </w:rPr>
        <w:t>2</w:t>
      </w:r>
      <w:r w:rsidR="006A54C1" w:rsidRPr="00894E51">
        <w:rPr>
          <w:rFonts w:ascii="Arial" w:hAnsi="Arial" w:cs="Arial"/>
          <w:color w:val="202124"/>
          <w:shd w:val="clear" w:color="auto" w:fill="FFFFFF"/>
        </w:rPr>
        <w:t>)</w:t>
      </w:r>
      <w:r w:rsidR="006A54C1">
        <w:rPr>
          <w:rFonts w:ascii="Arial" w:hAnsi="Arial" w:cs="Arial"/>
          <w:color w:val="202124"/>
          <w:shd w:val="clear" w:color="auto" w:fill="FFFFFF"/>
        </w:rPr>
        <w:t xml:space="preserve"> = </w:t>
      </w:r>
      <w:bookmarkStart w:id="39" w:name="_Hlk72791765"/>
      <w:r w:rsidRPr="00D227B3">
        <w:rPr>
          <w:rFonts w:ascii="Arial" w:hAnsi="Arial" w:cs="Arial"/>
          <w:color w:val="202124"/>
          <w:shd w:val="clear" w:color="auto" w:fill="FFFFFF"/>
        </w:rPr>
        <w:t>-22.29</w:t>
      </w:r>
      <w:r>
        <w:rPr>
          <w:rFonts w:ascii="Arial" w:hAnsi="Arial" w:cs="Arial"/>
          <w:color w:val="202124"/>
          <w:shd w:val="clear" w:color="auto" w:fill="FFFFFF"/>
        </w:rPr>
        <w:t xml:space="preserve"> </w:t>
      </w:r>
      <w:bookmarkEnd w:id="39"/>
      <w:r w:rsidR="006A54C1">
        <w:rPr>
          <w:rFonts w:ascii="Arial" w:hAnsi="Arial" w:cs="Arial"/>
          <w:color w:val="202124"/>
          <w:shd w:val="clear" w:color="auto" w:fill="FFFFFF"/>
        </w:rPr>
        <w:t xml:space="preserve">and </w:t>
      </w:r>
      <w:r w:rsidR="006A54C1" w:rsidRPr="00894E51">
        <w:rPr>
          <w:rFonts w:ascii="Arial" w:hAnsi="Arial" w:cs="Arial"/>
          <w:color w:val="202124"/>
          <w:shd w:val="clear" w:color="auto" w:fill="FFFFFF"/>
        </w:rPr>
        <w:t>√ ([s</w:t>
      </w:r>
      <w:r w:rsidR="006A54C1" w:rsidRPr="00894E51">
        <w:rPr>
          <w:rFonts w:ascii="Arial" w:hAnsi="Arial" w:cs="Arial"/>
          <w:color w:val="202124"/>
          <w:shd w:val="clear" w:color="auto" w:fill="FFFFFF"/>
          <w:vertAlign w:val="subscript"/>
        </w:rPr>
        <w:t>1</w:t>
      </w:r>
      <w:r w:rsidR="006A54C1" w:rsidRPr="00894E51">
        <w:rPr>
          <w:rFonts w:ascii="Arial" w:hAnsi="Arial" w:cs="Arial"/>
          <w:color w:val="202124"/>
          <w:shd w:val="clear" w:color="auto" w:fill="FFFFFF"/>
          <w:vertAlign w:val="superscript"/>
        </w:rPr>
        <w:t>2</w:t>
      </w:r>
      <w:r w:rsidR="006A54C1" w:rsidRPr="00894E51">
        <w:rPr>
          <w:rFonts w:ascii="Arial" w:hAnsi="Arial" w:cs="Arial"/>
          <w:color w:val="202124"/>
          <w:shd w:val="clear" w:color="auto" w:fill="FFFFFF"/>
        </w:rPr>
        <w:t>/n</w:t>
      </w:r>
      <w:r w:rsidR="006A54C1" w:rsidRPr="00894E51">
        <w:rPr>
          <w:rFonts w:ascii="Arial" w:hAnsi="Arial" w:cs="Arial"/>
          <w:color w:val="202124"/>
          <w:shd w:val="clear" w:color="auto" w:fill="FFFFFF"/>
          <w:vertAlign w:val="subscript"/>
        </w:rPr>
        <w:t>1</w:t>
      </w:r>
      <w:r w:rsidR="006A54C1" w:rsidRPr="00894E51">
        <w:rPr>
          <w:rFonts w:ascii="Arial" w:hAnsi="Arial" w:cs="Arial"/>
          <w:color w:val="202124"/>
          <w:shd w:val="clear" w:color="auto" w:fill="FFFFFF"/>
        </w:rPr>
        <w:t>] + [s</w:t>
      </w:r>
      <w:r w:rsidR="006A54C1" w:rsidRPr="00894E51">
        <w:rPr>
          <w:rFonts w:ascii="Arial" w:hAnsi="Arial" w:cs="Arial"/>
          <w:color w:val="202124"/>
          <w:shd w:val="clear" w:color="auto" w:fill="FFFFFF"/>
          <w:vertAlign w:val="subscript"/>
        </w:rPr>
        <w:t>2</w:t>
      </w:r>
      <w:r w:rsidR="006A54C1" w:rsidRPr="00894E51">
        <w:rPr>
          <w:rFonts w:ascii="Arial" w:hAnsi="Arial" w:cs="Arial"/>
          <w:color w:val="202124"/>
          <w:shd w:val="clear" w:color="auto" w:fill="FFFFFF"/>
          <w:vertAlign w:val="superscript"/>
        </w:rPr>
        <w:t>2</w:t>
      </w:r>
      <w:r w:rsidR="006A54C1" w:rsidRPr="00894E51">
        <w:rPr>
          <w:rFonts w:ascii="Arial" w:hAnsi="Arial" w:cs="Arial"/>
          <w:color w:val="202124"/>
          <w:shd w:val="clear" w:color="auto" w:fill="FFFFFF"/>
        </w:rPr>
        <w:t>/n</w:t>
      </w:r>
      <w:r w:rsidR="006A54C1" w:rsidRPr="00894E51">
        <w:rPr>
          <w:rFonts w:ascii="Arial" w:hAnsi="Arial" w:cs="Arial"/>
          <w:color w:val="202124"/>
          <w:shd w:val="clear" w:color="auto" w:fill="FFFFFF"/>
          <w:vertAlign w:val="subscript"/>
        </w:rPr>
        <w:t>2</w:t>
      </w:r>
      <w:r w:rsidR="006A54C1" w:rsidRPr="00894E51">
        <w:rPr>
          <w:rFonts w:ascii="Arial" w:hAnsi="Arial" w:cs="Arial"/>
          <w:color w:val="202124"/>
          <w:shd w:val="clear" w:color="auto" w:fill="FFFFFF"/>
        </w:rPr>
        <w:t>])</w:t>
      </w:r>
      <w:r w:rsidR="006A54C1">
        <w:rPr>
          <w:rFonts w:ascii="Arial" w:hAnsi="Arial" w:cs="Arial"/>
          <w:color w:val="202124"/>
          <w:shd w:val="clear" w:color="auto" w:fill="FFFFFF"/>
        </w:rPr>
        <w:t xml:space="preserve"> = </w:t>
      </w:r>
      <w:r w:rsidR="00FB4DC3" w:rsidRPr="00FB4DC3">
        <w:rPr>
          <w:rFonts w:ascii="Arial" w:hAnsi="Arial" w:cs="Arial"/>
          <w:color w:val="202124"/>
          <w:shd w:val="clear" w:color="auto" w:fill="FFFFFF"/>
        </w:rPr>
        <w:t>0.32</w:t>
      </w:r>
      <w:r w:rsidR="00FB4DC3">
        <w:rPr>
          <w:rFonts w:ascii="Arial" w:hAnsi="Arial" w:cs="Arial"/>
          <w:color w:val="202124"/>
          <w:shd w:val="clear" w:color="auto" w:fill="FFFFFF"/>
        </w:rPr>
        <w:t xml:space="preserve"> </w:t>
      </w:r>
      <w:r w:rsidR="006A54C1">
        <w:rPr>
          <w:rFonts w:ascii="Arial" w:hAnsi="Arial" w:cs="Arial"/>
          <w:color w:val="202124"/>
          <w:shd w:val="clear" w:color="auto" w:fill="FFFFFF"/>
        </w:rPr>
        <w:t>drawing from the solution above</w:t>
      </w:r>
    </w:p>
    <w:p w14:paraId="48E3970A" w14:textId="11222714" w:rsidR="006A54C1" w:rsidRDefault="00D227B3" w:rsidP="006A54C1">
      <w:pPr>
        <w:spacing w:after="0" w:line="240" w:lineRule="auto"/>
        <w:rPr>
          <w:rFonts w:ascii="Arial" w:hAnsi="Arial" w:cs="Arial"/>
          <w:color w:val="202124"/>
          <w:shd w:val="clear" w:color="auto" w:fill="FFFFFF"/>
        </w:rPr>
      </w:pPr>
      <w:r>
        <w:rPr>
          <w:rFonts w:ascii="Arial" w:hAnsi="Arial" w:cs="Arial"/>
          <w:color w:val="202124"/>
          <w:shd w:val="clear" w:color="auto" w:fill="FFFFFF"/>
        </w:rPr>
        <w:t>Z</w:t>
      </w:r>
      <w:r w:rsidR="006A54C1">
        <w:rPr>
          <w:rFonts w:ascii="Arial" w:hAnsi="Arial" w:cs="Arial"/>
          <w:color w:val="202124"/>
          <w:shd w:val="clear" w:color="auto" w:fill="FFFFFF"/>
        </w:rPr>
        <w:t xml:space="preserve">-statistics = </w:t>
      </w:r>
      <w:r w:rsidRPr="00D227B3">
        <w:rPr>
          <w:rFonts w:ascii="Arial" w:hAnsi="Arial" w:cs="Arial"/>
          <w:color w:val="202124"/>
          <w:shd w:val="clear" w:color="auto" w:fill="FFFFFF"/>
        </w:rPr>
        <w:t xml:space="preserve">-22.29 </w:t>
      </w:r>
      <w:r w:rsidR="006A54C1">
        <w:rPr>
          <w:rFonts w:ascii="Arial" w:hAnsi="Arial" w:cs="Arial"/>
          <w:color w:val="202124"/>
          <w:shd w:val="clear" w:color="auto" w:fill="FFFFFF"/>
        </w:rPr>
        <w:t xml:space="preserve">/ </w:t>
      </w:r>
      <w:r w:rsidR="00FB4DC3" w:rsidRPr="00FB4DC3">
        <w:rPr>
          <w:rFonts w:ascii="Arial" w:hAnsi="Arial" w:cs="Arial"/>
          <w:color w:val="202124"/>
          <w:shd w:val="clear" w:color="auto" w:fill="FFFFFF"/>
        </w:rPr>
        <w:t>0.32</w:t>
      </w:r>
      <w:r>
        <w:rPr>
          <w:rFonts w:ascii="Arial" w:hAnsi="Arial" w:cs="Arial"/>
          <w:color w:val="202124"/>
          <w:shd w:val="clear" w:color="auto" w:fill="FFFFFF"/>
        </w:rPr>
        <w:t>=</w:t>
      </w:r>
      <w:r w:rsidR="006A54C1">
        <w:rPr>
          <w:rFonts w:ascii="Arial" w:hAnsi="Arial" w:cs="Arial"/>
          <w:color w:val="202124"/>
          <w:shd w:val="clear" w:color="auto" w:fill="FFFFFF"/>
        </w:rPr>
        <w:t xml:space="preserve"> </w:t>
      </w:r>
      <w:r w:rsidR="00FB4DC3" w:rsidRPr="00FB4DC3">
        <w:rPr>
          <w:rFonts w:ascii="Arial" w:hAnsi="Arial" w:cs="Arial"/>
          <w:color w:val="202124"/>
          <w:shd w:val="clear" w:color="auto" w:fill="FFFFFF"/>
        </w:rPr>
        <w:t>-69.6</w:t>
      </w:r>
      <w:r w:rsidR="00FB4DC3">
        <w:rPr>
          <w:rFonts w:ascii="Arial" w:hAnsi="Arial" w:cs="Arial"/>
          <w:color w:val="202124"/>
          <w:shd w:val="clear" w:color="auto" w:fill="FFFFFF"/>
        </w:rPr>
        <w:t>6</w:t>
      </w:r>
    </w:p>
    <w:p w14:paraId="5E2629AE" w14:textId="3AAB6671" w:rsidR="006A54C1" w:rsidRPr="00AA2DD6" w:rsidRDefault="00D227B3" w:rsidP="006A54C1">
      <w:pPr>
        <w:spacing w:after="0" w:line="240" w:lineRule="auto"/>
        <w:rPr>
          <w:rFonts w:ascii="Arial" w:hAnsi="Arial" w:cs="Arial"/>
          <w:shd w:val="clear" w:color="auto" w:fill="FFFFFF"/>
        </w:rPr>
      </w:pPr>
      <w:r w:rsidRPr="00AA2DD6">
        <w:rPr>
          <w:rFonts w:ascii="Arial" w:hAnsi="Arial" w:cs="Arial"/>
          <w:shd w:val="clear" w:color="auto" w:fill="FFFFFF"/>
        </w:rPr>
        <w:t>H</w:t>
      </w:r>
      <w:r w:rsidR="006A54C1" w:rsidRPr="00AA2DD6">
        <w:rPr>
          <w:rFonts w:ascii="Arial" w:hAnsi="Arial" w:cs="Arial"/>
          <w:shd w:val="clear" w:color="auto" w:fill="FFFFFF"/>
        </w:rPr>
        <w:t xml:space="preserve">ence </w:t>
      </w:r>
      <w:r w:rsidR="00FB4DC3" w:rsidRPr="00AA2DD6">
        <w:rPr>
          <w:rFonts w:ascii="Arial" w:hAnsi="Arial" w:cs="Arial"/>
          <w:shd w:val="clear" w:color="auto" w:fill="FFFFFF"/>
        </w:rPr>
        <w:t>-</w:t>
      </w:r>
      <w:r w:rsidR="00E84924" w:rsidRPr="00AA2DD6">
        <w:rPr>
          <w:rFonts w:ascii="Arial" w:hAnsi="Arial" w:cs="Arial"/>
          <w:shd w:val="clear" w:color="auto" w:fill="FFFFFF"/>
        </w:rPr>
        <w:t xml:space="preserve">69.65 </w:t>
      </w:r>
      <w:r w:rsidR="00420E0F" w:rsidRPr="00AA2DD6">
        <w:rPr>
          <w:rFonts w:ascii="Arial" w:hAnsi="Arial" w:cs="Arial"/>
          <w:shd w:val="clear" w:color="auto" w:fill="FFFFFF"/>
        </w:rPr>
        <w:t xml:space="preserve">is not </w:t>
      </w:r>
      <w:r w:rsidR="006A54C1" w:rsidRPr="00AA2DD6">
        <w:rPr>
          <w:rFonts w:ascii="Arial" w:hAnsi="Arial" w:cs="Arial"/>
          <w:shd w:val="clear" w:color="auto" w:fill="FFFFFF"/>
        </w:rPr>
        <w:t xml:space="preserve">within </w:t>
      </w:r>
      <w:r w:rsidR="00420E0F" w:rsidRPr="00AA2DD6">
        <w:rPr>
          <w:rFonts w:ascii="Arial" w:hAnsi="Arial" w:cs="Arial"/>
          <w:shd w:val="clear" w:color="auto" w:fill="FFFFFF"/>
        </w:rPr>
        <w:t xml:space="preserve">the </w:t>
      </w:r>
      <w:r w:rsidR="006A54C1" w:rsidRPr="00AA2DD6">
        <w:rPr>
          <w:rFonts w:ascii="Arial" w:hAnsi="Arial" w:cs="Arial"/>
          <w:shd w:val="clear" w:color="auto" w:fill="FFFFFF"/>
        </w:rPr>
        <w:t xml:space="preserve">rejection region </w:t>
      </w:r>
      <w:r w:rsidR="00420E0F" w:rsidRPr="00AA2DD6">
        <w:rPr>
          <w:rFonts w:ascii="Arial" w:hAnsi="Arial" w:cs="Arial"/>
          <w:shd w:val="clear" w:color="auto" w:fill="FFFFFF"/>
        </w:rPr>
        <w:t>of -1</w:t>
      </w:r>
      <w:r w:rsidR="006A54C1" w:rsidRPr="00AA2DD6">
        <w:rPr>
          <w:rFonts w:ascii="Arial" w:hAnsi="Arial" w:cs="Arial"/>
          <w:shd w:val="clear" w:color="auto" w:fill="FFFFFF"/>
        </w:rPr>
        <w:t>.</w:t>
      </w:r>
      <w:r w:rsidR="00420E0F" w:rsidRPr="00AA2DD6">
        <w:rPr>
          <w:rFonts w:ascii="Arial" w:hAnsi="Arial" w:cs="Arial"/>
          <w:shd w:val="clear" w:color="auto" w:fill="FFFFFF"/>
        </w:rPr>
        <w:t xml:space="preserve">96 and + 1.96. </w:t>
      </w:r>
      <w:r w:rsidR="006A54C1" w:rsidRPr="00AA2DD6">
        <w:rPr>
          <w:rFonts w:ascii="Arial" w:hAnsi="Arial" w:cs="Arial"/>
          <w:shd w:val="clear" w:color="auto" w:fill="FFFFFF"/>
        </w:rPr>
        <w:t>Hence, we reject the null hypothesis.</w:t>
      </w:r>
    </w:p>
    <w:p w14:paraId="493E7F02" w14:textId="25D4E92F" w:rsidR="006A54C1" w:rsidRDefault="006A54C1" w:rsidP="006A54C1">
      <w:pPr>
        <w:spacing w:after="0" w:line="240" w:lineRule="auto"/>
        <w:rPr>
          <w:rFonts w:ascii="Arial" w:hAnsi="Arial" w:cs="Arial"/>
          <w:color w:val="202124"/>
          <w:shd w:val="clear" w:color="auto" w:fill="FFFFFF"/>
        </w:rPr>
      </w:pPr>
    </w:p>
    <w:p w14:paraId="74027023" w14:textId="1C94D42C" w:rsidR="002D36EA" w:rsidRDefault="002D36EA" w:rsidP="006A54C1">
      <w:pPr>
        <w:spacing w:after="0" w:line="240" w:lineRule="auto"/>
        <w:rPr>
          <w:rFonts w:ascii="Arial" w:hAnsi="Arial" w:cs="Arial"/>
          <w:color w:val="202124"/>
          <w:shd w:val="clear" w:color="auto" w:fill="FFFFFF"/>
        </w:rPr>
      </w:pPr>
    </w:p>
    <w:p w14:paraId="049043CF" w14:textId="36F703E5" w:rsidR="00420E0F" w:rsidRPr="00420E0F" w:rsidRDefault="00301FAF" w:rsidP="00420E0F">
      <w:pPr>
        <w:spacing w:after="0" w:line="240" w:lineRule="auto"/>
        <w:rPr>
          <w:rFonts w:ascii="Arial" w:hAnsi="Arial" w:cs="Arial"/>
          <w:color w:val="202124"/>
          <w:shd w:val="clear" w:color="auto" w:fill="FFFFFF"/>
        </w:rPr>
      </w:pPr>
      <w:r w:rsidRPr="00901F8C">
        <w:rPr>
          <w:rFonts w:ascii="Arial" w:hAnsi="Arial" w:cs="Arial"/>
          <w:color w:val="202124"/>
          <w:shd w:val="clear" w:color="auto" w:fill="FFFFFF"/>
        </w:rPr>
        <w:lastRenderedPageBreak/>
        <w:t>The number </w:t>
      </w:r>
      <w:r w:rsidRPr="00301FAF">
        <w:rPr>
          <w:rFonts w:ascii="Arial" w:hAnsi="Arial" w:cs="Arial"/>
          <w:color w:val="202124"/>
          <w:shd w:val="clear" w:color="auto" w:fill="FFFFFF"/>
        </w:rPr>
        <w:t>-</w:t>
      </w:r>
      <w:r w:rsidR="00E84924" w:rsidRPr="00E84924">
        <w:rPr>
          <w:rFonts w:ascii="Arial" w:hAnsi="Arial" w:cs="Arial"/>
          <w:color w:val="202124"/>
          <w:shd w:val="clear" w:color="auto" w:fill="FFFFFF"/>
        </w:rPr>
        <w:t>69.65</w:t>
      </w:r>
      <w:r w:rsidR="00E84924">
        <w:rPr>
          <w:rFonts w:ascii="Arial" w:hAnsi="Arial" w:cs="Arial"/>
          <w:color w:val="202124"/>
          <w:shd w:val="clear" w:color="auto" w:fill="FFFFFF"/>
        </w:rPr>
        <w:t xml:space="preserve"> </w:t>
      </w:r>
      <w:r w:rsidRPr="00901F8C">
        <w:rPr>
          <w:rFonts w:ascii="Arial" w:hAnsi="Arial" w:cs="Arial"/>
          <w:color w:val="202124"/>
          <w:shd w:val="clear" w:color="auto" w:fill="FFFFFF"/>
        </w:rPr>
        <w:t xml:space="preserve">is too large </w:t>
      </w:r>
      <w:bookmarkStart w:id="40" w:name="_Hlk73122822"/>
      <w:r w:rsidRPr="00901F8C">
        <w:rPr>
          <w:rFonts w:ascii="Arial" w:hAnsi="Arial" w:cs="Arial"/>
          <w:color w:val="202124"/>
          <w:shd w:val="clear" w:color="auto" w:fill="FFFFFF"/>
        </w:rPr>
        <w:t xml:space="preserve">to appear in </w:t>
      </w:r>
      <w:r>
        <w:rPr>
          <w:rFonts w:ascii="Arial" w:hAnsi="Arial" w:cs="Arial"/>
          <w:color w:val="202124"/>
          <w:shd w:val="clear" w:color="auto" w:fill="FFFFFF"/>
        </w:rPr>
        <w:t>Z-table</w:t>
      </w:r>
      <w:r w:rsidRPr="00901F8C">
        <w:rPr>
          <w:rFonts w:ascii="Arial" w:hAnsi="Arial" w:cs="Arial"/>
          <w:color w:val="202124"/>
          <w:shd w:val="clear" w:color="auto" w:fill="FFFFFF"/>
        </w:rPr>
        <w:t>,</w:t>
      </w:r>
      <w:r>
        <w:rPr>
          <w:rFonts w:ascii="Arial" w:hAnsi="Arial" w:cs="Arial"/>
          <w:color w:val="202124"/>
          <w:shd w:val="clear" w:color="auto" w:fill="FFFFFF"/>
        </w:rPr>
        <w:t xml:space="preserve"> </w:t>
      </w:r>
      <w:r w:rsidR="00420E0F" w:rsidRPr="00420E0F">
        <w:rPr>
          <w:rFonts w:ascii="Arial" w:hAnsi="Arial" w:cs="Arial"/>
          <w:color w:val="202124"/>
          <w:shd w:val="clear" w:color="auto" w:fill="FFFFFF"/>
        </w:rPr>
        <w:t xml:space="preserve">and the vast majority (close to 1) of the area in the normal curve lies to the </w:t>
      </w:r>
      <w:r w:rsidR="00420E0F">
        <w:rPr>
          <w:rFonts w:ascii="Arial" w:hAnsi="Arial" w:cs="Arial"/>
          <w:color w:val="202124"/>
          <w:shd w:val="clear" w:color="auto" w:fill="FFFFFF"/>
        </w:rPr>
        <w:t>right</w:t>
      </w:r>
      <w:r w:rsidR="00420E0F" w:rsidRPr="00420E0F">
        <w:rPr>
          <w:rFonts w:ascii="Arial" w:hAnsi="Arial" w:cs="Arial"/>
          <w:color w:val="202124"/>
          <w:shd w:val="clear" w:color="auto" w:fill="FFFFFF"/>
        </w:rPr>
        <w:t xml:space="preserve"> of this Z-score.</w:t>
      </w:r>
    </w:p>
    <w:p w14:paraId="2D344E55" w14:textId="77777777" w:rsidR="00420E0F" w:rsidRPr="00420E0F" w:rsidRDefault="00420E0F" w:rsidP="00420E0F">
      <w:pPr>
        <w:spacing w:after="0" w:line="240" w:lineRule="auto"/>
        <w:rPr>
          <w:rFonts w:ascii="Arial" w:hAnsi="Arial" w:cs="Arial"/>
          <w:color w:val="202124"/>
          <w:shd w:val="clear" w:color="auto" w:fill="FFFFFF"/>
        </w:rPr>
      </w:pPr>
      <w:r w:rsidRPr="00420E0F">
        <w:rPr>
          <w:rFonts w:ascii="Arial" w:hAnsi="Arial" w:cs="Arial"/>
          <w:color w:val="202124"/>
          <w:shd w:val="clear" w:color="auto" w:fill="FFFFFF"/>
        </w:rPr>
        <w:t>Therefore p(Z-score) = 1−1.0000 = 0.0000. The p-value = 0.0000</w:t>
      </w:r>
    </w:p>
    <w:bookmarkEnd w:id="40"/>
    <w:p w14:paraId="01B6ED16" w14:textId="77777777" w:rsidR="00301FAF" w:rsidRDefault="00301FAF" w:rsidP="00301FAF">
      <w:pPr>
        <w:spacing w:after="0" w:line="240" w:lineRule="auto"/>
        <w:rPr>
          <w:rFonts w:ascii="Arial" w:hAnsi="Arial" w:cs="Arial"/>
          <w:color w:val="202124"/>
          <w:shd w:val="clear" w:color="auto" w:fill="FFFFFF"/>
        </w:rPr>
      </w:pPr>
    </w:p>
    <w:p w14:paraId="149C4D5D" w14:textId="30B3F3D5" w:rsidR="002D36EA" w:rsidRPr="00AA2DD6" w:rsidRDefault="002D36EA" w:rsidP="002D36EA">
      <w:pPr>
        <w:spacing w:after="0" w:line="240" w:lineRule="auto"/>
        <w:rPr>
          <w:rFonts w:ascii="Arial" w:hAnsi="Arial" w:cs="Arial"/>
          <w:shd w:val="clear" w:color="auto" w:fill="FFFFFF"/>
        </w:rPr>
      </w:pPr>
      <w:r w:rsidRPr="00AA2DD6">
        <w:rPr>
          <w:rFonts w:ascii="Arial" w:hAnsi="Arial" w:cs="Arial"/>
          <w:shd w:val="clear" w:color="auto" w:fill="FFFFFF"/>
        </w:rPr>
        <w:t>P-value</w:t>
      </w:r>
      <w:r w:rsidR="00435BB3" w:rsidRPr="00AA2DD6">
        <w:rPr>
          <w:rFonts w:ascii="Arial" w:hAnsi="Arial" w:cs="Arial"/>
          <w:shd w:val="clear" w:color="auto" w:fill="FFFFFF"/>
        </w:rPr>
        <w:t xml:space="preserve"> of </w:t>
      </w:r>
      <w:r w:rsidR="00E84924" w:rsidRPr="00AA2DD6">
        <w:rPr>
          <w:rFonts w:ascii="Arial" w:hAnsi="Arial" w:cs="Arial"/>
          <w:shd w:val="clear" w:color="auto" w:fill="FFFFFF"/>
        </w:rPr>
        <w:t xml:space="preserve">0.0000 </w:t>
      </w:r>
      <w:r w:rsidR="00435BB3" w:rsidRPr="00AA2DD6">
        <w:rPr>
          <w:rFonts w:ascii="Arial" w:hAnsi="Arial" w:cs="Arial"/>
          <w:shd w:val="clear" w:color="auto" w:fill="FFFFFF"/>
        </w:rPr>
        <w:t>is</w:t>
      </w:r>
      <w:r w:rsidR="00E84924" w:rsidRPr="00AA2DD6">
        <w:rPr>
          <w:rFonts w:ascii="Arial" w:hAnsi="Arial" w:cs="Arial"/>
          <w:shd w:val="clear" w:color="auto" w:fill="FFFFFF"/>
        </w:rPr>
        <w:t xml:space="preserve"> &lt;</w:t>
      </w:r>
      <w:r w:rsidRPr="00AA2DD6">
        <w:rPr>
          <w:rFonts w:ascii="Arial" w:hAnsi="Arial" w:cs="Arial"/>
          <w:shd w:val="clear" w:color="auto" w:fill="FFFFFF"/>
        </w:rPr>
        <w:t xml:space="preserve"> 0.05. Hence, there is sufficient evidence to reject the null </w:t>
      </w:r>
      <w:r w:rsidR="00435BB3" w:rsidRPr="00AA2DD6">
        <w:rPr>
          <w:rFonts w:ascii="Arial" w:hAnsi="Arial" w:cs="Arial"/>
          <w:shd w:val="clear" w:color="auto" w:fill="FFFFFF"/>
        </w:rPr>
        <w:t>hypothesis.</w:t>
      </w:r>
    </w:p>
    <w:p w14:paraId="2EFB8D28" w14:textId="77777777" w:rsidR="006A54C1" w:rsidRDefault="006A54C1" w:rsidP="006A54C1">
      <w:pPr>
        <w:spacing w:after="0" w:line="240" w:lineRule="auto"/>
        <w:rPr>
          <w:rFonts w:ascii="Arial" w:hAnsi="Arial" w:cs="Arial"/>
          <w:color w:val="202124"/>
          <w:shd w:val="clear" w:color="auto" w:fill="FFFFFF"/>
        </w:rPr>
      </w:pPr>
    </w:p>
    <w:bookmarkEnd w:id="27"/>
    <w:p w14:paraId="2EC76705" w14:textId="1DB1DBD7" w:rsidR="00301FAF" w:rsidRPr="00301FAF" w:rsidRDefault="00301FAF" w:rsidP="00301FAF">
      <w:pPr>
        <w:spacing w:after="0" w:line="240" w:lineRule="auto"/>
        <w:rPr>
          <w:rFonts w:ascii="Arial" w:hAnsi="Arial" w:cs="Arial"/>
          <w:color w:val="202124"/>
          <w:shd w:val="clear" w:color="auto" w:fill="FFFFFF"/>
        </w:rPr>
      </w:pPr>
      <w:r w:rsidRPr="00301FAF">
        <w:rPr>
          <w:rFonts w:ascii="Arial" w:hAnsi="Arial" w:cs="Arial"/>
          <w:color w:val="202124"/>
          <w:shd w:val="clear" w:color="auto" w:fill="FFFFFF"/>
        </w:rPr>
        <w:t xml:space="preserve">b. Comparing difference in </w:t>
      </w:r>
      <w:r w:rsidR="001B4BEF">
        <w:rPr>
          <w:rFonts w:ascii="Arial" w:hAnsi="Arial" w:cs="Arial"/>
          <w:color w:val="202124"/>
          <w:shd w:val="clear" w:color="auto" w:fill="FFFFFF"/>
        </w:rPr>
        <w:t xml:space="preserve">health </w:t>
      </w:r>
      <w:r w:rsidR="003B6CF7">
        <w:rPr>
          <w:rFonts w:ascii="Arial" w:hAnsi="Arial" w:cs="Arial"/>
          <w:color w:val="202124"/>
          <w:shd w:val="clear" w:color="auto" w:fill="FFFFFF"/>
        </w:rPr>
        <w:t>center</w:t>
      </w:r>
      <w:r w:rsidR="001B4BEF">
        <w:rPr>
          <w:rFonts w:ascii="Arial" w:hAnsi="Arial" w:cs="Arial"/>
          <w:color w:val="202124"/>
          <w:shd w:val="clear" w:color="auto" w:fill="FFFFFF"/>
        </w:rPr>
        <w:t xml:space="preserve"> </w:t>
      </w:r>
      <w:r w:rsidRPr="00301FAF">
        <w:rPr>
          <w:rFonts w:ascii="Arial" w:hAnsi="Arial" w:cs="Arial"/>
          <w:color w:val="202124"/>
          <w:shd w:val="clear" w:color="auto" w:fill="FFFFFF"/>
        </w:rPr>
        <w:t>stock-out during the two periods.</w:t>
      </w:r>
    </w:p>
    <w:p w14:paraId="32C7EEB4" w14:textId="77777777" w:rsidR="00301FAF" w:rsidRPr="00301FAF" w:rsidRDefault="00301FAF" w:rsidP="00301FAF">
      <w:pPr>
        <w:spacing w:after="0" w:line="240" w:lineRule="auto"/>
        <w:rPr>
          <w:rFonts w:ascii="Arial" w:hAnsi="Arial" w:cs="Arial"/>
          <w:color w:val="202124"/>
          <w:shd w:val="clear" w:color="auto" w:fill="FFFFFF"/>
        </w:rPr>
      </w:pPr>
    </w:p>
    <w:p w14:paraId="3B1D3899" w14:textId="2F790CF4" w:rsidR="00301FAF" w:rsidRPr="00BC7EEB" w:rsidRDefault="00301FAF" w:rsidP="00301FAF">
      <w:pPr>
        <w:spacing w:after="0" w:line="240" w:lineRule="auto"/>
        <w:rPr>
          <w:rFonts w:ascii="Arial" w:hAnsi="Arial" w:cs="Arial"/>
          <w:color w:val="202124"/>
          <w:shd w:val="clear" w:color="auto" w:fill="FFFFFF"/>
        </w:rPr>
      </w:pPr>
      <w:r w:rsidRPr="00BC7EEB">
        <w:rPr>
          <w:rFonts w:ascii="Arial" w:hAnsi="Arial" w:cs="Arial"/>
          <w:color w:val="202124"/>
          <w:shd w:val="clear" w:color="auto" w:fill="FFFFFF"/>
        </w:rPr>
        <w:t>X</w:t>
      </w:r>
      <w:r w:rsidRPr="00BC7EEB">
        <w:rPr>
          <w:rFonts w:ascii="Arial" w:hAnsi="Arial" w:cs="Arial"/>
          <w:color w:val="202124"/>
          <w:shd w:val="clear" w:color="auto" w:fill="FFFFFF"/>
          <w:vertAlign w:val="subscript"/>
        </w:rPr>
        <w:t>1</w:t>
      </w:r>
      <w:r w:rsidRPr="00BC7EEB">
        <w:rPr>
          <w:rFonts w:ascii="Arial" w:hAnsi="Arial" w:cs="Arial"/>
          <w:color w:val="202124"/>
          <w:shd w:val="clear" w:color="auto" w:fill="FFFFFF"/>
        </w:rPr>
        <w:t xml:space="preserve"> = 7.79, X</w:t>
      </w:r>
      <w:r w:rsidRPr="00BC7EEB">
        <w:rPr>
          <w:rFonts w:ascii="Arial" w:hAnsi="Arial" w:cs="Arial"/>
          <w:color w:val="202124"/>
          <w:shd w:val="clear" w:color="auto" w:fill="FFFFFF"/>
          <w:vertAlign w:val="subscript"/>
        </w:rPr>
        <w:t>2</w:t>
      </w:r>
      <w:r w:rsidRPr="00BC7EEB">
        <w:rPr>
          <w:rFonts w:ascii="Arial" w:hAnsi="Arial" w:cs="Arial"/>
          <w:color w:val="202124"/>
          <w:shd w:val="clear" w:color="auto" w:fill="FFFFFF"/>
        </w:rPr>
        <w:t xml:space="preserve"> = 14.28, n</w:t>
      </w:r>
      <w:r w:rsidRPr="00BC7EEB">
        <w:rPr>
          <w:rFonts w:ascii="Arial" w:hAnsi="Arial" w:cs="Arial"/>
          <w:color w:val="202124"/>
          <w:shd w:val="clear" w:color="auto" w:fill="FFFFFF"/>
          <w:vertAlign w:val="subscript"/>
        </w:rPr>
        <w:t>1</w:t>
      </w:r>
      <w:r w:rsidRPr="00BC7EEB">
        <w:rPr>
          <w:rFonts w:ascii="Arial" w:hAnsi="Arial" w:cs="Arial"/>
          <w:color w:val="202124"/>
          <w:shd w:val="clear" w:color="auto" w:fill="FFFFFF"/>
        </w:rPr>
        <w:t xml:space="preserve"> = 1877, n</w:t>
      </w:r>
      <w:r w:rsidRPr="00BC7EEB">
        <w:rPr>
          <w:rFonts w:ascii="Arial" w:hAnsi="Arial" w:cs="Arial"/>
          <w:color w:val="202124"/>
          <w:shd w:val="clear" w:color="auto" w:fill="FFFFFF"/>
          <w:vertAlign w:val="subscript"/>
        </w:rPr>
        <w:t>2</w:t>
      </w:r>
      <w:r w:rsidRPr="00BC7EEB">
        <w:rPr>
          <w:rFonts w:ascii="Arial" w:hAnsi="Arial" w:cs="Arial"/>
          <w:color w:val="202124"/>
          <w:shd w:val="clear" w:color="auto" w:fill="FFFFFF"/>
        </w:rPr>
        <w:t xml:space="preserve"> = 506, s</w:t>
      </w:r>
      <w:r w:rsidRPr="00BC7EEB">
        <w:rPr>
          <w:rFonts w:ascii="Arial" w:hAnsi="Arial" w:cs="Arial"/>
          <w:color w:val="202124"/>
          <w:shd w:val="clear" w:color="auto" w:fill="FFFFFF"/>
          <w:vertAlign w:val="subscript"/>
        </w:rPr>
        <w:t>1</w:t>
      </w:r>
      <w:r w:rsidRPr="00BC7EEB">
        <w:rPr>
          <w:rFonts w:ascii="Arial" w:hAnsi="Arial" w:cs="Arial"/>
          <w:color w:val="202124"/>
          <w:shd w:val="clear" w:color="auto" w:fill="FFFFFF"/>
        </w:rPr>
        <w:t xml:space="preserve"> = </w:t>
      </w:r>
      <w:bookmarkStart w:id="41" w:name="_Hlk72793499"/>
      <w:r w:rsidRPr="00BC7EEB">
        <w:rPr>
          <w:rFonts w:ascii="Arial" w:hAnsi="Arial" w:cs="Arial"/>
          <w:color w:val="202124"/>
          <w:shd w:val="clear" w:color="auto" w:fill="FFFFFF"/>
        </w:rPr>
        <w:t>13.73</w:t>
      </w:r>
      <w:bookmarkEnd w:id="41"/>
      <w:r w:rsidRPr="00BC7EEB">
        <w:rPr>
          <w:rFonts w:ascii="Arial" w:hAnsi="Arial" w:cs="Arial"/>
          <w:color w:val="202124"/>
          <w:shd w:val="clear" w:color="auto" w:fill="FFFFFF"/>
        </w:rPr>
        <w:t>, s</w:t>
      </w:r>
      <w:r w:rsidRPr="00BC7EEB">
        <w:rPr>
          <w:rFonts w:ascii="Arial" w:hAnsi="Arial" w:cs="Arial"/>
          <w:color w:val="202124"/>
          <w:shd w:val="clear" w:color="auto" w:fill="FFFFFF"/>
          <w:vertAlign w:val="subscript"/>
        </w:rPr>
        <w:t>2</w:t>
      </w:r>
      <w:r w:rsidRPr="00BC7EEB">
        <w:rPr>
          <w:rFonts w:ascii="Arial" w:hAnsi="Arial" w:cs="Arial"/>
          <w:color w:val="202124"/>
          <w:shd w:val="clear" w:color="auto" w:fill="FFFFFF"/>
        </w:rPr>
        <w:t xml:space="preserve"> = </w:t>
      </w:r>
      <w:bookmarkStart w:id="42" w:name="_Hlk72793546"/>
      <w:r w:rsidRPr="00BC7EEB">
        <w:rPr>
          <w:rFonts w:ascii="Arial" w:hAnsi="Arial" w:cs="Arial"/>
          <w:color w:val="202124"/>
          <w:shd w:val="clear" w:color="auto" w:fill="FFFFFF"/>
        </w:rPr>
        <w:t>35.08</w:t>
      </w:r>
      <w:bookmarkEnd w:id="42"/>
      <w:r w:rsidRPr="00BC7EEB">
        <w:rPr>
          <w:rFonts w:ascii="Arial" w:hAnsi="Arial" w:cs="Arial"/>
          <w:color w:val="202124"/>
          <w:shd w:val="clear" w:color="auto" w:fill="FFFFFF"/>
        </w:rPr>
        <w:t>, Z* = 1.96</w:t>
      </w:r>
    </w:p>
    <w:p w14:paraId="6B110AD0" w14:textId="4C9D4D3B" w:rsidR="00301FAF" w:rsidRPr="00BC7EEB" w:rsidRDefault="00301FAF" w:rsidP="00301FAF">
      <w:pPr>
        <w:spacing w:after="0" w:line="240" w:lineRule="auto"/>
        <w:rPr>
          <w:rFonts w:ascii="Arial" w:hAnsi="Arial" w:cs="Arial"/>
          <w:color w:val="202124"/>
          <w:shd w:val="clear" w:color="auto" w:fill="FFFFFF"/>
        </w:rPr>
      </w:pPr>
      <w:r w:rsidRPr="00BC7EEB">
        <w:rPr>
          <w:rFonts w:ascii="Arial" w:hAnsi="Arial" w:cs="Arial"/>
          <w:color w:val="202124"/>
          <w:shd w:val="clear" w:color="auto" w:fill="FFFFFF"/>
        </w:rPr>
        <w:t xml:space="preserve">Confidence interval = </w:t>
      </w:r>
      <w:bookmarkStart w:id="43" w:name="_Hlk72793594"/>
      <w:r w:rsidRPr="00BC7EEB">
        <w:rPr>
          <w:rFonts w:ascii="Arial" w:hAnsi="Arial" w:cs="Arial"/>
          <w:color w:val="202124"/>
          <w:shd w:val="clear" w:color="auto" w:fill="FFFFFF"/>
        </w:rPr>
        <w:t>(</w:t>
      </w:r>
      <w:r w:rsidR="008A72DF" w:rsidRPr="00BC7EEB">
        <w:rPr>
          <w:rFonts w:ascii="Arial" w:hAnsi="Arial" w:cs="Arial"/>
          <w:color w:val="202124"/>
          <w:shd w:val="clear" w:color="auto" w:fill="FFFFFF"/>
        </w:rPr>
        <w:t>7.79</w:t>
      </w:r>
      <w:r w:rsidRPr="00BC7EEB">
        <w:rPr>
          <w:rFonts w:ascii="Arial" w:hAnsi="Arial" w:cs="Arial"/>
          <w:color w:val="202124"/>
          <w:shd w:val="clear" w:color="auto" w:fill="FFFFFF"/>
        </w:rPr>
        <w:t xml:space="preserve">– </w:t>
      </w:r>
      <w:r w:rsidR="008A72DF" w:rsidRPr="00BC7EEB">
        <w:rPr>
          <w:rFonts w:ascii="Arial" w:hAnsi="Arial" w:cs="Arial"/>
          <w:color w:val="202124"/>
          <w:shd w:val="clear" w:color="auto" w:fill="FFFFFF"/>
        </w:rPr>
        <w:t>14.28</w:t>
      </w:r>
      <w:r w:rsidRPr="00BC7EEB">
        <w:rPr>
          <w:rFonts w:ascii="Arial" w:hAnsi="Arial" w:cs="Arial"/>
          <w:color w:val="202124"/>
          <w:shd w:val="clear" w:color="auto" w:fill="FFFFFF"/>
        </w:rPr>
        <w:t>) ± 1.96√ ([</w:t>
      </w:r>
      <w:r w:rsidR="008A72DF" w:rsidRPr="00BC7EEB">
        <w:rPr>
          <w:rFonts w:ascii="Arial" w:hAnsi="Arial" w:cs="Arial"/>
          <w:color w:val="202124"/>
          <w:shd w:val="clear" w:color="auto" w:fill="FFFFFF"/>
        </w:rPr>
        <w:t>13.73</w:t>
      </w:r>
      <w:r w:rsidRPr="00BC7EEB">
        <w:rPr>
          <w:rFonts w:ascii="Arial" w:hAnsi="Arial" w:cs="Arial"/>
          <w:color w:val="202124"/>
          <w:shd w:val="clear" w:color="auto" w:fill="FFFFFF"/>
          <w:vertAlign w:val="superscript"/>
        </w:rPr>
        <w:t>2</w:t>
      </w:r>
      <w:r w:rsidRPr="00BC7EEB">
        <w:rPr>
          <w:rFonts w:ascii="Arial" w:hAnsi="Arial" w:cs="Arial"/>
          <w:color w:val="202124"/>
          <w:shd w:val="clear" w:color="auto" w:fill="FFFFFF"/>
        </w:rPr>
        <w:t xml:space="preserve">/ </w:t>
      </w:r>
      <w:r w:rsidR="008A72DF" w:rsidRPr="00BC7EEB">
        <w:rPr>
          <w:rFonts w:ascii="Arial" w:hAnsi="Arial" w:cs="Arial"/>
          <w:color w:val="202124"/>
          <w:shd w:val="clear" w:color="auto" w:fill="FFFFFF"/>
        </w:rPr>
        <w:t>1877</w:t>
      </w:r>
      <w:r w:rsidRPr="00BC7EEB">
        <w:rPr>
          <w:rFonts w:ascii="Arial" w:hAnsi="Arial" w:cs="Arial"/>
          <w:color w:val="202124"/>
          <w:shd w:val="clear" w:color="auto" w:fill="FFFFFF"/>
        </w:rPr>
        <w:t>] + [</w:t>
      </w:r>
      <w:r w:rsidR="008A72DF" w:rsidRPr="00BC7EEB">
        <w:rPr>
          <w:rFonts w:ascii="Arial" w:hAnsi="Arial" w:cs="Arial"/>
          <w:color w:val="202124"/>
          <w:shd w:val="clear" w:color="auto" w:fill="FFFFFF"/>
        </w:rPr>
        <w:t>35.08</w:t>
      </w:r>
      <w:r w:rsidRPr="00BC7EEB">
        <w:rPr>
          <w:rFonts w:ascii="Arial" w:hAnsi="Arial" w:cs="Arial"/>
          <w:color w:val="202124"/>
          <w:shd w:val="clear" w:color="auto" w:fill="FFFFFF"/>
          <w:vertAlign w:val="superscript"/>
        </w:rPr>
        <w:t>2</w:t>
      </w:r>
      <w:r w:rsidRPr="00BC7EEB">
        <w:rPr>
          <w:rFonts w:ascii="Arial" w:hAnsi="Arial" w:cs="Arial"/>
          <w:color w:val="202124"/>
          <w:shd w:val="clear" w:color="auto" w:fill="FFFFFF"/>
        </w:rPr>
        <w:t>/</w:t>
      </w:r>
      <w:r w:rsidR="008A72DF" w:rsidRPr="00BC7EEB">
        <w:rPr>
          <w:rFonts w:ascii="Arial" w:hAnsi="Arial" w:cs="Arial"/>
          <w:color w:val="202124"/>
          <w:shd w:val="clear" w:color="auto" w:fill="FFFFFF"/>
        </w:rPr>
        <w:t>506</w:t>
      </w:r>
      <w:r w:rsidRPr="00BC7EEB">
        <w:rPr>
          <w:rFonts w:ascii="Arial" w:hAnsi="Arial" w:cs="Arial"/>
          <w:color w:val="202124"/>
          <w:shd w:val="clear" w:color="auto" w:fill="FFFFFF"/>
        </w:rPr>
        <w:t>])</w:t>
      </w:r>
    </w:p>
    <w:p w14:paraId="55DCF67D" w14:textId="07773BE9" w:rsidR="008A72DF" w:rsidRPr="00BC7EEB" w:rsidRDefault="00301FAF" w:rsidP="008A72DF">
      <w:pPr>
        <w:spacing w:after="0" w:line="240" w:lineRule="auto"/>
        <w:rPr>
          <w:rFonts w:ascii="Arial" w:hAnsi="Arial" w:cs="Arial"/>
          <w:color w:val="202124"/>
          <w:shd w:val="clear" w:color="auto" w:fill="FFFFFF"/>
        </w:rPr>
      </w:pPr>
      <w:bookmarkStart w:id="44" w:name="_Hlk72793897"/>
      <w:bookmarkEnd w:id="43"/>
      <w:r w:rsidRPr="00BC7EEB">
        <w:rPr>
          <w:rFonts w:ascii="Arial" w:hAnsi="Arial" w:cs="Arial"/>
          <w:color w:val="202124"/>
          <w:shd w:val="clear" w:color="auto" w:fill="FFFFFF"/>
        </w:rPr>
        <w:t xml:space="preserve">Confidence interval = </w:t>
      </w:r>
      <w:r w:rsidR="008A72DF" w:rsidRPr="00BC7EEB">
        <w:rPr>
          <w:rFonts w:ascii="Arial" w:hAnsi="Arial" w:cs="Arial"/>
          <w:color w:val="202124"/>
          <w:shd w:val="clear" w:color="auto" w:fill="FFFFFF"/>
        </w:rPr>
        <w:t>-6.49 ± 1.96√ ([0.100] + 2.43)</w:t>
      </w:r>
    </w:p>
    <w:bookmarkEnd w:id="44"/>
    <w:p w14:paraId="2C93ED84" w14:textId="2CAAAB41" w:rsidR="008A72DF" w:rsidRPr="00BC7EEB" w:rsidRDefault="008A72DF" w:rsidP="008A72DF">
      <w:pPr>
        <w:spacing w:after="0" w:line="240" w:lineRule="auto"/>
        <w:rPr>
          <w:rFonts w:ascii="Arial" w:hAnsi="Arial" w:cs="Arial"/>
          <w:color w:val="202124"/>
          <w:shd w:val="clear" w:color="auto" w:fill="FFFFFF"/>
        </w:rPr>
      </w:pPr>
      <w:r w:rsidRPr="00BC7EEB">
        <w:rPr>
          <w:rFonts w:ascii="Arial" w:hAnsi="Arial" w:cs="Arial"/>
          <w:color w:val="202124"/>
          <w:shd w:val="clear" w:color="auto" w:fill="FFFFFF"/>
        </w:rPr>
        <w:t xml:space="preserve">Confidence interval = -6.49 ± 1.96√ </w:t>
      </w:r>
      <w:r w:rsidR="00127456" w:rsidRPr="00BC7EEB">
        <w:rPr>
          <w:rFonts w:ascii="Arial" w:hAnsi="Arial" w:cs="Arial"/>
          <w:color w:val="202124"/>
          <w:shd w:val="clear" w:color="auto" w:fill="FFFFFF"/>
        </w:rPr>
        <w:t>2.53</w:t>
      </w:r>
    </w:p>
    <w:p w14:paraId="4DAACDEC" w14:textId="2FB258D2" w:rsidR="001B4BEF" w:rsidRPr="00BC7EEB" w:rsidRDefault="001B4BEF" w:rsidP="001B4BEF">
      <w:pPr>
        <w:spacing w:after="0" w:line="240" w:lineRule="auto"/>
        <w:rPr>
          <w:rFonts w:ascii="Arial" w:hAnsi="Arial" w:cs="Arial"/>
          <w:color w:val="202124"/>
          <w:shd w:val="clear" w:color="auto" w:fill="FFFFFF"/>
        </w:rPr>
      </w:pPr>
      <w:r w:rsidRPr="00BC7EEB">
        <w:rPr>
          <w:rFonts w:ascii="Arial" w:hAnsi="Arial" w:cs="Arial"/>
          <w:color w:val="202124"/>
          <w:shd w:val="clear" w:color="auto" w:fill="FFFFFF"/>
        </w:rPr>
        <w:t>Confidence interval = -6.49 ± 1.96*1.59</w:t>
      </w:r>
    </w:p>
    <w:p w14:paraId="6B5A6C13" w14:textId="4E3F9CE1" w:rsidR="008A72DF" w:rsidRPr="00BC7EEB" w:rsidRDefault="00E4454E" w:rsidP="008A72DF">
      <w:pPr>
        <w:spacing w:after="0" w:line="240" w:lineRule="auto"/>
        <w:rPr>
          <w:rFonts w:ascii="Arial" w:hAnsi="Arial" w:cs="Arial"/>
          <w:color w:val="202124"/>
          <w:shd w:val="clear" w:color="auto" w:fill="FFFFFF"/>
        </w:rPr>
      </w:pPr>
      <w:r w:rsidRPr="00BC7EEB">
        <w:rPr>
          <w:rFonts w:ascii="Arial" w:hAnsi="Arial" w:cs="Arial"/>
          <w:color w:val="202124"/>
          <w:shd w:val="clear" w:color="auto" w:fill="FFFFFF"/>
        </w:rPr>
        <w:t>Confidence interval = -6.49 ± 3.12</w:t>
      </w:r>
    </w:p>
    <w:p w14:paraId="527E32AD" w14:textId="7E108A92" w:rsidR="001B4BEF" w:rsidRDefault="001B4BEF" w:rsidP="001B4BEF">
      <w:pPr>
        <w:spacing w:after="0" w:line="240" w:lineRule="auto"/>
        <w:rPr>
          <w:rFonts w:ascii="Arial" w:hAnsi="Arial" w:cs="Arial"/>
          <w:color w:val="202124"/>
          <w:shd w:val="clear" w:color="auto" w:fill="FFFFFF"/>
        </w:rPr>
      </w:pPr>
      <w:r w:rsidRPr="00BC7EEB">
        <w:rPr>
          <w:rFonts w:ascii="Arial" w:hAnsi="Arial" w:cs="Arial"/>
          <w:color w:val="202124"/>
          <w:shd w:val="clear" w:color="auto" w:fill="FFFFFF"/>
        </w:rPr>
        <w:t xml:space="preserve">Confidence interval = </w:t>
      </w:r>
      <w:bookmarkStart w:id="45" w:name="_Hlk72837421"/>
      <w:r w:rsidRPr="00BC7EEB">
        <w:rPr>
          <w:rFonts w:ascii="Arial" w:hAnsi="Arial" w:cs="Arial"/>
          <w:color w:val="202124"/>
          <w:shd w:val="clear" w:color="auto" w:fill="FFFFFF"/>
        </w:rPr>
        <w:t>-9.61</w:t>
      </w:r>
      <w:bookmarkEnd w:id="45"/>
      <w:r w:rsidRPr="00BC7EEB">
        <w:rPr>
          <w:rFonts w:ascii="Arial" w:hAnsi="Arial" w:cs="Arial"/>
          <w:color w:val="202124"/>
          <w:shd w:val="clear" w:color="auto" w:fill="FFFFFF"/>
        </w:rPr>
        <w:t>, -3.37</w:t>
      </w:r>
    </w:p>
    <w:p w14:paraId="5BA0F621" w14:textId="490F29D4" w:rsidR="00A22A85" w:rsidRDefault="00A22A85" w:rsidP="001B4BEF">
      <w:pPr>
        <w:spacing w:after="0" w:line="240" w:lineRule="auto"/>
        <w:rPr>
          <w:rFonts w:ascii="Arial" w:hAnsi="Arial" w:cs="Arial"/>
          <w:color w:val="202124"/>
          <w:shd w:val="clear" w:color="auto" w:fill="FFFFFF"/>
        </w:rPr>
      </w:pPr>
    </w:p>
    <w:p w14:paraId="7FF27948" w14:textId="2D9E4A48" w:rsidR="00301FAF" w:rsidRPr="00301FAF" w:rsidRDefault="00301FAF" w:rsidP="00301FAF">
      <w:pPr>
        <w:spacing w:after="0" w:line="240" w:lineRule="auto"/>
        <w:rPr>
          <w:rFonts w:ascii="Arial" w:hAnsi="Arial" w:cs="Arial"/>
          <w:color w:val="202124"/>
          <w:shd w:val="clear" w:color="auto" w:fill="FFFFFF"/>
        </w:rPr>
      </w:pPr>
      <w:r w:rsidRPr="00301FAF">
        <w:rPr>
          <w:rFonts w:ascii="Arial" w:hAnsi="Arial" w:cs="Arial"/>
          <w:color w:val="202124"/>
          <w:shd w:val="clear" w:color="auto" w:fill="FFFFFF"/>
        </w:rPr>
        <w:t>Confidence interval does not include zero. Hence, there is </w:t>
      </w:r>
      <w:r w:rsidR="001B4BEF">
        <w:rPr>
          <w:rFonts w:ascii="Arial" w:hAnsi="Arial" w:cs="Arial"/>
          <w:color w:val="202124"/>
          <w:shd w:val="clear" w:color="auto" w:fill="FFFFFF"/>
        </w:rPr>
        <w:t>a</w:t>
      </w:r>
      <w:r w:rsidRPr="00301FAF">
        <w:rPr>
          <w:rFonts w:ascii="Arial" w:hAnsi="Arial" w:cs="Arial"/>
          <w:color w:val="202124"/>
          <w:shd w:val="clear" w:color="auto" w:fill="FFFFFF"/>
        </w:rPr>
        <w:t xml:space="preserve"> significant difference between the means of </w:t>
      </w:r>
      <w:r w:rsidR="003B6CF7">
        <w:rPr>
          <w:rFonts w:ascii="Arial" w:hAnsi="Arial" w:cs="Arial"/>
          <w:color w:val="202124"/>
          <w:shd w:val="clear" w:color="auto" w:fill="FFFFFF"/>
        </w:rPr>
        <w:t>center</w:t>
      </w:r>
      <w:r w:rsidR="001B4BEF">
        <w:rPr>
          <w:rFonts w:ascii="Arial" w:hAnsi="Arial" w:cs="Arial"/>
          <w:color w:val="202124"/>
          <w:shd w:val="clear" w:color="auto" w:fill="FFFFFF"/>
        </w:rPr>
        <w:t xml:space="preserve"> level </w:t>
      </w:r>
      <w:r w:rsidRPr="00301FAF">
        <w:rPr>
          <w:rFonts w:ascii="Arial" w:hAnsi="Arial" w:cs="Arial"/>
          <w:color w:val="202124"/>
          <w:shd w:val="clear" w:color="auto" w:fill="FFFFFF"/>
        </w:rPr>
        <w:t>drug stock-outs between the periods 2006-2015 and 2016 - 2021 at a 95% level of confidence.</w:t>
      </w:r>
    </w:p>
    <w:p w14:paraId="1423CCEC" w14:textId="77777777" w:rsidR="00301FAF" w:rsidRPr="00301FAF" w:rsidRDefault="00301FAF" w:rsidP="00301FAF">
      <w:pPr>
        <w:spacing w:after="0" w:line="240" w:lineRule="auto"/>
        <w:rPr>
          <w:rFonts w:ascii="Arial" w:hAnsi="Arial" w:cs="Arial"/>
          <w:color w:val="202124"/>
          <w:shd w:val="clear" w:color="auto" w:fill="FFFFFF"/>
        </w:rPr>
      </w:pPr>
    </w:p>
    <w:p w14:paraId="3C7946B0" w14:textId="77777777" w:rsidR="00301FAF" w:rsidRPr="00301FAF" w:rsidRDefault="00301FAF" w:rsidP="00301FAF">
      <w:pPr>
        <w:spacing w:after="0" w:line="240" w:lineRule="auto"/>
        <w:rPr>
          <w:rFonts w:ascii="Arial" w:hAnsi="Arial" w:cs="Arial"/>
          <w:color w:val="202124"/>
          <w:shd w:val="clear" w:color="auto" w:fill="FFFFFF"/>
        </w:rPr>
      </w:pPr>
    </w:p>
    <w:p w14:paraId="13999652" w14:textId="29EF1143" w:rsidR="00301FAF" w:rsidRPr="00301FAF" w:rsidRDefault="00301FAF" w:rsidP="00301FAF">
      <w:pPr>
        <w:spacing w:after="0" w:line="240" w:lineRule="auto"/>
        <w:rPr>
          <w:rFonts w:ascii="Arial" w:hAnsi="Arial" w:cs="Arial"/>
          <w:color w:val="202124"/>
          <w:shd w:val="clear" w:color="auto" w:fill="FFFFFF"/>
        </w:rPr>
      </w:pPr>
      <w:r w:rsidRPr="00301FAF">
        <w:rPr>
          <w:rFonts w:ascii="Arial" w:hAnsi="Arial" w:cs="Arial"/>
          <w:color w:val="202124"/>
          <w:shd w:val="clear" w:color="auto" w:fill="FFFFFF"/>
        </w:rPr>
        <w:t>Z statistic where (X̄</w:t>
      </w:r>
      <w:r w:rsidRPr="00301FAF">
        <w:rPr>
          <w:rFonts w:ascii="Arial" w:hAnsi="Arial" w:cs="Arial"/>
          <w:color w:val="202124"/>
          <w:shd w:val="clear" w:color="auto" w:fill="FFFFFF"/>
          <w:vertAlign w:val="subscript"/>
        </w:rPr>
        <w:t>1</w:t>
      </w:r>
      <w:r w:rsidRPr="00301FAF">
        <w:rPr>
          <w:rFonts w:ascii="Arial" w:hAnsi="Arial" w:cs="Arial"/>
          <w:color w:val="202124"/>
          <w:shd w:val="clear" w:color="auto" w:fill="FFFFFF"/>
        </w:rPr>
        <w:t xml:space="preserve"> – X</w:t>
      </w:r>
      <w:r w:rsidRPr="00301FAF">
        <w:rPr>
          <w:rFonts w:ascii="Arial" w:hAnsi="Arial" w:cs="Arial"/>
          <w:color w:val="202124"/>
          <w:shd w:val="clear" w:color="auto" w:fill="FFFFFF"/>
          <w:vertAlign w:val="subscript"/>
        </w:rPr>
        <w:t>2</w:t>
      </w:r>
      <w:r w:rsidRPr="00301FAF">
        <w:rPr>
          <w:rFonts w:ascii="Arial" w:hAnsi="Arial" w:cs="Arial"/>
          <w:color w:val="202124"/>
          <w:shd w:val="clear" w:color="auto" w:fill="FFFFFF"/>
        </w:rPr>
        <w:t xml:space="preserve">) = </w:t>
      </w:r>
      <w:r w:rsidR="00C7706F" w:rsidRPr="00C7706F">
        <w:rPr>
          <w:rFonts w:ascii="Arial" w:hAnsi="Arial" w:cs="Arial"/>
          <w:color w:val="202124"/>
          <w:shd w:val="clear" w:color="auto" w:fill="FFFFFF"/>
        </w:rPr>
        <w:t xml:space="preserve">-6.49 </w:t>
      </w:r>
      <w:r w:rsidR="00C7706F">
        <w:rPr>
          <w:rFonts w:ascii="Arial" w:hAnsi="Arial" w:cs="Arial"/>
          <w:color w:val="202124"/>
          <w:shd w:val="clear" w:color="auto" w:fill="FFFFFF"/>
        </w:rPr>
        <w:t>and</w:t>
      </w:r>
      <w:r w:rsidRPr="00301FAF">
        <w:rPr>
          <w:rFonts w:ascii="Arial" w:hAnsi="Arial" w:cs="Arial"/>
          <w:color w:val="202124"/>
          <w:shd w:val="clear" w:color="auto" w:fill="FFFFFF"/>
        </w:rPr>
        <w:t xml:space="preserve"> √ ([s</w:t>
      </w:r>
      <w:r w:rsidRPr="00301FAF">
        <w:rPr>
          <w:rFonts w:ascii="Arial" w:hAnsi="Arial" w:cs="Arial"/>
          <w:color w:val="202124"/>
          <w:shd w:val="clear" w:color="auto" w:fill="FFFFFF"/>
          <w:vertAlign w:val="subscript"/>
        </w:rPr>
        <w:t>1</w:t>
      </w:r>
      <w:r w:rsidRPr="00301FAF">
        <w:rPr>
          <w:rFonts w:ascii="Arial" w:hAnsi="Arial" w:cs="Arial"/>
          <w:color w:val="202124"/>
          <w:shd w:val="clear" w:color="auto" w:fill="FFFFFF"/>
          <w:vertAlign w:val="superscript"/>
        </w:rPr>
        <w:t>2</w:t>
      </w:r>
      <w:r w:rsidRPr="00301FAF">
        <w:rPr>
          <w:rFonts w:ascii="Arial" w:hAnsi="Arial" w:cs="Arial"/>
          <w:color w:val="202124"/>
          <w:shd w:val="clear" w:color="auto" w:fill="FFFFFF"/>
        </w:rPr>
        <w:t>/n</w:t>
      </w:r>
      <w:r w:rsidRPr="00301FAF">
        <w:rPr>
          <w:rFonts w:ascii="Arial" w:hAnsi="Arial" w:cs="Arial"/>
          <w:color w:val="202124"/>
          <w:shd w:val="clear" w:color="auto" w:fill="FFFFFF"/>
          <w:vertAlign w:val="subscript"/>
        </w:rPr>
        <w:t>1</w:t>
      </w:r>
      <w:r w:rsidRPr="00301FAF">
        <w:rPr>
          <w:rFonts w:ascii="Arial" w:hAnsi="Arial" w:cs="Arial"/>
          <w:color w:val="202124"/>
          <w:shd w:val="clear" w:color="auto" w:fill="FFFFFF"/>
        </w:rPr>
        <w:t>] + [s</w:t>
      </w:r>
      <w:r w:rsidRPr="00301FAF">
        <w:rPr>
          <w:rFonts w:ascii="Arial" w:hAnsi="Arial" w:cs="Arial"/>
          <w:color w:val="202124"/>
          <w:shd w:val="clear" w:color="auto" w:fill="FFFFFF"/>
          <w:vertAlign w:val="subscript"/>
        </w:rPr>
        <w:t>2</w:t>
      </w:r>
      <w:r w:rsidRPr="00301FAF">
        <w:rPr>
          <w:rFonts w:ascii="Arial" w:hAnsi="Arial" w:cs="Arial"/>
          <w:color w:val="202124"/>
          <w:shd w:val="clear" w:color="auto" w:fill="FFFFFF"/>
          <w:vertAlign w:val="superscript"/>
        </w:rPr>
        <w:t>2</w:t>
      </w:r>
      <w:r w:rsidRPr="00301FAF">
        <w:rPr>
          <w:rFonts w:ascii="Arial" w:hAnsi="Arial" w:cs="Arial"/>
          <w:color w:val="202124"/>
          <w:shd w:val="clear" w:color="auto" w:fill="FFFFFF"/>
        </w:rPr>
        <w:t>/n</w:t>
      </w:r>
      <w:r w:rsidRPr="00301FAF">
        <w:rPr>
          <w:rFonts w:ascii="Arial" w:hAnsi="Arial" w:cs="Arial"/>
          <w:color w:val="202124"/>
          <w:shd w:val="clear" w:color="auto" w:fill="FFFFFF"/>
          <w:vertAlign w:val="subscript"/>
        </w:rPr>
        <w:t>2</w:t>
      </w:r>
      <w:r w:rsidRPr="00301FAF">
        <w:rPr>
          <w:rFonts w:ascii="Arial" w:hAnsi="Arial" w:cs="Arial"/>
          <w:color w:val="202124"/>
          <w:shd w:val="clear" w:color="auto" w:fill="FFFFFF"/>
        </w:rPr>
        <w:t xml:space="preserve">]) = </w:t>
      </w:r>
      <w:r w:rsidR="00C7706F" w:rsidRPr="00C7706F">
        <w:rPr>
          <w:rFonts w:ascii="Arial" w:hAnsi="Arial" w:cs="Arial"/>
          <w:color w:val="202124"/>
          <w:shd w:val="clear" w:color="auto" w:fill="FFFFFF"/>
        </w:rPr>
        <w:t>1.59</w:t>
      </w:r>
      <w:r w:rsidR="00C7706F">
        <w:rPr>
          <w:rFonts w:ascii="Arial" w:hAnsi="Arial" w:cs="Arial"/>
          <w:color w:val="202124"/>
          <w:shd w:val="clear" w:color="auto" w:fill="FFFFFF"/>
        </w:rPr>
        <w:t xml:space="preserve"> </w:t>
      </w:r>
      <w:r w:rsidRPr="00301FAF">
        <w:rPr>
          <w:rFonts w:ascii="Arial" w:hAnsi="Arial" w:cs="Arial"/>
          <w:color w:val="202124"/>
          <w:shd w:val="clear" w:color="auto" w:fill="FFFFFF"/>
        </w:rPr>
        <w:t>drawing from the solution above</w:t>
      </w:r>
    </w:p>
    <w:p w14:paraId="06288D1A" w14:textId="2A4A96DF" w:rsidR="00301FAF" w:rsidRPr="00301FAF" w:rsidRDefault="00301FAF" w:rsidP="00301FAF">
      <w:pPr>
        <w:spacing w:after="0" w:line="240" w:lineRule="auto"/>
        <w:rPr>
          <w:rFonts w:ascii="Arial" w:hAnsi="Arial" w:cs="Arial"/>
          <w:color w:val="202124"/>
          <w:shd w:val="clear" w:color="auto" w:fill="FFFFFF"/>
        </w:rPr>
      </w:pPr>
      <w:r w:rsidRPr="00301FAF">
        <w:rPr>
          <w:rFonts w:ascii="Arial" w:hAnsi="Arial" w:cs="Arial"/>
          <w:color w:val="202124"/>
          <w:shd w:val="clear" w:color="auto" w:fill="FFFFFF"/>
        </w:rPr>
        <w:t xml:space="preserve">Z-statistics = </w:t>
      </w:r>
      <w:r w:rsidR="00C7706F" w:rsidRPr="00C7706F">
        <w:rPr>
          <w:rFonts w:ascii="Arial" w:hAnsi="Arial" w:cs="Arial"/>
          <w:color w:val="202124"/>
          <w:shd w:val="clear" w:color="auto" w:fill="FFFFFF"/>
        </w:rPr>
        <w:t xml:space="preserve">-6.49 </w:t>
      </w:r>
      <w:r w:rsidRPr="00301FAF">
        <w:rPr>
          <w:rFonts w:ascii="Arial" w:hAnsi="Arial" w:cs="Arial"/>
          <w:color w:val="202124"/>
          <w:shd w:val="clear" w:color="auto" w:fill="FFFFFF"/>
        </w:rPr>
        <w:t xml:space="preserve">/ </w:t>
      </w:r>
      <w:r w:rsidR="00C7706F" w:rsidRPr="00C7706F">
        <w:rPr>
          <w:rFonts w:ascii="Arial" w:hAnsi="Arial" w:cs="Arial"/>
          <w:color w:val="202124"/>
          <w:shd w:val="clear" w:color="auto" w:fill="FFFFFF"/>
        </w:rPr>
        <w:t>1.59</w:t>
      </w:r>
      <w:r w:rsidR="00C7706F">
        <w:rPr>
          <w:rFonts w:ascii="Arial" w:hAnsi="Arial" w:cs="Arial"/>
          <w:color w:val="202124"/>
          <w:shd w:val="clear" w:color="auto" w:fill="FFFFFF"/>
        </w:rPr>
        <w:t xml:space="preserve"> </w:t>
      </w:r>
      <w:r w:rsidRPr="00301FAF">
        <w:rPr>
          <w:rFonts w:ascii="Arial" w:hAnsi="Arial" w:cs="Arial"/>
          <w:color w:val="202124"/>
          <w:shd w:val="clear" w:color="auto" w:fill="FFFFFF"/>
        </w:rPr>
        <w:t xml:space="preserve">= </w:t>
      </w:r>
      <w:r w:rsidR="00C7706F" w:rsidRPr="00C7706F">
        <w:rPr>
          <w:rFonts w:ascii="Arial" w:hAnsi="Arial" w:cs="Arial"/>
          <w:color w:val="202124"/>
          <w:shd w:val="clear" w:color="auto" w:fill="FFFFFF"/>
        </w:rPr>
        <w:t>-4.08</w:t>
      </w:r>
    </w:p>
    <w:p w14:paraId="5CB9D298" w14:textId="53919EF1" w:rsidR="00301FAF" w:rsidRPr="00301FAF" w:rsidRDefault="00301FAF" w:rsidP="00301FAF">
      <w:pPr>
        <w:spacing w:after="0" w:line="240" w:lineRule="auto"/>
        <w:rPr>
          <w:rFonts w:ascii="Arial" w:hAnsi="Arial" w:cs="Arial"/>
          <w:color w:val="202124"/>
          <w:shd w:val="clear" w:color="auto" w:fill="FFFFFF"/>
        </w:rPr>
      </w:pPr>
      <w:r w:rsidRPr="00301FAF">
        <w:rPr>
          <w:rFonts w:ascii="Arial" w:hAnsi="Arial" w:cs="Arial"/>
          <w:color w:val="202124"/>
          <w:shd w:val="clear" w:color="auto" w:fill="FFFFFF"/>
        </w:rPr>
        <w:t xml:space="preserve">Hence </w:t>
      </w:r>
      <w:r w:rsidR="00C7706F" w:rsidRPr="00C7706F">
        <w:rPr>
          <w:rFonts w:ascii="Arial" w:hAnsi="Arial" w:cs="Arial"/>
          <w:color w:val="202124"/>
          <w:shd w:val="clear" w:color="auto" w:fill="FFFFFF"/>
        </w:rPr>
        <w:t>-</w:t>
      </w:r>
      <w:bookmarkStart w:id="46" w:name="_Hlk72839348"/>
      <w:r w:rsidR="00C7706F" w:rsidRPr="00C7706F">
        <w:rPr>
          <w:rFonts w:ascii="Arial" w:hAnsi="Arial" w:cs="Arial"/>
          <w:color w:val="202124"/>
          <w:shd w:val="clear" w:color="auto" w:fill="FFFFFF"/>
        </w:rPr>
        <w:t>4.08</w:t>
      </w:r>
      <w:r w:rsidR="00C7706F">
        <w:rPr>
          <w:rFonts w:ascii="Arial" w:hAnsi="Arial" w:cs="Arial"/>
          <w:color w:val="202124"/>
          <w:shd w:val="clear" w:color="auto" w:fill="FFFFFF"/>
        </w:rPr>
        <w:t xml:space="preserve"> </w:t>
      </w:r>
      <w:bookmarkEnd w:id="46"/>
      <w:r w:rsidR="00BC7EEB">
        <w:rPr>
          <w:rFonts w:ascii="Arial" w:hAnsi="Arial" w:cs="Arial"/>
          <w:color w:val="202124"/>
          <w:shd w:val="clear" w:color="auto" w:fill="FFFFFF"/>
        </w:rPr>
        <w:t xml:space="preserve">is not </w:t>
      </w:r>
      <w:r w:rsidRPr="00301FAF">
        <w:rPr>
          <w:rFonts w:ascii="Arial" w:hAnsi="Arial" w:cs="Arial"/>
          <w:color w:val="202124"/>
          <w:shd w:val="clear" w:color="auto" w:fill="FFFFFF"/>
        </w:rPr>
        <w:t xml:space="preserve">within </w:t>
      </w:r>
      <w:r w:rsidR="00BC7EEB">
        <w:rPr>
          <w:rFonts w:ascii="Arial" w:hAnsi="Arial" w:cs="Arial"/>
          <w:color w:val="202124"/>
          <w:shd w:val="clear" w:color="auto" w:fill="FFFFFF"/>
        </w:rPr>
        <w:t xml:space="preserve">the </w:t>
      </w:r>
      <w:r w:rsidRPr="00301FAF">
        <w:rPr>
          <w:rFonts w:ascii="Arial" w:hAnsi="Arial" w:cs="Arial"/>
          <w:color w:val="202124"/>
          <w:shd w:val="clear" w:color="auto" w:fill="FFFFFF"/>
        </w:rPr>
        <w:t>rejection region of &lt; -</w:t>
      </w:r>
      <w:r w:rsidR="00C7706F">
        <w:rPr>
          <w:rFonts w:ascii="Arial" w:hAnsi="Arial" w:cs="Arial"/>
          <w:color w:val="202124"/>
          <w:shd w:val="clear" w:color="auto" w:fill="FFFFFF"/>
        </w:rPr>
        <w:t>1.96</w:t>
      </w:r>
      <w:r w:rsidR="00BC7EEB">
        <w:rPr>
          <w:rFonts w:ascii="Arial" w:hAnsi="Arial" w:cs="Arial"/>
          <w:color w:val="202124"/>
          <w:shd w:val="clear" w:color="auto" w:fill="FFFFFF"/>
        </w:rPr>
        <w:t xml:space="preserve"> and + 1.96</w:t>
      </w:r>
      <w:r w:rsidRPr="00301FAF">
        <w:rPr>
          <w:rFonts w:ascii="Arial" w:hAnsi="Arial" w:cs="Arial"/>
          <w:color w:val="202124"/>
          <w:shd w:val="clear" w:color="auto" w:fill="FFFFFF"/>
        </w:rPr>
        <w:t>. Hence, we reject the null hypothesis.</w:t>
      </w:r>
    </w:p>
    <w:p w14:paraId="5FD0FB3E" w14:textId="77777777" w:rsidR="00301FAF" w:rsidRPr="00301FAF" w:rsidRDefault="00301FAF" w:rsidP="00301FAF">
      <w:pPr>
        <w:spacing w:after="0" w:line="240" w:lineRule="auto"/>
        <w:rPr>
          <w:rFonts w:ascii="Arial" w:hAnsi="Arial" w:cs="Arial"/>
          <w:color w:val="202124"/>
          <w:shd w:val="clear" w:color="auto" w:fill="FFFFFF"/>
        </w:rPr>
      </w:pPr>
    </w:p>
    <w:p w14:paraId="6F43542F" w14:textId="77777777" w:rsidR="00301FAF" w:rsidRPr="00301FAF" w:rsidRDefault="00301FAF" w:rsidP="00301FAF">
      <w:pPr>
        <w:spacing w:after="0" w:line="240" w:lineRule="auto"/>
        <w:rPr>
          <w:rFonts w:ascii="Arial" w:hAnsi="Arial" w:cs="Arial"/>
          <w:color w:val="202124"/>
          <w:shd w:val="clear" w:color="auto" w:fill="FFFFFF"/>
        </w:rPr>
      </w:pPr>
    </w:p>
    <w:p w14:paraId="602AA6A0" w14:textId="0C9B2B06" w:rsidR="00796877" w:rsidRPr="00796877" w:rsidRDefault="00301FAF" w:rsidP="00796877">
      <w:pPr>
        <w:spacing w:after="0" w:line="240" w:lineRule="auto"/>
        <w:rPr>
          <w:rFonts w:ascii="Arial" w:hAnsi="Arial" w:cs="Arial"/>
          <w:color w:val="202124"/>
          <w:shd w:val="clear" w:color="auto" w:fill="FFFFFF"/>
        </w:rPr>
      </w:pPr>
      <w:r w:rsidRPr="00301FAF">
        <w:rPr>
          <w:rFonts w:ascii="Arial" w:hAnsi="Arial" w:cs="Arial"/>
          <w:color w:val="202124"/>
          <w:shd w:val="clear" w:color="auto" w:fill="FFFFFF"/>
        </w:rPr>
        <w:t>The number -</w:t>
      </w:r>
      <w:r w:rsidR="00C7706F" w:rsidRPr="00C7706F">
        <w:rPr>
          <w:rFonts w:ascii="Arial" w:hAnsi="Arial" w:cs="Arial"/>
          <w:color w:val="202124"/>
          <w:shd w:val="clear" w:color="auto" w:fill="FFFFFF"/>
        </w:rPr>
        <w:t xml:space="preserve">4.08 </w:t>
      </w:r>
      <w:r w:rsidRPr="00301FAF">
        <w:rPr>
          <w:rFonts w:ascii="Arial" w:hAnsi="Arial" w:cs="Arial"/>
          <w:color w:val="202124"/>
          <w:shd w:val="clear" w:color="auto" w:fill="FFFFFF"/>
        </w:rPr>
        <w:t xml:space="preserve">is too large to appear in Z-table, </w:t>
      </w:r>
      <w:r w:rsidR="00796877" w:rsidRPr="00796877">
        <w:rPr>
          <w:rFonts w:ascii="Arial" w:hAnsi="Arial" w:cs="Arial"/>
          <w:color w:val="202124"/>
          <w:shd w:val="clear" w:color="auto" w:fill="FFFFFF"/>
        </w:rPr>
        <w:t>and the vast majority (close to 1) of the area in the normal curve lies to the right of this Z-score.</w:t>
      </w:r>
    </w:p>
    <w:p w14:paraId="5F47422E" w14:textId="77777777" w:rsidR="00796877" w:rsidRPr="00796877" w:rsidRDefault="00796877" w:rsidP="00796877">
      <w:pPr>
        <w:spacing w:after="0" w:line="240" w:lineRule="auto"/>
        <w:rPr>
          <w:rFonts w:ascii="Arial" w:hAnsi="Arial" w:cs="Arial"/>
          <w:color w:val="202124"/>
          <w:shd w:val="clear" w:color="auto" w:fill="FFFFFF"/>
        </w:rPr>
      </w:pPr>
      <w:r w:rsidRPr="00796877">
        <w:rPr>
          <w:rFonts w:ascii="Arial" w:hAnsi="Arial" w:cs="Arial"/>
          <w:color w:val="202124"/>
          <w:shd w:val="clear" w:color="auto" w:fill="FFFFFF"/>
        </w:rPr>
        <w:t>Therefore p(Z-score) = 1−1.0000 = 0.0000. The p-value = 0.0000</w:t>
      </w:r>
    </w:p>
    <w:p w14:paraId="2B0A9321" w14:textId="4BC2DACB" w:rsidR="00796877" w:rsidRDefault="00796877" w:rsidP="00301FAF">
      <w:pPr>
        <w:spacing w:after="0" w:line="240" w:lineRule="auto"/>
        <w:rPr>
          <w:rFonts w:ascii="Arial" w:hAnsi="Arial" w:cs="Arial"/>
          <w:color w:val="202124"/>
          <w:shd w:val="clear" w:color="auto" w:fill="FFFFFF"/>
        </w:rPr>
      </w:pPr>
    </w:p>
    <w:p w14:paraId="16257393" w14:textId="54284FE2" w:rsidR="00301FAF" w:rsidRPr="00301FAF" w:rsidRDefault="00301FAF" w:rsidP="00301FAF">
      <w:pPr>
        <w:spacing w:after="0" w:line="240" w:lineRule="auto"/>
        <w:rPr>
          <w:rFonts w:ascii="Arial" w:hAnsi="Arial" w:cs="Arial"/>
          <w:color w:val="202124"/>
          <w:shd w:val="clear" w:color="auto" w:fill="FFFFFF"/>
        </w:rPr>
      </w:pPr>
      <w:r w:rsidRPr="00301FAF">
        <w:rPr>
          <w:rFonts w:ascii="Arial" w:hAnsi="Arial" w:cs="Arial"/>
          <w:color w:val="202124"/>
          <w:shd w:val="clear" w:color="auto" w:fill="FFFFFF"/>
        </w:rPr>
        <w:t xml:space="preserve">The data provide sufficient evidence, at the 5% level of significance, to conclude that there is a difference between </w:t>
      </w:r>
      <w:r w:rsidR="00C7706F">
        <w:rPr>
          <w:rFonts w:ascii="Arial" w:hAnsi="Arial" w:cs="Arial"/>
          <w:color w:val="202124"/>
          <w:shd w:val="clear" w:color="auto" w:fill="FFFFFF"/>
        </w:rPr>
        <w:t xml:space="preserve">health </w:t>
      </w:r>
      <w:r w:rsidR="003B6CF7">
        <w:rPr>
          <w:rFonts w:ascii="Arial" w:hAnsi="Arial" w:cs="Arial"/>
          <w:color w:val="202124"/>
          <w:shd w:val="clear" w:color="auto" w:fill="FFFFFF"/>
        </w:rPr>
        <w:t>center</w:t>
      </w:r>
      <w:r w:rsidR="00C7706F">
        <w:rPr>
          <w:rFonts w:ascii="Arial" w:hAnsi="Arial" w:cs="Arial"/>
          <w:color w:val="202124"/>
          <w:shd w:val="clear" w:color="auto" w:fill="FFFFFF"/>
        </w:rPr>
        <w:t xml:space="preserve"> level </w:t>
      </w:r>
      <w:r w:rsidRPr="00301FAF">
        <w:rPr>
          <w:rFonts w:ascii="Arial" w:hAnsi="Arial" w:cs="Arial"/>
          <w:color w:val="202124"/>
          <w:shd w:val="clear" w:color="auto" w:fill="FFFFFF"/>
        </w:rPr>
        <w:t>stock out in the two periods.</w:t>
      </w:r>
    </w:p>
    <w:p w14:paraId="589DE141" w14:textId="77777777" w:rsidR="00691EB0" w:rsidRDefault="00301FAF" w:rsidP="00301FAF">
      <w:pPr>
        <w:spacing w:after="0" w:line="240" w:lineRule="auto"/>
        <w:rPr>
          <w:rFonts w:ascii="Arial" w:hAnsi="Arial" w:cs="Arial"/>
          <w:color w:val="202124"/>
          <w:shd w:val="clear" w:color="auto" w:fill="FFFFFF"/>
        </w:rPr>
      </w:pPr>
      <w:r w:rsidRPr="00301FAF">
        <w:rPr>
          <w:rFonts w:ascii="Arial" w:hAnsi="Arial" w:cs="Arial"/>
          <w:color w:val="202124"/>
          <w:shd w:val="clear" w:color="auto" w:fill="FFFFFF"/>
        </w:rPr>
        <w:t xml:space="preserve">P-value of </w:t>
      </w:r>
      <w:r w:rsidR="00C7706F" w:rsidRPr="00301FAF">
        <w:rPr>
          <w:rFonts w:ascii="Arial" w:hAnsi="Arial" w:cs="Arial"/>
          <w:color w:val="202124"/>
          <w:shd w:val="clear" w:color="auto" w:fill="FFFFFF"/>
        </w:rPr>
        <w:t>0.0000</w:t>
      </w:r>
      <w:r w:rsidR="00C7706F">
        <w:rPr>
          <w:rFonts w:ascii="Arial" w:hAnsi="Arial" w:cs="Arial"/>
          <w:color w:val="202124"/>
          <w:shd w:val="clear" w:color="auto" w:fill="FFFFFF"/>
        </w:rPr>
        <w:t xml:space="preserve"> </w:t>
      </w:r>
      <w:r w:rsidRPr="00301FAF">
        <w:rPr>
          <w:rFonts w:ascii="Arial" w:hAnsi="Arial" w:cs="Arial"/>
          <w:color w:val="202124"/>
          <w:shd w:val="clear" w:color="auto" w:fill="FFFFFF"/>
        </w:rPr>
        <w:t xml:space="preserve">is </w:t>
      </w:r>
      <w:r w:rsidR="00C7706F">
        <w:rPr>
          <w:rFonts w:ascii="Arial" w:hAnsi="Arial" w:cs="Arial"/>
          <w:color w:val="202124"/>
          <w:shd w:val="clear" w:color="auto" w:fill="FFFFFF"/>
        </w:rPr>
        <w:t>&lt;</w:t>
      </w:r>
      <w:r w:rsidRPr="00301FAF">
        <w:rPr>
          <w:rFonts w:ascii="Arial" w:hAnsi="Arial" w:cs="Arial"/>
          <w:color w:val="202124"/>
          <w:shd w:val="clear" w:color="auto" w:fill="FFFFFF"/>
        </w:rPr>
        <w:t xml:space="preserve"> 0.05. Hence, there is sufficient evidence to reject the null hypothesis.</w:t>
      </w:r>
    </w:p>
    <w:p w14:paraId="500349F9" w14:textId="77777777" w:rsidR="00D77B45" w:rsidRDefault="00D77B45" w:rsidP="00301FAF">
      <w:pPr>
        <w:spacing w:after="0" w:line="240" w:lineRule="auto"/>
        <w:rPr>
          <w:rFonts w:ascii="Arial" w:hAnsi="Arial" w:cs="Arial"/>
          <w:color w:val="202124"/>
          <w:shd w:val="clear" w:color="auto" w:fill="FFFFFF"/>
        </w:rPr>
      </w:pPr>
    </w:p>
    <w:p w14:paraId="27DE0790" w14:textId="77777777" w:rsidR="00D77B45" w:rsidRDefault="00D77B45" w:rsidP="00301FAF">
      <w:pPr>
        <w:spacing w:after="0" w:line="240" w:lineRule="auto"/>
        <w:rPr>
          <w:rFonts w:ascii="Arial" w:hAnsi="Arial" w:cs="Arial"/>
          <w:color w:val="202124"/>
          <w:shd w:val="clear" w:color="auto" w:fill="FFFFFF"/>
        </w:rPr>
      </w:pPr>
    </w:p>
    <w:p w14:paraId="60CD3251" w14:textId="0BD4F1E3" w:rsidR="00D77B45" w:rsidRDefault="00D77B45">
      <w:pPr>
        <w:rPr>
          <w:rFonts w:ascii="Arial" w:hAnsi="Arial" w:cs="Arial"/>
          <w:color w:val="202124"/>
          <w:shd w:val="clear" w:color="auto" w:fill="FFFFFF"/>
        </w:rPr>
      </w:pPr>
      <w:r>
        <w:rPr>
          <w:rFonts w:ascii="Arial" w:hAnsi="Arial" w:cs="Arial"/>
          <w:color w:val="202124"/>
          <w:shd w:val="clear" w:color="auto" w:fill="FFFFFF"/>
        </w:rPr>
        <w:br w:type="page"/>
      </w:r>
    </w:p>
    <w:p w14:paraId="7EE63A80" w14:textId="592DFA12" w:rsidR="00D77B45" w:rsidRDefault="00D77B45" w:rsidP="00D77B45">
      <w:pPr>
        <w:rPr>
          <w:rFonts w:ascii="Times New Roman" w:eastAsia="Calibri" w:hAnsi="Times New Roman" w:cs="Times New Roman"/>
          <w:noProof/>
          <w:sz w:val="24"/>
          <w:szCs w:val="24"/>
          <w:lang w:val="en-GB"/>
        </w:rPr>
      </w:pPr>
      <w:r>
        <w:rPr>
          <w:rFonts w:ascii="Times New Roman" w:eastAsia="Calibri" w:hAnsi="Times New Roman" w:cs="Times New Roman"/>
          <w:i/>
          <w:noProof/>
          <w:sz w:val="24"/>
          <w:szCs w:val="24"/>
          <w:lang w:val="en-GB"/>
        </w:rPr>
        <w:lastRenderedPageBreak/>
        <w:t>Appendix 3</w:t>
      </w:r>
      <w:r w:rsidRPr="00E2581A">
        <w:rPr>
          <w:rFonts w:ascii="Times New Roman" w:eastAsia="Calibri" w:hAnsi="Times New Roman" w:cs="Times New Roman"/>
          <w:noProof/>
          <w:sz w:val="24"/>
          <w:szCs w:val="24"/>
          <w:lang w:val="en-GB"/>
        </w:rPr>
        <w:t xml:space="preserve">. An inductive approach to identifying the common themes in </w:t>
      </w:r>
      <w:r>
        <w:rPr>
          <w:rFonts w:ascii="Times New Roman" w:eastAsia="Calibri" w:hAnsi="Times New Roman" w:cs="Times New Roman"/>
          <w:noProof/>
          <w:sz w:val="24"/>
          <w:szCs w:val="24"/>
          <w:lang w:val="en-GB"/>
        </w:rPr>
        <w:t>reasons for and consequences of stock-outs</w:t>
      </w:r>
    </w:p>
    <w:p w14:paraId="53DF6D23" w14:textId="6463599A" w:rsidR="00AA2DD6" w:rsidRPr="00D77B45" w:rsidRDefault="00AA2DD6" w:rsidP="00D77B45">
      <w:pPr>
        <w:rPr>
          <w:rFonts w:ascii="Arial" w:hAnsi="Arial" w:cs="Arial"/>
          <w:color w:val="202124"/>
          <w:shd w:val="clear" w:color="auto" w:fill="FFFFFF"/>
        </w:rPr>
      </w:pPr>
      <w:r w:rsidRPr="00AA2DD6">
        <w:rPr>
          <w:rFonts w:ascii="Times New Roman" w:eastAsia="Calibri" w:hAnsi="Times New Roman" w:cs="Times New Roman"/>
          <w:noProof/>
          <w:sz w:val="24"/>
          <w:szCs w:val="24"/>
          <w:u w:val="single"/>
          <w:lang w:val="en-GB"/>
        </w:rPr>
        <w:t>Table 4</w:t>
      </w:r>
      <w:r>
        <w:rPr>
          <w:rFonts w:ascii="Times New Roman" w:eastAsia="Calibri" w:hAnsi="Times New Roman" w:cs="Times New Roman"/>
          <w:noProof/>
          <w:sz w:val="24"/>
          <w:szCs w:val="24"/>
          <w:lang w:val="en-GB"/>
        </w:rPr>
        <w:t>: Common themes on the reasons and consequences of stock-out</w:t>
      </w:r>
    </w:p>
    <w:p w14:paraId="0A084722" w14:textId="77777777" w:rsidR="00DA7609" w:rsidRDefault="003B0485" w:rsidP="00D77B45">
      <w:pPr>
        <w:rPr>
          <w:b/>
          <w:bCs/>
        </w:rPr>
      </w:pPr>
      <w:r>
        <w:rPr>
          <w:b/>
          <w:bCs/>
        </w:rPr>
        <w:t xml:space="preserve"> </w:t>
      </w:r>
    </w:p>
    <w:tbl>
      <w:tblPr>
        <w:tblStyle w:val="PlainTable2111"/>
        <w:tblW w:w="11860" w:type="dxa"/>
        <w:tblInd w:w="-426" w:type="dxa"/>
        <w:tblLayout w:type="fixed"/>
        <w:tblLook w:val="04A0" w:firstRow="1" w:lastRow="0" w:firstColumn="1" w:lastColumn="0" w:noHBand="0" w:noVBand="1"/>
      </w:tblPr>
      <w:tblGrid>
        <w:gridCol w:w="3369"/>
        <w:gridCol w:w="2143"/>
        <w:gridCol w:w="2834"/>
        <w:gridCol w:w="3514"/>
      </w:tblGrid>
      <w:tr w:rsidR="00DA7609" w:rsidRPr="00DA7609" w14:paraId="36D3AEE5" w14:textId="77777777" w:rsidTr="00FE1ADC">
        <w:trPr>
          <w:cnfStyle w:val="100000000000" w:firstRow="1" w:lastRow="0" w:firstColumn="0" w:lastColumn="0" w:oddVBand="0" w:evenVBand="0" w:oddHBand="0" w:evenHBand="0" w:firstRowFirstColumn="0" w:firstRowLastColumn="0" w:lastRowFirstColumn="0" w:lastRowLastColumn="0"/>
          <w:cantSplit/>
          <w:trHeight w:val="397"/>
          <w:tblHeader/>
        </w:trPr>
        <w:tc>
          <w:tcPr>
            <w:cnfStyle w:val="001000000000" w:firstRow="0" w:lastRow="0" w:firstColumn="1" w:lastColumn="0" w:oddVBand="0" w:evenVBand="0" w:oddHBand="0" w:evenHBand="0" w:firstRowFirstColumn="0" w:firstRowLastColumn="0" w:lastRowFirstColumn="0" w:lastRowLastColumn="0"/>
            <w:tcW w:w="3369" w:type="dxa"/>
          </w:tcPr>
          <w:p w14:paraId="1A09D25B" w14:textId="77777777" w:rsidR="00DA7609" w:rsidRPr="00DA7609" w:rsidRDefault="00DA7609" w:rsidP="00DA7609">
            <w:pPr>
              <w:spacing w:before="60" w:after="60"/>
              <w:ind w:hanging="2"/>
              <w:rPr>
                <w:noProof/>
                <w:sz w:val="24"/>
                <w:szCs w:val="24"/>
              </w:rPr>
            </w:pPr>
            <w:r w:rsidRPr="00DA7609">
              <w:rPr>
                <w:noProof/>
                <w:sz w:val="24"/>
                <w:szCs w:val="24"/>
              </w:rPr>
              <w:t>Theme</w:t>
            </w:r>
          </w:p>
        </w:tc>
        <w:tc>
          <w:tcPr>
            <w:tcW w:w="2143" w:type="dxa"/>
          </w:tcPr>
          <w:p w14:paraId="05D7ABC7" w14:textId="77777777" w:rsidR="00DA7609" w:rsidRPr="00DA7609" w:rsidRDefault="00DA7609" w:rsidP="00DA7609">
            <w:pPr>
              <w:spacing w:before="60" w:after="60"/>
              <w:ind w:hanging="2"/>
              <w:cnfStyle w:val="100000000000" w:firstRow="1" w:lastRow="0" w:firstColumn="0" w:lastColumn="0" w:oddVBand="0" w:evenVBand="0" w:oddHBand="0" w:evenHBand="0" w:firstRowFirstColumn="0" w:firstRowLastColumn="0" w:lastRowFirstColumn="0" w:lastRowLastColumn="0"/>
              <w:rPr>
                <w:noProof/>
                <w:sz w:val="24"/>
                <w:szCs w:val="24"/>
              </w:rPr>
            </w:pPr>
            <w:r w:rsidRPr="00DA7609">
              <w:rPr>
                <w:noProof/>
                <w:sz w:val="24"/>
                <w:szCs w:val="24"/>
              </w:rPr>
              <w:t>Sub-theme</w:t>
            </w:r>
          </w:p>
          <w:p w14:paraId="3DE5A60B" w14:textId="77777777" w:rsidR="00DA7609" w:rsidRPr="00DA7609" w:rsidRDefault="00DA7609" w:rsidP="00DA7609">
            <w:pPr>
              <w:spacing w:before="60" w:after="60"/>
              <w:ind w:hanging="2"/>
              <w:cnfStyle w:val="100000000000" w:firstRow="1" w:lastRow="0" w:firstColumn="0" w:lastColumn="0" w:oddVBand="0" w:evenVBand="0" w:oddHBand="0" w:evenHBand="0" w:firstRowFirstColumn="0" w:firstRowLastColumn="0" w:lastRowFirstColumn="0" w:lastRowLastColumn="0"/>
              <w:rPr>
                <w:noProof/>
                <w:sz w:val="24"/>
                <w:szCs w:val="24"/>
              </w:rPr>
            </w:pPr>
            <w:r w:rsidRPr="00DA7609">
              <w:rPr>
                <w:noProof/>
                <w:sz w:val="24"/>
                <w:szCs w:val="24"/>
              </w:rPr>
              <w:t>(vote count)</w:t>
            </w:r>
          </w:p>
        </w:tc>
        <w:tc>
          <w:tcPr>
            <w:tcW w:w="2834" w:type="dxa"/>
          </w:tcPr>
          <w:p w14:paraId="2E1FC90B" w14:textId="77777777" w:rsidR="00DA7609" w:rsidRPr="00DA7609" w:rsidRDefault="00DA7609" w:rsidP="00DA7609">
            <w:pPr>
              <w:spacing w:before="60" w:after="60"/>
              <w:ind w:hanging="2"/>
              <w:cnfStyle w:val="100000000000" w:firstRow="1" w:lastRow="0" w:firstColumn="0" w:lastColumn="0" w:oddVBand="0" w:evenVBand="0" w:oddHBand="0" w:evenHBand="0" w:firstRowFirstColumn="0" w:firstRowLastColumn="0" w:lastRowFirstColumn="0" w:lastRowLastColumn="0"/>
              <w:rPr>
                <w:noProof/>
                <w:sz w:val="24"/>
                <w:szCs w:val="24"/>
              </w:rPr>
            </w:pPr>
            <w:r w:rsidRPr="00DA7609">
              <w:rPr>
                <w:noProof/>
                <w:sz w:val="24"/>
                <w:szCs w:val="24"/>
              </w:rPr>
              <w:t>Code</w:t>
            </w:r>
          </w:p>
        </w:tc>
        <w:tc>
          <w:tcPr>
            <w:tcW w:w="3514" w:type="dxa"/>
          </w:tcPr>
          <w:p w14:paraId="147064B2" w14:textId="77777777" w:rsidR="00DA7609" w:rsidRPr="00DA7609" w:rsidRDefault="00DA7609" w:rsidP="00DA7609">
            <w:pPr>
              <w:spacing w:before="60" w:after="60"/>
              <w:ind w:hanging="2"/>
              <w:cnfStyle w:val="100000000000" w:firstRow="1" w:lastRow="0" w:firstColumn="0" w:lastColumn="0" w:oddVBand="0" w:evenVBand="0" w:oddHBand="0" w:evenHBand="0" w:firstRowFirstColumn="0" w:firstRowLastColumn="0" w:lastRowFirstColumn="0" w:lastRowLastColumn="0"/>
              <w:rPr>
                <w:noProof/>
                <w:sz w:val="24"/>
                <w:szCs w:val="24"/>
              </w:rPr>
            </w:pPr>
            <w:r w:rsidRPr="00DA7609">
              <w:rPr>
                <w:noProof/>
                <w:sz w:val="24"/>
                <w:szCs w:val="24"/>
              </w:rPr>
              <w:t xml:space="preserve">Reference </w:t>
            </w:r>
          </w:p>
        </w:tc>
      </w:tr>
      <w:tr w:rsidR="00DA7609" w:rsidRPr="00DA7609" w14:paraId="2B30A527" w14:textId="77777777" w:rsidTr="00FE1ADC">
        <w:trPr>
          <w:cnfStyle w:val="000000100000" w:firstRow="0" w:lastRow="0" w:firstColumn="0" w:lastColumn="0" w:oddVBand="0" w:evenVBand="0" w:oddHBand="1" w:evenHBand="0" w:firstRowFirstColumn="0" w:firstRowLastColumn="0" w:lastRowFirstColumn="0" w:lastRowLastColumn="0"/>
          <w:cantSplit/>
          <w:trHeight w:val="557"/>
        </w:trPr>
        <w:tc>
          <w:tcPr>
            <w:cnfStyle w:val="001000000000" w:firstRow="0" w:lastRow="0" w:firstColumn="1" w:lastColumn="0" w:oddVBand="0" w:evenVBand="0" w:oddHBand="0" w:evenHBand="0" w:firstRowFirstColumn="0" w:firstRowLastColumn="0" w:lastRowFirstColumn="0" w:lastRowLastColumn="0"/>
            <w:tcW w:w="3369" w:type="dxa"/>
          </w:tcPr>
          <w:p w14:paraId="71E963CD" w14:textId="77777777" w:rsidR="00DA7609" w:rsidRPr="00DA7609" w:rsidRDefault="00DA7609" w:rsidP="00DA7609">
            <w:pPr>
              <w:spacing w:before="60" w:after="60"/>
              <w:ind w:hanging="2"/>
              <w:rPr>
                <w:noProof/>
                <w:sz w:val="24"/>
                <w:szCs w:val="24"/>
                <w:u w:val="single"/>
              </w:rPr>
            </w:pPr>
            <w:bookmarkStart w:id="47" w:name="_Hlk73123661"/>
            <w:r w:rsidRPr="00DA7609">
              <w:rPr>
                <w:noProof/>
                <w:sz w:val="24"/>
                <w:szCs w:val="24"/>
                <w:u w:val="single"/>
              </w:rPr>
              <w:t>Reasons for stock-out</w:t>
            </w:r>
          </w:p>
        </w:tc>
        <w:tc>
          <w:tcPr>
            <w:tcW w:w="2143" w:type="dxa"/>
          </w:tcPr>
          <w:p w14:paraId="21A69CCC"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sz w:val="24"/>
                <w:szCs w:val="24"/>
              </w:rPr>
            </w:pPr>
            <w:r w:rsidRPr="00DA7609">
              <w:rPr>
                <w:b/>
                <w:bCs/>
                <w:sz w:val="24"/>
                <w:szCs w:val="24"/>
              </w:rPr>
              <w:t>Procurement (19)</w:t>
            </w:r>
          </w:p>
        </w:tc>
        <w:tc>
          <w:tcPr>
            <w:tcW w:w="2834" w:type="dxa"/>
          </w:tcPr>
          <w:p w14:paraId="0FD9F230"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sz w:val="24"/>
                <w:szCs w:val="24"/>
              </w:rPr>
            </w:pPr>
            <w:r w:rsidRPr="00DA7609">
              <w:rPr>
                <w:i/>
                <w:iCs/>
                <w:sz w:val="24"/>
                <w:szCs w:val="24"/>
                <w:u w:color="000000"/>
              </w:rPr>
              <w:t>Financial Issues</w:t>
            </w:r>
          </w:p>
        </w:tc>
        <w:tc>
          <w:tcPr>
            <w:tcW w:w="3514" w:type="dxa"/>
          </w:tcPr>
          <w:p w14:paraId="372CD821" w14:textId="77777777" w:rsidR="00DA7609" w:rsidRPr="00DA7609" w:rsidRDefault="00DA7609" w:rsidP="00DA7609">
            <w:pPr>
              <w:shd w:val="clear" w:color="auto" w:fill="FFFFFF"/>
              <w:spacing w:line="276" w:lineRule="auto"/>
              <w:ind w:hanging="2"/>
              <w:jc w:val="both"/>
              <w:cnfStyle w:val="000000100000" w:firstRow="0" w:lastRow="0" w:firstColumn="0" w:lastColumn="0" w:oddVBand="0" w:evenVBand="0" w:oddHBand="1" w:evenHBand="0" w:firstRowFirstColumn="0" w:firstRowLastColumn="0" w:lastRowFirstColumn="0" w:lastRowLastColumn="0"/>
              <w:rPr>
                <w:sz w:val="24"/>
                <w:szCs w:val="24"/>
                <w:u w:color="000000"/>
              </w:rPr>
            </w:pPr>
            <w:r w:rsidRPr="00DA7609">
              <w:rPr>
                <w:i/>
                <w:iCs/>
                <w:sz w:val="24"/>
                <w:szCs w:val="24"/>
                <w:u w:color="000000"/>
              </w:rPr>
              <w:t xml:space="preserve"> </w:t>
            </w:r>
            <w:r w:rsidRPr="00DA7609">
              <w:rPr>
                <w:sz w:val="24"/>
                <w:szCs w:val="24"/>
                <w:u w:color="000000"/>
              </w:rPr>
              <w:fldChar w:fldCharType="begin" w:fldLock="1"/>
            </w:r>
            <w:r w:rsidRPr="00DA7609">
              <w:rPr>
                <w:sz w:val="24"/>
                <w:szCs w:val="24"/>
                <w:u w:color="000000"/>
              </w:rPr>
              <w:instrText>ADDIN CSL_CITATION {"citationItems":[{"id":"ITEM-1","itemData":{"DOI":"10.1186/1472-6963-13-55","ISBN":"1472-6963 (Electronic)\\r1472-6963 (Linking)","ISSN":"1472-6963","PMID":"23394591","abstract":"ABSTRACT: BACKGROUND: National community-based health worker (CBHW) programs often face challenges in ensuring that these remote workers are adequately trained, equipped and supervised. As governments increasingly deploy CBHWs to improve access to primary health care, there is an urgent need to assess how well health systems are supporting CBHWs to provide high quality care. METHODS: This paper presents the results of a mixed-methods assessment of selected health systems supports (supervision, drug supply, and job aids) for a national community case management (CCM) program for childhood illness in Malawi during the first year of implementation. We collected data on the types and levels of drug supply and supervision through a cross-sectional survey of a random sample of Health Surveillance Assistants (HSAs) providing CCM services in six districts. We then conducted in-depth interviews and focus group discussions with program managers and HSAs, respectively, to gain an understanding of the barriers and facilitating factors for delivering health systems supports for CCM. RESULTS: Although the CCM training and job aid were well received by stakeholders, HSAs who participated in the first CCM training sessions often waited up to 4 months before receiving their initial supply of drugs and first supervision visits. One year after training began, 69 % of HSAs had all essential CCM drugs in stock and only 38 % of HSAs reported a CCM supervision visit in the 3 months prior to the survey. Results of the qualitative assessment indicated that drug supply was constrained by travel distance and stock outs at health facilities, and that the initial supervision system relied on clinicians who were able to spend only limited time away from clinical duties. Proactive district managers trained and enrolled HSAs' routine supervisors to provide CCM supervision. CONCLUSIONS: Malawi's CCM program is promising, but health systems supports must be improved to ensure consistent coverage and quality. Mixed-methods implementation research provided the Ministry of Health with actionable feedback that it is using to adapt program policies and improve performance.","author":[{"dropping-particle":"","family":"Callaghan-Koru","given":"Jennifer a","non-dropping-particle":"","parse-names":false,"suffix":""},{"dropping-particle":"","family":"Gilroy","given":"Kate","non-dropping-particle":"","parse-names":false,"suffix":""},{"dropping-particle":"","family":"Hyder","given":"Adnan a","non-dropping-particle":"","parse-names":false,"suffix":""},{"dropping-particle":"","family":"George","given":"Asha","non-dropping-particle":"","parse-names":false,"suffix":""},{"dropping-particle":"","family":"Nsona","given":"Humphreys","non-dropping-particle":"","parse-names":false,"suffix":""},{"dropping-particle":"","family":"Mtimuni","given":"Angella","non-dropping-particle":"","parse-names":false,"suffix":""},{"dropping-particle":"","family":"Zakeyo","given":"Bernie","non-dropping-particle":"","parse-names":false,"suffix":""},{"dropping-particle":"","family":"Mayani","given":"Josiah","non-dropping-particle":"","parse-names":false,"suffix":""},{"dropping-particle":"","family":"Cardemil","given":"Cristina","non-dropping-particle":"","parse-names":false,"suffix":""},{"dropping-particle":"","family":"Bryce","given":"Jennifer","non-dropping-particle":"","parse-names":false,"suffix":""}],"container-title":"BMC health services research","id":"ITEM-1","issue":"1","issued":{"date-parts":[["2013"]]},"page":"55","title":"Health systems supports for community case management of childhood illness: lessons from an assessment of early implementation in Malawi.","type":"article-journal","volume":"13"},"uris":["http://www.mendeley.com/documents/?uuid=365c7ead-25b1-4b3a-b3fe-1e61a83ab885"]},{"id":"ITEM-2","itemData":{"DOI":"10.3402/gha.v8.24271","ISSN":"16549880","PMID":"25843496","abstract":"Background: In Uganda maternal and neonatal mortality remains high due to a number of factors, including poor quality of care at health facilities. Objective: This paper describes the experience of building capacity for maternal and newborn care at a district hospital and lower-level health facilities in eastern Uganda within the existing system parameters and a robust community outreach programme. Design: This health system strengthening study, part of the Uganda Newborn Study (UNEST), aimed to increase frontline health worker capacity through district-led training, support supervision, and mentoring at one district hospital and 19 lower-level facilities. A once-off supply of essential medicines and equipment was provided to address immediate critical gaps. Health workers were empowered to requisition subsequent supplies through use of district resources. Minimal infrastructure adjustments were provided. Quantitative data collection was done within routine process monitoring and qualitative data were collected during support supervision visits. We use the World Health Organization Health System Building Blocks to describe the process of district-led health facility strengthening. Results: Seventy two per cent of eligible health workers were trained. The mean post-training knowledge score was 68% compared to 32% in the pre-training test, and 80% 1 year later. Health worker skills and competencies in care of high-risk babies improved following support supervision and mentoring. Health facility deliveries increased from 3,151 to 4,115 (a 30% increase) in 2 years. Of 547 preterm babies admitted to the newly introduced kangaroo mother care (KMC) unit, 85% were discharged alive to continue KMC at home. There was a non-significant declining trend for in-hospital neonatal deaths across the 2-year study period. While equipment levels remained high after initial improvement efforts, maintaining supply of even the most basic medications was a challenge, with less than 40% of health facilities reporting no stock-outs. Conclusion: Health system strengthening for care at birth and the newborn period is possible even in lowresource settings and can be associated with improved utilisation and outcomes. Through a participatory process with wide engagement, training, and improvements to support supervision and logistics, health workers were able to change behaviours and practices for maternal and newborn care. Local solutions are needed to ensure sustainability of medic…","author":[{"dropping-particle":"","family":"Namazzi","given":"Gertrude","non-dropping-particle":"","parse-names":false,"suffix":""},{"dropping-particle":"","family":"Waiswa","given":"Peter","non-dropping-particle":"","parse-names":false,"suffix":""},{"dropping-particle":"","family":"Nakakeeto","given":"Margaret","non-dropping-particle":"","parse-names":false,"suffix":""},{"dropping-particle":"","family":"Nakibuuka","given":"Victoria K.","non-dropping-particle":"","parse-names":false,"suffix":""},{"dropping-particle":"","family":"Namutamba","given":"Sarah","non-dropping-particle":"","parse-names":false,"suffix":""},{"dropping-particle":"","family":"Najjemba","given":"Maria","non-dropping-particle":"","parse-names":false,"suffix":""},{"dropping-particle":"","family":"Namusaabi","given":"Ruth","non-dropping-particle":"","parse-names":false,"suffix":""},{"dropping-particle":"","family":"Tagoola","given":"Abner","non-dropping-particle":"","parse-names":false,"suffix":""},{"dropping-particle":"","family":"Nakate","given":"Grace","non-dropping-particle":"","parse-names":false,"suffix":""},{"dropping-particle":"","family":"Ajeani","given":"Judith","non-dropping-particle":"","parse-names":false,"suffix":""},{"dropping-particle":"","family":"Peterson","given":"Stefan","non-dropping-particle":"","parse-names":false,"suffix":""},{"dropping-particle":"","family":"Byaruhanga","given":"Romano N.","non-dropping-particle":"","parse-names":false,"suffix":""}],"container-title":"Global Health Action","id":"ITEM-2","issue":"1","issued":{"date-parts":[["2015"]]},"publisher":"Co-Action Publishing","title":"Strengthening health facilities for maternal and newborn care: Experiences from rural eastern Uganda","type":"article-journal","volume":"8"},"uris":["http://www.mendeley.com/documents/?uuid=1fe540b1-651a-3b6a-aada-a5584bca99af"]},{"id":"ITEM-3","itemData":{"author":[{"dropping-particle":"","family":"Global Fund","given":"","non-dropping-particle":"","parse-names":false,"suffix":""},{"dropping-particle":"","family":"WHO","given":"","non-dropping-particle":"","parse-names":false,"suffix":""},{"dropping-particle":"","family":"UNICEF","given":"","non-dropping-particle":"","parse-names":false,"suffix":""}],"id":"ITEM-3","issued":{"date-parts":[["2018"]]},"title":"Integrated Community Case Management (iCCM) in Sub-Saharan Africa: Successes &amp; Challenges with Access, Speed &amp; Quality Thematic review report","type":"report"},"uris":["http://www.mendeley.com/documents/?uuid=cdd8cc09-fda0-3226-b6c3-baca7bae910b"]},{"id":"ITEM-4","itemData":{"author":[{"dropping-particle":"","family":"World Health Organization","given":"","non-dropping-particle":"","parse-names":false,"suffix":""}],"container-title":"WHO Evaluation Office,","id":"ITEM-4","issue":"May","issued":{"date-parts":[["2018"]]},"number-of-pages":"1- 157","title":"Summative evaluation of the WHO Rapid Access Expansion Initiative Volume 3 : Country Briefs","type":"report","volume":"3"},"uris":["http://www.mendeley.com/documents/?uuid=4bf4f451-b078-38e8-b60a-69b39e08b04e"]},{"id":"ITEM-5","itemData":{"DOI":"10.1177/0046958018798493","ISSN":"00469580","PMID":"30215263","abstract":"With health worker shortages in rural areas, community health workers (CHWs) are instrumental to the sustainability of primary health care and to the ability to meet health needs. Identifying appropriate operational models and incentive structures is an important element of long-term success. This article reports on CHWs’ work demands and affective response to their volunteer work within the broader context of their livelihoods in Madagascar. A cross-sectional survey of 874 CHWs, called Agents de Santé Communautaire (ACs), from 14 districts across 5 regions was conducted in June 2015. Only 44% of ACs had cash savings. Subsistence farming was the main livelihood strategy; ninety-two percent of ACs were food insecure and 89% had experienced a shock in the past year. Overall, 77% of ACs financed commodity resupply through sales of health products and 18% from their personal savings; stock-outs at point of supply and financial and time constraints were the main reported challenges in getting health products. The average satisfaction score with AC work was 3 out of 4. This assessment from Madagascar helps unveil a more comprehensive view of the reality of CHWs’ lives. Managers need to take into account the potential implications of the demands of CHW work on already precarious livelihoods.","author":[{"dropping-particle":"","family":"Brunie","given":"Aurélie","non-dropping-particle":"","parse-names":false,"suffix":""},{"dropping-particle":"","family":"Mercer","given":"Sarah","non-dropping-particle":"","parse-names":false,"suffix":""},{"dropping-particle":"","family":"Chen","given":"Mario","non-dropping-particle":"","parse-names":false,"suffix":""},{"dropping-particle":"","family":"Andrianantoandro","given":"Tokinirina","non-dropping-particle":"","parse-names":false,"suffix":""}],"container-title":"Inquiry (United States)","id":"ITEM-5","issued":{"date-parts":[["2018","1","1"]]},"page":"1-8","publisher":"SAGE Publications Inc.","title":"Expanding understanding of community health worker programs: A cross-sectional survey on the work, satisfaction, and livelihoods of CHWs in Madagascar","type":"article-journal","volume":"55"},"uris":["http://www.mendeley.com/documents/?uuid=0c7581d5-6638-3d87-b97d-ed8da9a2d37a"]},{"id":"ITEM-6","itemData":{"author":[{"dropping-particle":"","family":"Village Reach","given":"","non-dropping-particle":"","parse-names":false,"suffix":""}],"id":"ITEM-6","issue":"October","issued":{"date-parts":[["2015"]]},"number-of-pages":"1-59","title":"Exploring New Distribution Models for Vaccines and other Health Commodities Adapted to the on the Ground Realities of the Equateur and Tshuapa Provinces , Democratic Republic of Congo","type":"report"},"uris":["http://www.mendeley.com/documents/?uuid=54537a97-5da5-3cc2-9f22-6bfb239fc036"]},{"id":"ITEM-7","itemData":{"ISBN":"9781920618315","author":[{"dropping-particle":"","family":"Doherty","given":"Tanya","non-dropping-particle":"","parse-names":false,"suffix":""},{"dropping-particle":"","family":"Besada","given":"D","non-dropping-particle":"","parse-names":false,"suffix":""},{"dropping-particle":"","family":"Zembe","given":"W","non-dropping-particle":"","parse-names":false,"suffix":""},{"dropping-particle":"","family":"Daniels","given":"K","non-dropping-particle":"","parse-names":false,"suffix":""},{"dropping-particle":"","family":"Kinney","given":"M","non-dropping-particle":"","parse-names":false,"suffix":""},{"dropping-particle":"","family":"Kerber","given":"K","non-dropping-particle":"","parse-names":false,"suffix":""},{"dropping-particle":"","family":"Daviaud","given":"E","non-dropping-particle":"","parse-names":false,"suffix":""},{"dropping-particle":"","family":"Rohde","given":"S","non-dropping-particle":"","parse-names":false,"suffix":""},{"dropping-particle":"","family":"Ngandu","given":"N","non-dropping-particle":"","parse-names":false,"suffix":""},{"dropping-particle":"","family":"Jackson","given":"D","non-dropping-particle":"","parse-names":false,"suffix":""}],"id":"ITEM-7","issued":{"date-parts":[["2014"]]},"title":"Report on the summative external evaluation of the Integrated Health System Strengthening programme in Ethiopia, Mali, Mozambique, Ghana, Malawi and Niger","type":"report"},"uris":["http://www.mendeley.com/documents/?uuid=94986425-7399-348b-95f8-c3ff8107c94a"]},{"id":"ITEM-8","itemData":{"author":[{"dropping-particle":"","family":"Ndou","given":"T","non-dropping-particle":"","parse-names":false,"suffix":""},{"dropping-particle":"van","family":"Zyl","given":"G","non-dropping-particle":"","parse-names":false,"suffix":""},{"dropping-particle":"","family":"Hlahane","given":"S","non-dropping-particle":"","parse-names":false,"suffix":""},{"dropping-particle":"","family":"Goudge","given":"J","non-dropping-particle":"","parse-names":false,"suffix":""}],"container-title":"Global Health Action","id":"ITEM-8","issue":"19228","issued":{"date-parts":[["2013"]]},"note":"Using Smart Source Parsing\n15 ref","title":"A rapid assessment of a community health worker pilot programme to improve the management of hypertension and diabetes in Emfuleni sub-district of Gauteng Province, South Africa. (Special Issue: Building new knowledge.)","type":"article-journal","volume":"6"},"uris":["http://www.mendeley.com/documents/?uuid=0dddc598-c1f5-4a20-95a1-645eb3ee79fe"]},{"id":"ITEM-9","itemData":{"author":[{"dropping-particle":"","family":"Baldridge","given":"A","non-dropping-particle":"","parse-names":false,"suffix":""},{"dropping-particle":"","family":"Orji","given":"A","non-dropping-particle":"","parse-names":false,"suffix":""},{"dropping-particle":"","family":"Omitiran","given":"K","non-dropping-particle":"","parse-names":false,"suffix":""},{"dropping-particle":"","family":"Guo","given":"M","non-dropping-particle":"","parse-names":false,"suffix":""},{"dropping-particle":"","family":"Ajisegiri","given":"S","non-dropping-particle":"","parse-names":false,"suffix":""},{"dropping-particle":"","family":"Ojo","given":"T","non-dropping-particle":"","parse-names":false,"suffix":""},{"dropping-particle":"","family":"Kandula","given":"N","non-dropping-particle":"","parse-names":false,"suffix":""},{"dropping-particle":"","family":"Hirschhorn","given":"L","non-dropping-particle":"","parse-names":false,"suffix":""},{"dropping-particle":"","family":"Huffman","given":"M","non-dropping-particle":"","parse-names":false,"suffix":""},{"dropping-particle":"","family":"Ojji","given":"D","non-dropping-particle":"","parse-names":false,"suffix":""}],"container-title":"Health Services Research","id":"ITEM-9","issued":{"date-parts":[["2020"]]},"note":"Academy Health Annual Research Meeting, ARM 2020","page":"67","title":"Capacity and site readiness for hypertension control program implementation in the federal capital territory of Nigeria: A cross-sectional study","type":"article-journal","volume":"55 (SUPPL "},"uris":["http://www.mendeley.com/documents/?uuid=c05a0d01-3683-433a-af0e-d992d120a6df"]},{"id":"ITEM-10","itemData":{"DOI":"10.1080/13625187.2017.1394453","ISBN":"1362-5187","abstract":"Purpose: To identify and assess factors determining the functioning of supply chain systems for modern contraception in low-and middle-income countries (LMICs), and to identify challenges contributing to contraception stockouts that may lead to unmet need. Materials and methods: Scientific databases and grey literature were searched including Database of Abstracts of Reviews of Effectiveness (DARE), PubMed, MEDLINE, POPLINE, CINAHL, Academic Search Complete, Science Direct, Web of Science, Cochrane Central, Google Scholar, WHO databases and websites of key international organisations. Results: Studies indicated that supply chain system inefficiencies significantly affect availability of modern FP and contraception commodities in LMICs, especially in rural public facilities where distribution barriers may be acute. Supply chain failures or bottlenecks may be attributed to: weak and poorly institutionalized logistic management information systems (LMIS), poor physical infrastructures in LMICs, lack of trained and dedicated staff for supply chain management, inadequate funding, and rigid government policies on task sharing. However, there is evidence that implementing effective LMISs and involving public and private providers will distribution channels resulted in reduction in medical commodities' stockout rates. Conclusions: Supply chain bottlenecks contribute significantly to persistent high stockout rates for modern contraceptives in LMICs. Interventions aimed at enhancing uptake of contraceptives to reduce the problem of unmet need in LMICs should make strong commitments towards strengthening these countries' health commodities supply chain management systems. Current evidence is limited and additional, and well-designed implementation research on contraception supply chain systems is warranted to gain further understanding and insights on the determinants of supply chain bottlenecks and their impact on stockouts of contraception commodities.","author":[{"dropping-particle":"","family":"Mukasa","given":"B","non-dropping-particle":"","parse-names":false,"suffix":""},{"dropping-particle":"","family":"Ali","given":"M","non-dropping-particle":"","parse-names":false,"suffix":""},{"dropping-particle":"","family":"Farron","given":"M","non-dropping-particle":"","parse-names":false,"suffix":""},{"dropping-particle":"","family":"Weerdt","given":"R","non-dropping-particle":"Van de","parse-names":false,"suffix":""}],"container-title":"European Journal of Contraception and Reproductive Health Care","id":"ITEM-10","issue":"5","issued":{"date-parts":[["2017"]]},"note":"Mukasa, Bakali Ali, Moazzam Farron, Madeline Van de Weerdt, Renee\nAli, Moazzam/0000-0001-6949-8976\n1473-0782","page":"384-390","title":"Contraception supply chain challenges: a review of evidence from low- and middle-income countries","type":"article-journal","volume":"22"},"uris":["http://www.mendeley.com/documents/?uuid=82f9cbf9-baa4-4d39-a277-8a73269b7ef6"]},{"id":"ITEM-11","itemData":{"author":[{"dropping-particle":"","family":"Anand","given":"A","non-dropping-particle":"","parse-names":false,"suffix":""},{"dropping-particle":"","family":"Favero","given":"R","non-dropping-particle":"","parse-names":false,"suffix":""},{"dropping-particle":"","family":"Dentinger","given":"C","non-dropping-particle":"","parse-names":false,"suffix":""},{"dropping-particle":"","family":"Ralaivaomisa","given":"A","non-dropping-particle":"","parse-names":false,"suffix":""},{"dropping-particle":"","family":"Ramamonjisoa","given":"S","non-dropping-particle":"","parse-names":false,"suffix":""},{"dropping-particle":"","family":"Rabozakandraina","given":"O","non-dropping-particle":"","parse-names":false,"suffix":""},{"dropping-particle":"","family":"Razafimandimby","given":"E","non-dropping-particle":"","parse-names":false,"suffix":""},{"dropping-particle":"","family":"Razafindrakoto","given":"J","non-dropping-particle":"","parse-names":false,"suffix":""},{"dropping-particle":"","family":"Katherine","given":"W","non-dropping-particle":"","parse-names":false,"suffix":""},{"dropping-particle":"","family":"Steinhardt","given":"L","non-dropping-particle":"","parse-names":false,"suffix":""},{"dropping-particle":"","family":"Gomez","given":"P","non-dropping-particle":"","parse-names":false,"suffix":""},{"dropping-particle":"","family":"Rabary","given":"M","non-dropping-particle":"","parse-names":false,"suffix":""},{"dropping-particle":"","family":"Andriamananjara","given":"M N","non-dropping-particle":"","parse-names":false,"suffix":""},{"dropping-particle":"","family":"Mioramalala","given":"S A","non-dropping-particle":"","parse-names":false,"suffix":""},{"dropping-particle":"","family":"Rakotovao","given":"J P","non-dropping-particle":"","parse-names":false,"suffix":""}],"container-title":"Malaria Journal","id":"ITEM-11","issue":"351","issued":{"date-parts":[["2020"]]},"note":"Using Smart Source Parsing\n(01 October 2020). 31 ref","title":"Malaria case management and elimination readiness in health facilities of five districts of Madagascar in 2018","type":"article-journal","volume":"19"},"uris":["http://www.mendeley.com/documents/?uuid=6096a079-7318-418d-9adf-96cd567cb659"]}],"mendeley":{"formattedCitation":"(26–35,97)","plainTextFormattedCitation":"(26–35,97)","previouslyFormattedCitation":"(26–35,97)"},"properties":{"noteIndex":0},"schema":"https://github.com/citation-style-language/schema/raw/master/csl-citation.json"}</w:instrText>
            </w:r>
            <w:r w:rsidRPr="00DA7609">
              <w:rPr>
                <w:sz w:val="24"/>
                <w:szCs w:val="24"/>
                <w:u w:color="000000"/>
              </w:rPr>
              <w:fldChar w:fldCharType="separate"/>
            </w:r>
            <w:r w:rsidRPr="00DA7609">
              <w:rPr>
                <w:noProof/>
                <w:sz w:val="24"/>
                <w:szCs w:val="24"/>
                <w:u w:color="000000"/>
              </w:rPr>
              <w:t>(26–35,97)</w:t>
            </w:r>
            <w:r w:rsidRPr="00DA7609">
              <w:rPr>
                <w:sz w:val="24"/>
                <w:szCs w:val="24"/>
                <w:u w:color="000000"/>
              </w:rPr>
              <w:fldChar w:fldCharType="end"/>
            </w:r>
          </w:p>
          <w:p w14:paraId="4E6C48C6"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sz w:val="24"/>
                <w:szCs w:val="24"/>
              </w:rPr>
            </w:pPr>
          </w:p>
        </w:tc>
      </w:tr>
      <w:tr w:rsidR="00DA7609" w:rsidRPr="00DA7609" w14:paraId="33FF7225" w14:textId="77777777" w:rsidTr="00FE1ADC">
        <w:trPr>
          <w:cantSplit/>
          <w:trHeight w:val="557"/>
        </w:trPr>
        <w:tc>
          <w:tcPr>
            <w:cnfStyle w:val="001000000000" w:firstRow="0" w:lastRow="0" w:firstColumn="1" w:lastColumn="0" w:oddVBand="0" w:evenVBand="0" w:oddHBand="0" w:evenHBand="0" w:firstRowFirstColumn="0" w:firstRowLastColumn="0" w:lastRowFirstColumn="0" w:lastRowLastColumn="0"/>
            <w:tcW w:w="3369" w:type="dxa"/>
          </w:tcPr>
          <w:p w14:paraId="043C9F1D" w14:textId="77777777" w:rsidR="00DA7609" w:rsidRPr="00DA7609" w:rsidRDefault="00DA7609" w:rsidP="00DA7609">
            <w:pPr>
              <w:spacing w:before="60" w:after="60"/>
              <w:ind w:hanging="2"/>
              <w:rPr>
                <w:noProof/>
                <w:sz w:val="24"/>
                <w:szCs w:val="24"/>
                <w:u w:val="single"/>
              </w:rPr>
            </w:pPr>
          </w:p>
        </w:tc>
        <w:tc>
          <w:tcPr>
            <w:tcW w:w="2143" w:type="dxa"/>
          </w:tcPr>
          <w:p w14:paraId="24B0DC20"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noProof/>
                <w:sz w:val="24"/>
                <w:szCs w:val="24"/>
              </w:rPr>
            </w:pPr>
          </w:p>
        </w:tc>
        <w:tc>
          <w:tcPr>
            <w:tcW w:w="2834" w:type="dxa"/>
          </w:tcPr>
          <w:p w14:paraId="2FF98122"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noProof/>
                <w:sz w:val="24"/>
                <w:szCs w:val="24"/>
              </w:rPr>
            </w:pPr>
            <w:r w:rsidRPr="00DA7609">
              <w:rPr>
                <w:i/>
                <w:iCs/>
                <w:sz w:val="24"/>
                <w:szCs w:val="24"/>
              </w:rPr>
              <w:t>Governance and coordination</w:t>
            </w:r>
          </w:p>
        </w:tc>
        <w:tc>
          <w:tcPr>
            <w:tcW w:w="3514" w:type="dxa"/>
          </w:tcPr>
          <w:p w14:paraId="11DBB019"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noProof/>
                <w:sz w:val="24"/>
                <w:szCs w:val="24"/>
              </w:rPr>
            </w:pPr>
            <w:r w:rsidRPr="00DA7609">
              <w:rPr>
                <w:sz w:val="24"/>
                <w:szCs w:val="24"/>
              </w:rPr>
              <w:fldChar w:fldCharType="begin" w:fldLock="1"/>
            </w:r>
            <w:r w:rsidRPr="00DA7609">
              <w:rPr>
                <w:sz w:val="24"/>
                <w:szCs w:val="24"/>
              </w:rPr>
              <w:instrText>ADDIN CSL_CITATION {"citationItems":[{"id":"ITEM-1","itemData":{"author":[{"dropping-particle":"","family":"Rao","given":"V B","non-dropping-particle":"","parse-names":false,"suffix":""},{"dropping-particle":"","family":"Schellenberg","given":"D","non-dropping-particle":"","parse-names":false,"suffix":""},{"dropping-particle":"","family":"Ghani","given":"A C","non-dropping-particle":"","parse-names":false,"suffix":""}],"container-title":"Trends in Parasitology","id":"ITEM-1","issue":"4","issued":{"date-parts":[["2013"]]},"note":"Using Smart Source Parsing\n112 ref","page":"164-180","title":"Overcoming health systems barriers to successful malaria treatment","type":"article-journal","volume":"29"},"uris":["http://www.mendeley.com/documents/?uuid=e439b55a-a3db-4e91-9800-7fb414f719e1"]},{"id":"ITEM-2","itemData":{"DOI":"10.1186/1472-6963-13-55","ISBN":"1472-6963 (Electronic)\\r1472-6963 (Linking)","ISSN":"1472-6963","PMID":"23394591","abstract":"ABSTRACT: BACKGROUND: National community-based health worker (CBHW) programs often face challenges in ensuring that these remote workers are adequately trained, equipped and supervised. As governments increasingly deploy CBHWs to improve access to primary health care, there is an urgent need to assess how well health systems are supporting CBHWs to provide high quality care. METHODS: This paper presents the results of a mixed-methods assessment of selected health systems supports (supervision, drug supply, and job aids) for a national community case management (CCM) program for childhood illness in Malawi during the first year of implementation. We collected data on the types and levels of drug supply and supervision through a cross-sectional survey of a random sample of Health Surveillance Assistants (HSAs) providing CCM services in six districts. We then conducted in-depth interviews and focus group discussions with program managers and HSAs, respectively, to gain an understanding of the barriers and facilitating factors for delivering health systems supports for CCM. RESULTS: Although the CCM training and job aid were well received by stakeholders, HSAs who participated in the first CCM training sessions often waited up to 4 months before receiving their initial supply of drugs and first supervision visits. One year after training began, 69 % of HSAs had all essential CCM drugs in stock and only 38 % of HSAs reported a CCM supervision visit in the 3 months prior to the survey. Results of the qualitative assessment indicated that drug supply was constrained by travel distance and stock outs at health facilities, and that the initial supervision system relied on clinicians who were able to spend only limited time away from clinical duties. Proactive district managers trained and enrolled HSAs' routine supervisors to provide CCM supervision. CONCLUSIONS: Malawi's CCM program is promising, but health systems supports must be improved to ensure consistent coverage and quality. Mixed-methods implementation research provided the Ministry of Health with actionable feedback that it is using to adapt program policies and improve performance.","author":[{"dropping-particle":"","family":"Callaghan-Koru","given":"Jennifer a","non-dropping-particle":"","parse-names":false,"suffix":""},{"dropping-particle":"","family":"Gilroy","given":"Kate","non-dropping-particle":"","parse-names":false,"suffix":""},{"dropping-particle":"","family":"Hyder","given":"Adnan a","non-dropping-particle":"","parse-names":false,"suffix":""},{"dropping-particle":"","family":"George","given":"Asha","non-dropping-particle":"","parse-names":false,"suffix":""},{"dropping-particle":"","family":"Nsona","given":"Humphreys","non-dropping-particle":"","parse-names":false,"suffix":""},{"dropping-particle":"","family":"Mtimuni","given":"Angella","non-dropping-particle":"","parse-names":false,"suffix":""},{"dropping-particle":"","family":"Zakeyo","given":"Bernie","non-dropping-particle":"","parse-names":false,"suffix":""},{"dropping-particle":"","family":"Mayani","given":"Josiah","non-dropping-particle":"","parse-names":false,"suffix":""},{"dropping-particle":"","family":"Cardemil","given":"Cristina","non-dropping-particle":"","parse-names":false,"suffix":""},{"dropping-particle":"","family":"Bryce","given":"Jennifer","non-dropping-particle":"","parse-names":false,"suffix":""}],"container-title":"BMC health services research","id":"ITEM-2","issue":"1","issued":{"date-parts":[["2013"]]},"page":"55","title":"Health systems supports for community case management of childhood illness: lessons from an assessment of early implementation in Malawi.","type":"article-journal","volume":"13"},"uris":["http://www.mendeley.com/documents/?uuid=365c7ead-25b1-4b3a-b3fe-1e61a83ab885"]},{"id":"ITEM-3","itemData":{"ISBN":"9781920618315","author":[{"dropping-particle":"","family":"Doherty","given":"Tanya","non-dropping-particle":"","parse-names":false,"suffix":""},{"dropping-particle":"","family":"Besada","given":"D","non-dropping-particle":"","parse-names":false,"suffix":""},{"dropping-particle":"","family":"Zembe","given":"W","non-dropping-particle":"","parse-names":false,"suffix":""},{"dropping-particle":"","family":"Daniels","given":"K","non-dropping-particle":"","parse-names":false,"suffix":""},{"dropping-particle":"","family":"Kinney","given":"M","non-dropping-particle":"","parse-names":false,"suffix":""},{"dropping-particle":"","family":"Kerber","given":"K","non-dropping-particle":"","parse-names":false,"suffix":""},{"dropping-particle":"","family":"Daviaud","given":"E","non-dropping-particle":"","parse-names":false,"suffix":""},{"dropping-particle":"","family":"Rohde","given":"S","non-dropping-particle":"","parse-names":false,"suffix":""},{"dropping-particle":"","family":"Ngandu","given":"N","non-dropping-particle":"","parse-names":false,"suffix":""},{"dropping-particle":"","family":"Jackson","given":"D","non-dropping-particle":"","parse-names":false,"suffix":""}],"id":"ITEM-3","issued":{"date-parts":[["2014"]]},"title":"Report on the summative external evaluation of the Integrated Health System Strengthening programme in Ethiopia, Mali, Mozambique, Ghana, Malawi and Niger","type":"report"},"uris":["http://www.mendeley.com/documents/?uuid=94986425-7399-348b-95f8-c3ff8107c94a"]},{"id":"ITEM-4","itemData":{"author":[{"dropping-particle":"","family":"Ndou","given":"T","non-dropping-particle":"","parse-names":false,"suffix":""},{"dropping-particle":"van","family":"Zyl","given":"G","non-dropping-particle":"","parse-names":false,"suffix":""},{"dropping-particle":"","family":"Hlahane","given":"S","non-dropping-particle":"","parse-names":false,"suffix":""},{"dropping-particle":"","family":"Goudge","given":"J","non-dropping-particle":"","parse-names":false,"suffix":""}],"container-title":"Global Health Action","id":"ITEM-4","issue":"19228","issued":{"date-parts":[["2013"]]},"note":"Using Smart Source Parsing\n15 ref","title":"A rapid assessment of a community health worker pilot programme to improve the management of hypertension and diabetes in Emfuleni sub-district of Gauteng Province, South Africa. (Special Issue: Building new knowledge.)","type":"article-journal","volume":"6"},"uris":["http://www.mendeley.com/documents/?uuid=0dddc598-c1f5-4a20-95a1-645eb3ee79fe"]},{"id":"ITEM-5","itemData":{"DOI":"10.1186/s12936-017-1793-0","ISBN":"1475-2875","abstract":"Background: The containment of artemisinin resistance in Myanmar, historically an important probable origin and route of anti-malarial resistance to the India sub-continent and beyond, is crucial to global malaria control and elimination. This paper describes what is currently known about the sale and distribution of oral artemisinin monotherapy (AMT) across Myanmar, where this medicine is commonly found. Methods: A nationally representative 2015 outlet survey was conducted in the private sector, and among community health workers across four geographical domains. A national sample of outlets was screened for availability of malaria testing and treatment, and an audit was completed for all anti-malarials. Results: A total of 3859 outlets across Myanmar had an anti-malarial in stock on the day of survey. Of the 3859 anti-malarial stocking outlets, 988 outlets stocked oral AMT. Availability of oral AMT was highest among outlets in the Western border (36.8%) versus other domains (Eastern, 15.0%; Central, 19.3% Coastal, 10.7%). Over 90% of the oral AMT service delivery points were private sector outlets: general retailers (49.4%), pharmacies (23.5%), and itinerant drug vendors (14.2%). Eleven unique oral AMT products were audited. The most common product audited was -Artesunate (R), manufactured by Mediplantex in Vietnam, which accounted for 79.9% of the oral AMT market share. Other oral AMT products were manufactured in China and in Myanmar. Over 60% of oral AMT products had a shelf life at purchase of greater than 2 years and only 14.7% were expired. The median number of oral AMT tablets typically dispensed to treat malaria was two tablets, approximately one tenth of a full adult course. The median price of a 50 mg tablet was $0.16. Conclusions: Given the high availability and distribution of oral AMT, it is possible that Myanmar has become the last remaining viable market for any oral AMT in the region for manufacturers. National and international organizations need to act quickly and effectively to stop the production and distribution to both improve malaria control within Myanmar and reduce risk of artemisinin resistance spreading to India and Africa.","author":[{"dropping-particle":"","family":"Thein","given":"S T","non-dropping-particle":"","parse-names":false,"suffix":""},{"dropping-particle":"","family":"Khin","given":"H S S","non-dropping-particle":"","parse-names":false,"suffix":""},{"dropping-particle":"","family":"Thi","given":"A","non-dropping-particle":"","parse-names":false,"suffix":""},{"dropping-particle":"","family":"Grp","given":"A CTwatch","non-dropping-particle":"","parse-names":false,"suffix":""}],"container-title":"Malaria Journal","id":"ITEM-5","issued":{"date-parts":[["2017"]]},"note":"Thein, Si Thu Khin, Hnin Su Su Aung Thi\nThein, Si Thu/S-7163-2019\nRusk, Andria/0000-0003-3485-084X; Thein, Si Thu/0000-0002-0022-160X; Bates, Katie/0000-0002-3118-4637; Bouanchaud, Paul/0000-0002-8920-8742; Ogada, Edna/0000-0003-0181-2505; Kyomuhangi, Irene/0000-0002-2797-015X","title":"Insights into the availability and distribution of oral artemisinin monotherapy in Myanmar: evidence from a nationally representative outlet survey","type":"article-journal","volume":"16"},"uris":["http://www.mendeley.com/documents/?uuid=ec46ccc7-5ab4-4204-8e43-9d5b86b0676b"]},{"id":"ITEM-6","itemData":{"author":[{"dropping-particle":"","family":"Miller","given":"N P","non-dropping-particle":"","parse-names":false,"suffix":""},{"dropping-particle":"","family":"Zunong","given":"N","non-dropping-particle":"","parse-names":false,"suffix":""},{"dropping-particle":"","family":"Al-Sorouri","given":"T A A","non-dropping-particle":"","parse-names":false,"suffix":""},{"dropping-particle":"","family":"Alqadasi","given":"Y M","non-dropping-particle":"","parse-names":false,"suffix":""},{"dropping-particle":"","family":"Ashraf","given":"S","non-dropping-particle":"","parse-names":false,"suffix":""},{"dropping-particle":"","family":"Siameja","given":"C","non-dropping-particle":"","parse-names":false,"suffix":""}],"container-title":"Journal of Global Health","id":"ITEM-6","issue":"2","issued":{"date-parts":[["2020"]]},"note":"Using Smart Source Parsing\n24 ref","title":"Implementing integrated community case management during conflict in Yemen. (Research Theme: Community health in emergencies.)","type":"article-journal","volume":"10"},"uris":["http://www.mendeley.com/documents/?uuid=43c222ef-9049-43aa-a753-2d4b57b7c828"]},{"id":"ITEM-7","itemData":{"DOI":"10.3402/gha.v8.25772","ISBN":"1654-9880","abstract":"Background: Routine immunization (RI) is a key child survival intervention. Ensuring acceptable standards of RI service delivery is critical for optimal outcomes. Accumulated evidences suggest that 'supportive supervision' improves the quality of health care services in general. During 2009-2010, the Government of Odisha and UNICEF jointly piloted this strategy in four districts to improve RI program outcomes. The present study aims to assess the effect of this strategy on improvement of skills and practices at immunization session sites. Design: Aquasi-experimental 'post-test only' study design was adopted to compare the opinion and practices of frontline health workers and their supervisors in four intervention districts (IDs) with two control districts (CDs). Altogether, we interviewed 111 supervisor-supervisee (health worker) pairs using semi-structured interview schedules and case vignettes. We also directly observed health workers' practices during immunization sessions at 111 sites. Data were analyzed with SPSS version 16.0. Results: The mean knowledge score of supervisors in CDs was significantly higher than in intervention groups. Variegated responses were obtained on case vignettes. The control group performed better in solving certain hypothetically asked problems, whereas the intervention group scored better in others. Health workers in IDs gave a lower rating to their respective supervisors' knowledge, skill, and frequency of supervision. Logistics and vaccine availability were better in CDs. Conclusion: Notwithstanding other limitations, supportive supervision may not have independent effects on improving the quality of immunization services. Addressing systemic issues, such as the availability of essential logistics, supply chain management, timely indenting, and financial resources, could complement the supportive supervision strategy in improving immunization service delivery.","author":[{"dropping-particle":"","family":"Panda","given":"B","non-dropping-particle":"","parse-names":false,"suffix":""},{"dropping-particle":"","family":"Pati","given":"S","non-dropping-particle":"","parse-names":false,"suffix":""},{"dropping-particle":"","family":"Nallala","given":"S","non-dropping-particle":"","parse-names":false,"suffix":""},{"dropping-particle":"","family":"Chauhan","given":"A S","non-dropping-particle":"","parse-names":false,"suffix":""},{"dropping-particle":"","family":"Anasuya","given":"A","non-dropping-particle":"","parse-names":false,"suffix":""},{"dropping-particle":"","family":"Som","given":"M","non-dropping-particle":"","parse-names":false,"suffix":""},{"dropping-particle":"","family":"Zodpey","given":"S","non-dropping-particle":"","parse-names":false,"suffix":""}],"container-title":"Global Health Action","id":"ITEM-7","issued":{"date-parts":[["2015"]]},"note":"Panda, Bhuputra Pati, Sanghamitra Nallala, Srinivas Chauhan, Abhimanyu S. Anasuya, Anita Som, Meena Zodpey, Sanjay\nPati, Sanghamitra/0000-0002-7717-5592; Panda, Bhuputra/0000-0001-9024-3126","title":"How supportive supervision influences immunization session site practices: a quasi-experimental study in Odisha, India","type":"article-journal","volume":"8"},"uris":["http://www.mendeley.com/documents/?uuid=80ef74c4-48d0-4a23-afe2-388aab4cad8b"]}],"mendeley":{"formattedCitation":"(26,32,33,37–40)","plainTextFormattedCitation":"(26,32,33,37–40)","previouslyFormattedCitation":"(26,32,33,37–40)"},"properties":{"noteIndex":0},"schema":"https://github.com/citation-style-language/schema/raw/master/csl-citation.json"}</w:instrText>
            </w:r>
            <w:r w:rsidRPr="00DA7609">
              <w:rPr>
                <w:sz w:val="24"/>
                <w:szCs w:val="24"/>
              </w:rPr>
              <w:fldChar w:fldCharType="separate"/>
            </w:r>
            <w:r w:rsidRPr="00DA7609">
              <w:rPr>
                <w:noProof/>
                <w:sz w:val="24"/>
                <w:szCs w:val="24"/>
              </w:rPr>
              <w:t>(26,32,33,37–40)</w:t>
            </w:r>
            <w:r w:rsidRPr="00DA7609">
              <w:rPr>
                <w:sz w:val="24"/>
                <w:szCs w:val="24"/>
              </w:rPr>
              <w:fldChar w:fldCharType="end"/>
            </w:r>
          </w:p>
        </w:tc>
      </w:tr>
      <w:tr w:rsidR="00DA7609" w:rsidRPr="00DA7609" w14:paraId="2C739402" w14:textId="77777777" w:rsidTr="00FE1ADC">
        <w:trPr>
          <w:cnfStyle w:val="000000100000" w:firstRow="0" w:lastRow="0" w:firstColumn="0" w:lastColumn="0" w:oddVBand="0" w:evenVBand="0" w:oddHBand="1" w:evenHBand="0" w:firstRowFirstColumn="0" w:firstRowLastColumn="0" w:lastRowFirstColumn="0" w:lastRowLastColumn="0"/>
          <w:cantSplit/>
          <w:trHeight w:val="557"/>
        </w:trPr>
        <w:tc>
          <w:tcPr>
            <w:cnfStyle w:val="001000000000" w:firstRow="0" w:lastRow="0" w:firstColumn="1" w:lastColumn="0" w:oddVBand="0" w:evenVBand="0" w:oddHBand="0" w:evenHBand="0" w:firstRowFirstColumn="0" w:firstRowLastColumn="0" w:lastRowFirstColumn="0" w:lastRowLastColumn="0"/>
            <w:tcW w:w="3369" w:type="dxa"/>
          </w:tcPr>
          <w:p w14:paraId="69CABEB8" w14:textId="77777777" w:rsidR="00DA7609" w:rsidRPr="00DA7609" w:rsidRDefault="00DA7609" w:rsidP="00DA7609">
            <w:pPr>
              <w:spacing w:before="60" w:after="60"/>
              <w:ind w:hanging="2"/>
              <w:rPr>
                <w:noProof/>
                <w:sz w:val="24"/>
                <w:szCs w:val="24"/>
                <w:u w:val="single"/>
              </w:rPr>
            </w:pPr>
          </w:p>
        </w:tc>
        <w:tc>
          <w:tcPr>
            <w:tcW w:w="2143" w:type="dxa"/>
          </w:tcPr>
          <w:p w14:paraId="22038B69"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sz w:val="24"/>
                <w:szCs w:val="24"/>
              </w:rPr>
            </w:pPr>
          </w:p>
        </w:tc>
        <w:tc>
          <w:tcPr>
            <w:tcW w:w="2834" w:type="dxa"/>
          </w:tcPr>
          <w:p w14:paraId="7D080A91"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sz w:val="24"/>
                <w:szCs w:val="24"/>
              </w:rPr>
            </w:pPr>
            <w:bookmarkStart w:id="48" w:name="_Hlk70416345"/>
            <w:r w:rsidRPr="00DA7609">
              <w:rPr>
                <w:i/>
                <w:iCs/>
                <w:sz w:val="24"/>
                <w:szCs w:val="24"/>
              </w:rPr>
              <w:t>Logistic management</w:t>
            </w:r>
            <w:bookmarkEnd w:id="48"/>
          </w:p>
        </w:tc>
        <w:tc>
          <w:tcPr>
            <w:tcW w:w="3514" w:type="dxa"/>
          </w:tcPr>
          <w:p w14:paraId="388A4B32"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sz w:val="24"/>
                <w:szCs w:val="24"/>
              </w:rPr>
            </w:pPr>
            <w:r w:rsidRPr="00DA7609">
              <w:rPr>
                <w:sz w:val="24"/>
                <w:szCs w:val="24"/>
              </w:rPr>
              <w:fldChar w:fldCharType="begin" w:fldLock="1"/>
            </w:r>
            <w:r w:rsidRPr="00DA7609">
              <w:rPr>
                <w:sz w:val="24"/>
                <w:szCs w:val="24"/>
              </w:rPr>
              <w:instrText>ADDIN CSL_CITATION {"citationItems":[{"id":"ITEM-1","itemData":{"DOI":"10.1111/tmi.12314","ISSN":"13653156","PMID":"24724617","abstract":"To assess the relationship between health system factors and facility-level EHP stock-outs in Mozambique. Service provisions were assessed in 26 health facilities and 13 district warehouses in Sofala Province, Mozambique, from July to August in 2011-2013. Generalised estimating equations were used to model factors associated with facility-level availability of essential drugs, supplies and equipment. Stock-out rates for drugs ranged from 1.3% for oral rehydration solution to 20.5% for Depo-Provera and condoms, with a mean stock-out rate of 9.1%; mean stock-out rates were 15.4% for supplies and 4.1% for equipment. Stock-outs at the district level accounted for 27.1% (29/107) of facility-level drug stock-outs and 44.0% (37/84) of supply stock-outs. Each 10-km increase in the distance from district distribution warehouses was associated with a 31% (CI: 22-42%), 28% (CI: 17-40%) or 27% (CI: 7-50%) increase in rates of drug, supply or equipment stock-outs, respectively. The number of heath facility staff was consistently negatively associated with the occurrence of stock-outs. Facility-level stock-outs of EHPs in Mozambique are common and appear to disproportionately affect those living far from district capitals and near facilities with few health staff. The majority of facility-level EHP stock-outs in Mozambique occur when stock exists at the district distribution centre. Innovative methods are urgently needed to improve EHP supply chains, requesting and ordering of drugs, facility and district communication, and forecasting of future EHP needs in Mozambique. Increased investments in public-sector human resources for health could potentially decrease the occurrence of EHP stock-outs. © 2014 John Wiley &amp; Sons Ltd.","author":[{"dropping-particle":"","family":"Wagenaar","given":"Bradley H.","non-dropping-particle":"","parse-names":false,"suffix":""},{"dropping-particle":"","family":"Gimbel","given":"Sarah","non-dropping-particle":"","parse-names":false,"suffix":""},{"dropping-particle":"","family":"Hoek","given":"Roxanne","non-dropping-particle":"","parse-names":false,"suffix":""},{"dropping-particle":"","family":"Pfeiffer","given":"James","non-dropping-particle":"","parse-names":false,"suffix":""},{"dropping-particle":"","family":"Michel","given":"Cathy","non-dropping-particle":"","parse-names":false,"suffix":""},{"dropping-particle":"","family":"Manuel","given":"João Luis","non-dropping-particle":"","parse-names":false,"suffix":""},{"dropping-particle":"","family":"Cuembelo","given":"Fatima","non-dropping-particle":"","parse-names":false,"suffix":""},{"dropping-particle":"","family":"Quembo","given":"Titos","non-dropping-particle":"","parse-names":false,"suffix":""},{"dropping-particle":"","family":"Afonso","given":"Pires","non-dropping-particle":"","parse-names":false,"suffix":""},{"dropping-particle":"","family":"Gloyd","given":"Stephen","non-dropping-particle":"","parse-names":false,"suffix":""},{"dropping-particle":"","family":"Sherr","given":"Kenneth","non-dropping-particle":"","parse-names":false,"suffix":""}],"container-title":"Tropical medicine &amp; international health : TM &amp; IH","id":"ITEM-1","issue":"7","issued":{"date-parts":[["2014"]]},"page":"791-801","publisher":"Trop Med Int Health","title":"Stock-outs of essential health products in Mozambique - longitudinal analyses from 2011 to 2013.","type":"article-journal","volume":"19"},"uris":["http://www.mendeley.com/documents/?uuid=6d1ec21d-5649-3384-b5b7-28d9ca56278d"]},{"id":"ITEM-2","itemData":{"ISSN":"0030-4018","abstract":"Recently a novel method has been proposed for the calculation of the\\nscattering of an incoming electromagnetic wave by an arbitrarily shaped\\nphotonic crystal. The method rests on the representation of an arbitrary\\nelectromagnetic field inside a volume V by a fictitious surface current\\ndistribution along the boundary of this volume which acts as a source\\nfor a point response tensor for the medium. The validity of such a\\nrepresentation is rigorously proven. (C) 2004 Elsevier B.V. All rights\\nreserved.","author":[{"dropping-particle":"","family":"Smith","given":"Sarah","non-dropping-particle":"","parse-names":false,"suffix":""},{"dropping-particle":"","family":"Agarwal","given":"Aarti","non-dropping-particle":"","parse-names":false,"suffix":""},{"dropping-particle":"","family":"Crigler","given":"Lauren","non-dropping-particle":"","parse-names":false,"suffix":""},{"dropping-particle":"","family":"Gallo","given":"Maria","non-dropping-particle":"","parse-names":false,"suffix":""},{"dropping-particle":"","family":"Finlay","given":"Alyssa","non-dropping-particle":"","parse-names":false,"suffix":""},{"dropping-particle":"","family":"Homsi","given":"Francis Antonio","non-dropping-particle":"","parse-names":false,"suffix":""},{"dropping-particle":"","family":"Lanford","given":"Emily","non-dropping-particle":"","parse-names":false,"suffix":""},{"dropping-particle":"","family":"Wiskow","given":"Christiane","non-dropping-particle":"","parse-names":false,"suffix":""},{"dropping-particle":"","family":"Wuliji","given":"Tana","non-dropping-particle":"","parse-names":false,"suffix":""}],"id":"ITEM-2","issue":"EnCompass LLC","issued":{"date-parts":[["2013"]]},"title":"Community Health Volunteer Program Functionality and Performance in Madascar: A Synthesis of Qualtative and Quantitative Assessments","type":"report"},"uris":["http://www.mendeley.com/documents/?uuid=fbe0a5b2-b97e-39d9-ab60-c3b8de0943cb"]},{"id":"ITEM-3","itemData":{"DOI":"10.1186/1472-6963-7-86","ISSN":"14726963","PMID":"17573958","abstract":"Background. In Malawi essential drugs are provided free of charge to patients at all public health facilities in order to ensure equitable access to health care. The country thereby spends about 30% of the national health budget on drugs. In order to investigate the level of drug shortages and eventually find the reasons for the drugs shortages in Malawi, we studied the management of the drug supplies for common and life threatening diseases such as pneumonia and malaria in a random selection of health centres. Methods. In July and August 2005 we visited eight out of a total of 37 health centres chosen at random in the Lilongwe District, Malawi. We recorded the logistics of eight essential and widely used drugs which according to the treatment guidelines should be available at all health centres. Five drugs are used regularly to treat pneumonia and three others to treat acute malaria. Out-of-stock situations in the course of one year were recorded retrospectively. We compared the quantity of each drug recorded on the Stock Cards with the actual stock of the drug on the shelves at the time of audit. We reviewed 8,968 Patient Records containing information on type and amount of drugs prescribed during one month. Results. On average, drugs for treating pneumonia were out of stock for six months during one year of observation (median value 167 days); anti-malarial drugs were lacking for periods ranging from 42 to138 days. The cross-sectional audit was even more negative, but here too the situation was more positive for anti-malarial drugs. The main reason for the shortage of drugs was insufficient deliveries from the Regional Medical Store. Benzyl penicillin was in shortest supply (4% received). The median value for non-availability was 240 days in the course of a year. The supply was better for anti-malarial drugs, except for quinine injections (9 %). Only 66 % of Stock Card records of quantities received were reflected in Patient Records showing quantities dispensed. Conclusion. We conclude that for the eight index drugs the levels of supply are unacceptable. The main reason for the observed shortage of drugs at the health centres was insufficient deliveries from the Regional Medical Store. A difference between the information recorded on the Stock Cards at the health centres and that recorded in the Patient Records may have contributed to the overall poor drug supply situation. In order to ensure equitable access to life saving drugs, logistics in genera…","author":[{"dropping-particle":"","family":"Lufesi","given":"Norman N.","non-dropping-particle":"","parse-names":false,"suffix":""},{"dropping-particle":"","family":"Andrew","given":"Marit","non-dropping-particle":"","parse-names":false,"suffix":""},{"dropping-particle":"","family":"Aursnes","given":"Ivar","non-dropping-particle":"","parse-names":false,"suffix":""}],"container-title":"BMC Health Services Research","id":"ITEM-3","issue":"1","issued":{"date-parts":[["2007","12","15"]]},"page":"86","publisher":"BioMed Central","title":"Deficient supplies of drugs for life threatening diseases in an African community","type":"article-journal","volume":"7"},"uris":["http://www.mendeley.com/documents/?uuid=c6a12f10-cc99-3b74-a2c3-346d4bee1e39"]},{"id":"ITEM-4","itemData":{"DOI":"10.1080/16549716.2017.1327256","ISSN":"16549880","PMID":"28581379","abstract":"Background: Poor quality of care and access to effective and affordable interventions have been attributed to constraints and bottlenecks within and outside the health system. However, there is limited understanding of health system barriers to utilization and delivery of appropriate, highimpact, and cost-effective interventions at the point of service delivery in districts and sub-districts in low-income countries. In this study we illustrate the use of the bottleneck analysis approach, which could be used to identify bottlenecks in service delivery within the district health system. Methods: A modified Tanahashi model with six determinants for effective coverage was used to determine bottlenecks in service provision for maternal and newborn care. The following interventions provided during antenatal care were used as tracer interventions: use of iron and folic acid, intermittent presumptive treatment for malaria, HIV counseling and testing, and syphilis testing. Data from cross-sectional household and health facility surveys in Mayuge and Namayingo districts in Uganda were used in this study. Results: Effective coverage and human resource gaps were identified as the biggest bottlenecks in both districts, with coverage ranging from 0% to 66% for effective coverage and from 46% to 58% for availability of health facility staff. Our findings revealed a similar pattern in bottlenecks in both districts for particular interventions although the districts are functionally independent. Conclusion: The modified Tanahashi model is an analysis tool that can be used to identify bottlenecks to effective coverage within the district health system, for instance, the effective coverage for maternal and newborn care interventions. However, the analysis is highly dependent on the availability of data to populate all six determinants and could benefit from further validation analysis for the causes of bottlenecks identified.","author":[{"dropping-particle":"","family":"Henriksson","given":"Dorcus Kiwanuka","non-dropping-particle":"","parse-names":false,"suffix":""},{"dropping-particle":"","family":"Fredriksson","given":"Mio","non-dropping-particle":"","parse-names":false,"suffix":""},{"dropping-particle":"","family":"Waiswa","given":"Peter","non-dropping-particle":"","parse-names":false,"suffix":""},{"dropping-particle":"","family":"Selling","given":"Katarina","non-dropping-particle":"","parse-names":false,"suffix":""},{"dropping-particle":"","family":"Peterson","given":"Stefan Swartling","non-dropping-particle":"","parse-names":false,"suffix":""}],"container-title":"Global Health Action","id":"ITEM-4","issue":"1","issued":{"date-parts":[["2017"]]},"publisher":"Glob Health Action","title":"Bottleneck analysis at district level to illustrate gaps within the district health system in Uganda","type":"article-journal","volume":"10"},"uris":["http://www.mendeley.com/documents/?uuid=0d058283-1a35-31d3-ab97-8046ada65316"]},{"id":"ITEM-5","itemData":{"author":[{"dropping-particle":"","family":"Rao","given":"V B","non-dropping-particle":"","parse-names":false,"suffix":""},{"dropping-particle":"","family":"Schellenberg","given":"D","non-dropping-particle":"","parse-names":false,"suffix":""},{"dropping-particle":"","family":"Ghani","given":"A C","non-dropping-particle":"","parse-names":false,"suffix":""}],"container-title":"Trends in Parasitology","id":"ITEM-5","issue":"4","issued":{"date-parts":[["2013"]]},"note":"Using Smart Source Parsing\n112 ref","page":"164-180","title":"Overcoming health systems barriers to successful malaria treatment","type":"article-journal","volume":"29"},"uris":["http://www.mendeley.com/documents/?uuid=e439b55a-a3db-4e91-9800-7fb414f719e1"]},{"id":"ITEM-6","itemData":{"author":[{"dropping-particle":"","family":"Global Fund","given":"","non-dropping-particle":"","parse-names":false,"suffix":""},{"dropping-particle":"","family":"WHO","given":"","non-dropping-particle":"","parse-names":false,"suffix":""},{"dropping-particle":"","family":"UNICEF","given":"","non-dropping-particle":"","parse-names":false,"suffix":""}],"id":"ITEM-6","issued":{"date-parts":[["2018"]]},"title":"Integrated Community Case Management (iCCM) in Sub-Saharan Africa: Successes &amp; Challenges with Access, Speed &amp; Quality Thematic review report","type":"report"},"uris":["http://www.mendeley.com/documents/?uuid=cdd8cc09-fda0-3226-b6c3-baca7bae910b"]}],"mendeley":{"formattedCitation":"(28,37,41–44)","plainTextFormattedCitation":"(28,37,41–44)","previouslyFormattedCitation":"(28,37,41–44)"},"properties":{"noteIndex":0},"schema":"https://github.com/citation-style-language/schema/raw/master/csl-citation.json"}</w:instrText>
            </w:r>
            <w:r w:rsidRPr="00DA7609">
              <w:rPr>
                <w:sz w:val="24"/>
                <w:szCs w:val="24"/>
              </w:rPr>
              <w:fldChar w:fldCharType="separate"/>
            </w:r>
            <w:r w:rsidRPr="00DA7609">
              <w:rPr>
                <w:noProof/>
                <w:sz w:val="24"/>
                <w:szCs w:val="24"/>
              </w:rPr>
              <w:t>(28,37,41–44)</w:t>
            </w:r>
            <w:r w:rsidRPr="00DA7609">
              <w:rPr>
                <w:sz w:val="24"/>
                <w:szCs w:val="24"/>
              </w:rPr>
              <w:fldChar w:fldCharType="end"/>
            </w:r>
          </w:p>
        </w:tc>
      </w:tr>
      <w:tr w:rsidR="00DA7609" w:rsidRPr="00DA7609" w14:paraId="7AF708AC" w14:textId="77777777" w:rsidTr="00FE1ADC">
        <w:trPr>
          <w:cantSplit/>
          <w:trHeight w:val="413"/>
        </w:trPr>
        <w:tc>
          <w:tcPr>
            <w:cnfStyle w:val="001000000000" w:firstRow="0" w:lastRow="0" w:firstColumn="1" w:lastColumn="0" w:oddVBand="0" w:evenVBand="0" w:oddHBand="0" w:evenHBand="0" w:firstRowFirstColumn="0" w:firstRowLastColumn="0" w:lastRowFirstColumn="0" w:lastRowLastColumn="0"/>
            <w:tcW w:w="3369" w:type="dxa"/>
          </w:tcPr>
          <w:p w14:paraId="6901D835" w14:textId="77777777" w:rsidR="00DA7609" w:rsidRPr="00DA7609" w:rsidRDefault="00DA7609" w:rsidP="00DA7609">
            <w:pPr>
              <w:spacing w:before="60" w:after="60"/>
              <w:ind w:hanging="2"/>
              <w:rPr>
                <w:noProof/>
                <w:sz w:val="24"/>
                <w:szCs w:val="24"/>
                <w:u w:val="single"/>
              </w:rPr>
            </w:pPr>
          </w:p>
        </w:tc>
        <w:tc>
          <w:tcPr>
            <w:tcW w:w="2143" w:type="dxa"/>
          </w:tcPr>
          <w:p w14:paraId="06D04E09"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noProof/>
                <w:sz w:val="24"/>
                <w:szCs w:val="24"/>
              </w:rPr>
            </w:pPr>
            <w:r w:rsidRPr="00DA7609">
              <w:rPr>
                <w:b/>
                <w:bCs/>
                <w:sz w:val="24"/>
                <w:szCs w:val="24"/>
              </w:rPr>
              <w:t>Distribution (40)</w:t>
            </w:r>
          </w:p>
        </w:tc>
        <w:tc>
          <w:tcPr>
            <w:tcW w:w="2834" w:type="dxa"/>
          </w:tcPr>
          <w:p w14:paraId="004E6E83"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i/>
                <w:iCs/>
                <w:sz w:val="24"/>
                <w:szCs w:val="24"/>
              </w:rPr>
            </w:pPr>
            <w:r w:rsidRPr="00DA7609">
              <w:rPr>
                <w:i/>
                <w:iCs/>
                <w:sz w:val="24"/>
                <w:szCs w:val="24"/>
                <w:u w:color="000000"/>
              </w:rPr>
              <w:t>Logistic management</w:t>
            </w:r>
          </w:p>
        </w:tc>
        <w:tc>
          <w:tcPr>
            <w:tcW w:w="3514" w:type="dxa"/>
          </w:tcPr>
          <w:p w14:paraId="5BF256C1"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sz w:val="24"/>
                <w:szCs w:val="24"/>
              </w:rPr>
            </w:pPr>
            <w:r w:rsidRPr="00DA7609">
              <w:rPr>
                <w:sz w:val="24"/>
                <w:szCs w:val="24"/>
                <w:u w:color="000000"/>
              </w:rPr>
              <w:fldChar w:fldCharType="begin" w:fldLock="1"/>
            </w:r>
            <w:r w:rsidRPr="00DA7609">
              <w:rPr>
                <w:sz w:val="24"/>
                <w:szCs w:val="24"/>
                <w:u w:color="000000"/>
              </w:rPr>
              <w:instrText>ADDIN CSL_CITATION {"citationItems":[{"id":"ITEM-1","itemData":{"author":[{"dropping-particle":"","family":"Strachan","given":"C","non-dropping-particle":"","parse-names":false,"suffix":""},{"dropping-particle":"","family":"Wharton-Smith","given":"A","non-dropping-particle":"","parse-names":false,"suffix":""},{"dropping-particle":"","family":"Sinyangwe","given":"C","non-dropping-particle":"","parse-names":false,"suffix":""},{"dropping-particle":"","family":"Mubiru","given":"D","non-dropping-particle":"","parse-names":false,"suffix":""},{"dropping-particle":"","family":"Ssekitooleko","given":"J","non-dropping-particle":"","parse-names":false,"suffix":""},{"dropping-particle":"","family":"Meier","given":"J","non-dropping-particle":"","parse-names":false,"suffix":""},{"dropping-particle":"","family":"Gbanya","given":"M","non-dropping-particle":"","parse-names":false,"suffix":""},{"dropping-particle":"","family":"Tibenderana","given":"J K","non-dropping-particle":"","parse-names":false,"suffix":""},{"dropping-particle":"","family":"Counihan","given":"H","non-dropping-particle":"","parse-names":false,"suffix":""}],"container-title":"Journal of Global Health","id":"ITEM-1","issue":"2","issued":{"date-parts":[["2014"]]},"note":"Using Smart Source Parsing\n020404. 19 ref","title":"Integrated community case management of malaria, pneumonia and diarrhoea across three African countries: a qualitative study exploring lessons learnt and implications for further scale up. (Themed Issue: Current scientific evidence for integrated communit","type":"article-journal","volume":"4"},"uris":["http://www.mendeley.com/documents/?uuid=403cfebb-623e-4cf9-95dc-ddf76714c7f3"]},{"id":"ITEM-2","itemData":{"author":[{"dropping-particle":"","family":"Phiri","given":"S C","non-dropping-particle":"","parse-names":false,"suffix":""},{"dropping-particle":"","family":"Prust","given":"M L","non-dropping-particle":"","parse-names":false,"suffix":""},{"dropping-particle":"","family":"Chibawe","given":"C P","non-dropping-particle":"","parse-names":false,"suffix":""},{"dropping-particle":"","family":"Misapa","given":"R","non-dropping-particle":"","parse-names":false,"suffix":""},{"dropping-particle":"","family":"Broek","given":"J W","non-dropping-particle":"Van Den","parse-names":false,"suffix":""},{"dropping-particle":"","family":"Wilmink","given":"N","non-dropping-particle":"","parse-names":false,"suffix":""}],"container-title":"BMC Proceedings. Conference: 1st International Symposium on Community Health Workers. Uganda.","id":"ITEM-2","issue":"6 Supplement 1","issued":{"date-parts":[["2017"]]},"note":"Using Smart Source Parsing\n( (no pagination), Date of Publication: September 2017","title":"Assessing successes and challenges in the scale-up of a national, public sector community health worker cadre in Zambia: A qualitative study","type":"article-journal","volume":"11"},"uris":["http://www.mendeley.com/documents/?uuid=a3cc4ce0-39a3-4b6a-a286-e677366bcb55"]},{"id":"ITEM-3","itemData":{"author":[{"dropping-particle":"","family":"Shieshia","given":"M","non-dropping-particle":"","parse-names":false,"suffix":""},{"dropping-particle":"","family":"Noel","given":"M","non-dropping-particle":"","parse-names":false,"suffix":""},{"dropping-particle":"","family":"Andersson","given":"S","non-dropping-particle":"","parse-names":false,"suffix":""},{"dropping-particle":"","family":"Felling","given":"B","non-dropping-particle":"","parse-names":false,"suffix":""},{"dropping-particle":"","family":"Alva","given":"S","non-dropping-particle":"","parse-names":false,"suffix":""},{"dropping-particle":"","family":"Agarwal","given":"S","non-dropping-particle":"","parse-names":false,"suffix":""},{"dropping-particle":"","family":"Lefevre","given":"A","non-dropping-particle":"","parse-names":false,"suffix":""},{"dropping-particle":"","family":"Misomali","given":"A","non-dropping-particle":"","parse-names":false,"suffix":""},{"dropping-particle":"","family":"Chimphanga","given":"B","non-dropping-particle":"","parse-names":false,"suffix":""},{"dropping-particle":"","family":"Nsona","given":"H","non-dropping-particle":"","parse-names":false,"suffix":""},{"dropping-particle":"","family":"Chandani","given":"Y","non-dropping-particle":"","parse-names":false,"suffix":""}],"container-title":"Journal of Global Health","id":"ITEM-3","issue":"2","issued":{"date-parts":[["2014"]]},"note":"Using Smart Source Parsing\n020406. 15 ref","title":"Strengthening community health supply chain performance through an integrated approach: using mHealth technology and multilevel teams in Malawi. (Themed Issue: Current scientific evidence for integrated community case management (iCCM) in Africa: findings","type":"article-journal","volume":"4"},"uris":["http://www.mendeley.com/documents/?uuid=2e878905-6bf0-4e20-9e5a-4cb6e89d96f2"]},{"id":"ITEM-4","itemData":{"author":[{"dropping-particle":"","family":"World Health Organization","given":"","non-dropping-particle":"","parse-names":false,"suffix":""}],"container-title":"WHO Evaluation Office,","id":"ITEM-4","issue":"May","issued":{"date-parts":[["2018"]]},"number-of-pages":"1- 157","title":"Summative evaluation of the WHO Rapid Access Expansion Initiative Volume 3 : Country Briefs","type":"report","volume":"3"},"uris":["http://www.mendeley.com/documents/?uuid=4bf4f451-b078-38e8-b60a-69b39e08b04e"]},{"id":"ITEM-5","itemData":{"DOI":"10.1080/16549716.2017.1327256","ISSN":"16549880","PMID":"28581379","abstract":"Background: Poor quality of care and access to effective and affordable interventions have been attributed to constraints and bottlenecks within and outside the health system. However, there is limited understanding of health system barriers to utilization and delivery of appropriate, highimpact, and cost-effective interventions at the point of service delivery in districts and sub-districts in low-income countries. In this study we illustrate the use of the bottleneck analysis approach, which could be used to identify bottlenecks in service delivery within the district health system. Methods: A modified Tanahashi model with six determinants for effective coverage was used to determine bottlenecks in service provision for maternal and newborn care. The following interventions provided during antenatal care were used as tracer interventions: use of iron and folic acid, intermittent presumptive treatment for malaria, HIV counseling and testing, and syphilis testing. Data from cross-sectional household and health facility surveys in Mayuge and Namayingo districts in Uganda were used in this study. Results: Effective coverage and human resource gaps were identified as the biggest bottlenecks in both districts, with coverage ranging from 0% to 66% for effective coverage and from 46% to 58% for availability of health facility staff. Our findings revealed a similar pattern in bottlenecks in both districts for particular interventions although the districts are functionally independent. Conclusion: The modified Tanahashi model is an analysis tool that can be used to identify bottlenecks to effective coverage within the district health system, for instance, the effective coverage for maternal and newborn care interventions. However, the analysis is highly dependent on the availability of data to populate all six determinants and could benefit from further validation analysis for the causes of bottlenecks identified.","author":[{"dropping-particle":"","family":"Henriksson","given":"Dorcus Kiwanuka","non-dropping-particle":"","parse-names":false,"suffix":""},{"dropping-particle":"","family":"Fredriksson","given":"Mio","non-dropping-particle":"","parse-names":false,"suffix":""},{"dropping-particle":"","family":"Waiswa","given":"Peter","non-dropping-particle":"","parse-names":false,"suffix":""},{"dropping-particle":"","family":"Selling","given":"Katarina","non-dropping-particle":"","parse-names":false,"suffix":""},{"dropping-particle":"","family":"Peterson","given":"Stefan Swartling","non-dropping-particle":"","parse-names":false,"suffix":""}],"container-title":"Global Health Action","id":"ITEM-5","issue":"1","issued":{"date-parts":[["2017"]]},"publisher":"Glob Health Action","title":"Bottleneck analysis at district level to illustrate gaps within the district health system in Uganda","type":"article-journal","volume":"10"},"uris":["http://www.mendeley.com/documents/?uuid=0d058283-1a35-31d3-ab97-8046ada65316"]},{"id":"ITEM-6","itemData":{"author":[{"dropping-particle":"","family":"Global Fund","given":"","non-dropping-particle":"","parse-names":false,"suffix":""},{"dropping-particle":"","family":"WHO","given":"","non-dropping-particle":"","parse-names":false,"suffix":""},{"dropping-particle":"","family":"UNICEF","given":"","non-dropping-particle":"","parse-names":false,"suffix":""}],"id":"ITEM-6","issued":{"date-parts":[["2018"]]},"title":"Integrated Community Case Management (iCCM) in Sub-Saharan Africa: Successes &amp; Challenges with Access, Speed &amp; Quality Thematic review report","type":"report"},"uris":["http://www.mendeley.com/documents/?uuid=cdd8cc09-fda0-3226-b6c3-baca7bae910b"]},{"id":"ITEM-7","itemData":{"DOI":"10.1080/13625187.2017.1394453","ISBN":"1362-5187","abstract":"Purpose: To identify and assess factors determining the functioning of supply chain systems for modern contraception in low-and middle-income countries (LMICs), and to identify challenges contributing to contraception stockouts that may lead to unmet need. Materials and methods: Scientific databases and grey literature were searched including Database of Abstracts of Reviews of Effectiveness (DARE), PubMed, MEDLINE, POPLINE, CINAHL, Academic Search Complete, Science Direct, Web of Science, Cochrane Central, Google Scholar, WHO databases and websites of key international organisations. Results: Studies indicated that supply chain system inefficiencies significantly affect availability of modern FP and contraception commodities in LMICs, especially in rural public facilities where distribution barriers may be acute. Supply chain failures or bottlenecks may be attributed to: weak and poorly institutionalized logistic management information systems (LMIS), poor physical infrastructures in LMICs, lack of trained and dedicated staff for supply chain management, inadequate funding, and rigid government policies on task sharing. However, there is evidence that implementing effective LMISs and involving public and private providers will distribution channels resulted in reduction in medical commodities' stockout rates. Conclusions: Supply chain bottlenecks contribute significantly to persistent high stockout rates for modern contraceptives in LMICs. Interventions aimed at enhancing uptake of contraceptives to reduce the problem of unmet need in LMICs should make strong commitments towards strengthening these countries' health commodities supply chain management systems. Current evidence is limited and additional, and well-designed implementation research on contraception supply chain systems is warranted to gain further understanding and insights on the determinants of supply chain bottlenecks and their impact on stockouts of contraception commodities.","author":[{"dropping-particle":"","family":"Mukasa","given":"B","non-dropping-particle":"","parse-names":false,"suffix":""},{"dropping-particle":"","family":"Ali","given":"M","non-dropping-particle":"","parse-names":false,"suffix":""},{"dropping-particle":"","family":"Farron","given":"M","non-dropping-particle":"","parse-names":false,"suffix":""},{"dropping-particle":"","family":"Weerdt","given":"R","non-dropping-particle":"Van de","parse-names":false,"suffix":""}],"container-title":"European Journal of Contraception and Reproductive Health Care","id":"ITEM-7","issue":"5","issued":{"date-parts":[["2017"]]},"note":"Mukasa, Bakali Ali, Moazzam Farron, Madeline Van de Weerdt, Renee\nAli, Moazzam/0000-0001-6949-8976\n1473-0782","page":"384-390","title":"Contraception supply chain challenges: a review of evidence from low- and middle-income countries","type":"article-journal","volume":"22"},"uris":["http://www.mendeley.com/documents/?uuid=82f9cbf9-baa4-4d39-a277-8a73269b7ef6"]},{"id":"ITEM-8","itemData":{"author":[{"dropping-particle":"","family":"Chandani","given":"Y","non-dropping-particle":"","parse-names":false,"suffix":""},{"dropping-particle":"","family":"Noel","given":"M","non-dropping-particle":"","parse-names":false,"suffix":""},{"dropping-particle":"","family":"Pomeroy","given":"A","non-dropping-particle":"","parse-names":false,"suffix":""},{"dropping-particle":"","family":"Andersson","given":"S","non-dropping-particle":"","parse-names":false,"suffix":""},{"dropping-particle":"","family":"Pahl","given":"M K","non-dropping-particle":"","parse-names":false,"suffix":""},{"dropping-particle":"","family":"Williams","given":"T","non-dropping-particle":"","parse-names":false,"suffix":""}],"container-title":"American Journal of Tropical Medicine and Hygiene","id":"ITEM-8","issue":"5 (Supplement","issued":{"date-parts":[["2012"]]},"note":"Using Smart Source Parsing\n13 ref","page":"120-126","title":"Factors affecting availability of essential medicines among community health workers in Ethiopia, Malawi, and Rwanda: solving the last mile puzzle. (Special supplement on Integrated Community Case Management.)","type":"article-journal","volume":"87"},"uris":["http://www.mendeley.com/documents/?uuid=b3bc4fc4-6baa-46d5-9472-660475305883"]},{"id":"ITEM-9","itemData":{"author":[{"dropping-particle":"","family":"Village Reach","given":"","non-dropping-particle":"","parse-names":false,"suffix":""}],"id":"ITEM-9","issue":"October","issued":{"date-parts":[["2015"]]},"number-of-pages":"1-59","title":"Exploring New Distribution Models for Vaccines and other Health Commodities Adapted to the on the Ground Realities of the Equateur and Tshuapa Provinces , Democratic Republic of Congo","type":"report"},"uris":["http://www.mendeley.com/documents/?uuid=54537a97-5da5-3cc2-9f22-6bfb239fc036"]},{"id":"ITEM-10","itemData":{"DOI":"http://dx.doi.org/10.1016/S2214-109X(16)00046-2","abstract":"Background: In September, 2012, the UN Commission on Life Saving Commodities (UNCoLSC) outlined a plan to expand availability and access to 13 life saving commodities. We profile global and country progress against these recommendations between 2012 and 2015. Methods: For 12 countries in sub-Saharan Africa that were off-track to achieve the Millennium Development Goals for maternal and child survival, we reviewed key documents and reference data, and conducted interviews with ministry staff and partners to assess the status of the UNCoLSC recommendations. The RMNCH fund provided short-term catalytic financing to support country plans to advance the commodity agenda, with activities coded by UNCoLSC recommendation. Our network of technical resource teams identified, addressed, and monitored progress against cross-cutting commodity-related challenges that needed coordinated global action. Findings: In 2014 and 2015, child and maternal health commodities had fewer bottlenecks than reproductive and neonatal commodities. Common bottlenecks included regulatory challenges (ten of 12 countries); poor quality assurance (11 of 12 countries); insufficient staff training (more than half of facilities on average); and weak supply chains systems (11 of 12 countries), with stock-outs of priority commodities in about 40% of facilities on average. The RMNCH fund committed US$175·7 million to 19 countries to support strategies addressing crucial gaps. $68·2 million (39·0%) of the funds supported systems-strengthening interventions with the remainder split across reproductive, maternal, newborn, and child health. Health worker training ($88·6 million, 50·4%), supply chain ($53·3 million, 30·0%), and demand generation ($21·1 million, 12·0%) were the major topics of focus. All priority commodities are now listed in the WHO Essential Medicines List; appropriate price reductions were secured; quality manufacturing was improved; a fast-track registration mechanism for prequalified products was established; and methods were developed for advocacy, quantifi- cation, demand generation, supply chain, and provider training. Slower progress was evident around regulatory harmonisation and quality assurance. Interpretation: Much work is needed to achieve full implementation of the UNCoLSC recommendations. Coordinated efforts to secure price reductions beyond the 13 commodities and improve regulatory effi- ciency, quality, and supply chains are still needed alongside broader disseminat…","author":[{"dropping-particle":"","family":"Pronyk","given":"Paul","non-dropping-particle":"","parse-names":false,"suffix":""},{"dropping-particle":"","family":"Nemser","given":"Benneth","non-dropping-particle":"","parse-names":false,"suffix":""},{"dropping-particle":"","family":"Maliqi","given":"Blerta","non-dropping-particle":"","parse-names":false,"suffix":""},{"dropping-particle":"","family":"Springstubb","given":"Nora","non-dropping-particle":"","parse-names":false,"suffix":""},{"dropping-particle":"","family":"Sera","given":"Diana","non-dropping-particle":"","parse-names":false,"suffix":""},{"dropping-particle":"","family":"Karimov","given":"Rouslan","non-dropping-particle":"","parse-names":false,"suffix":""},{"dropping-particle":"","family":"Katwan","given":"Elizabeth","non-dropping-particle":"","parse-names":false,"suffix":""},{"dropping-particle":"","family":"Walter","given":"Benedicte","non-dropping-particle":"","parse-names":false,"suffix":""},{"dropping-particle":"","family":"Bijleveld","given":"Pascal","non-dropping-particle":"","parse-names":false,"suffix":""}],"container-title":"Lancet Global Health","id":"ITEM-10","issue":"4","issued":{"date-parts":[["2016"]]},"language":"English","page":"e276-e286","title":"The UN Commission on Life Saving Commodities 3 years on: Global progress update and results of a multicountry assessment. TT -","type":"article-journal","volume":"4"},"uris":["http://www.mendeley.com/documents/?uuid=1ebdf555-aa8a-45a1-b66d-8e71d219811f"]},{"id":"ITEM-11","itemData":{"ISBN":"9781920618315","author":[{"dropping-particle":"","family":"Doherty","given":"Tanya","non-dropping-particle":"","parse-names":false,"suffix":""},{"dropping-particle":"","family":"Besada","given":"D","non-dropping-particle":"","parse-names":false,"suffix":""},{"dropping-particle":"","family":"Zembe","given":"W","non-dropping-particle":"","parse-names":false,"suffix":""},{"dropping-particle":"","family":"Daniels","given":"K","non-dropping-particle":"","parse-names":false,"suffix":""},{"dropping-particle":"","family":"Kinney","given":"M","non-dropping-particle":"","parse-names":false,"suffix":""},{"dropping-particle":"","family":"Kerber","given":"K","non-dropping-particle":"","parse-names":false,"suffix":""},{"dropping-particle":"","family":"Daviaud","given":"E","non-dropping-particle":"","parse-names":false,"suffix":""},{"dropping-particle":"","family":"Rohde","given":"S","non-dropping-particle":"","parse-names":false,"suffix":""},{"dropping-particle":"","family":"Ngandu","given":"N","non-dropping-particle":"","parse-names":false,"suffix":""},{"dropping-particle":"","family":"Jackson","given":"D","non-dropping-particle":"","parse-names":false,"suffix":""}],"id":"ITEM-11","issued":{"date-parts":[["2014"]]},"title":"Report on the summative external evaluation of the Integrated Health System Strengthening programme in Ethiopia, Mali, Mozambique, Ghana, Malawi and Niger","type":"report"},"uris":["http://www.mendeley.com/documents/?uuid=94986425-7399-348b-95f8-c3ff8107c94a"]},{"id":"ITEM-12","itemData":{"author":[{"dropping-particle":"","family":"Nabugoomu","given":"J","non-dropping-particle":"","parse-names":false,"suffix":""},{"dropping-particle":"","family":"Seruwagi","given":"G K","non-dropping-particle":"","parse-names":false,"suffix":""},{"dropping-particle":"","family":"Corbett","given":"K","non-dropping-particle":"","parse-names":false,"suffix":""},{"dropping-particle":"","family":"Horton","given":"S","non-dropping-particle":"","parse-names":false,"suffix":""},{"dropping-particle":"","family":"Hanning","given":"R","non-dropping-particle":"","parse-names":false,"suffix":""}],"container-title":"African Journal of Reproductive Health","id":"ITEM-12","issue":"3","issued":{"date-parts":[["2020"]]},"note":"Using Smart Source Parsing\n64 ref","page":"88-100","title":"Perceived opportunities and challenges of family and community members in supporting teen mothers in rural Eastern Uganda","type":"article-journal","volume":"24"},"uris":["http://www.mendeley.com/documents/?uuid=7861c759-b92f-443a-a7f4-a640a269d657"]},{"id":"ITEM-13","itemData":{"DOI":"10.1186/1472-6963-7-86","ISSN":"14726963","PMID":"17573958","abstract":"Background. In Malawi essential drugs are provided free of charge to patients at all public health facilities in order to ensure equitable access to health care. The country thereby spends about 30% of the national health budget on drugs. In order to investigate the level of drug shortages and eventually find the reasons for the drugs shortages in Malawi, we studied the management of the drug supplies for common and life threatening diseases such as pneumonia and malaria in a random selection of health centres. Methods. In July and August 2005 we visited eight out of a total of 37 health centres chosen at random in the Lilongwe District, Malawi. We recorded the logistics of eight essential and widely used drugs which according to the treatment guidelines should be available at all health centres. Five drugs are used regularly to treat pneumonia and three others to treat acute malaria. Out-of-stock situations in the course of one year were recorded retrospectively. We compared the quantity of each drug recorded on the Stock Cards with the actual stock of the drug on the shelves at the time of audit. We reviewed 8,968 Patient Records containing information on type and amount of drugs prescribed during one month. Results. On average, drugs for treating pneumonia were out of stock for six months during one year of observation (median value 167 days); anti-malarial drugs were lacking for periods ranging from 42 to138 days. The cross-sectional audit was even more negative, but here too the situation was more positive for anti-malarial drugs. The main reason for the shortage of drugs was insufficient deliveries from the Regional Medical Store. Benzyl penicillin was in shortest supply (4% received). The median value for non-availability was 240 days in the course of a year. The supply was better for anti-malarial drugs, except for quinine injections (9 %). Only 66 % of Stock Card records of quantities received were reflected in Patient Records showing quantities dispensed. Conclusion. We conclude that for the eight index drugs the levels of supply are unacceptable. The main reason for the observed shortage of drugs at the health centres was insufficient deliveries from the Regional Medical Store. A difference between the information recorded on the Stock Cards at the health centres and that recorded in the Patient Records may have contributed to the overall poor drug supply situation. In order to ensure equitable access to life saving drugs, logistics in genera…","author":[{"dropping-particle":"","family":"Lufesi","given":"Norman N.","non-dropping-particle":"","parse-names":false,"suffix":""},{"dropping-particle":"","family":"Andrew","given":"Marit","non-dropping-particle":"","parse-names":false,"suffix":""},{"dropping-particle":"","family":"Aursnes","given":"Ivar","non-dropping-particle":"","parse-names":false,"suffix":""}],"container-title":"BMC Health Services Research","id":"ITEM-13","issue":"1","issued":{"date-parts":[["2007","12","15"]]},"page":"86","publisher":"BioMed Central","title":"Deficient supplies of drugs for life threatening diseases in an African community","type":"article-journal","volume":"7"},"uris":["http://www.mendeley.com/documents/?uuid=c6a12f10-cc99-3b74-a2c3-346d4bee1e39"]},{"id":"ITEM-14","itemData":{"DOI":"10.1136/bmjopen-2020-040350","ISBN":"2044-6055","abstract":"Background/objective The increasing burden of non-communicable diseases (NCDs) in Nepal underscores the importance of strengthening primary healthcare systems to deliver efficient care. In this study, we examined the barriers and facilitators to engaging community health workers (CHWs) for NCDs prevention and control in Nepal. Design We used multiple approaches including (a) review of relevant literature, (b) key personnel and stakeholders' consultation meetings and (c) qualitative data collection using semistructured interviews. A grounded theory approach was used for qualitative data collection and the data were analysed thematically. Setting Data were collected from health facilities across four districts in Nepal and two stakeholder consultative meetings were conducted at central level. Participants We conducted in-depth interviews with CHWs (Health Assistants, Auxiliary Health Workers, Auxiliary Nurse Midwife) (n=5); key informant interviews with health policymakers/managers (n=3) and focus group discussions (FGDs) with CHWs (four FGDs; total n=27). Participants in two stakeholder consultative meetings included members from the government (n=8), non-government organisations (n=7), private sector (n=3) and universities (n=6). Results The CHWs were engaged in a wide range of public health programmes and they also deliver NCDs specific programmes such as common NCDs screening, provisional diagnosis, primary care, health education and counselling, basic medication and referral and so on. These NCD prevention and control services are concentrated in those districts, where the WHO, Package for prevention and control of NCDs) program is being implemented. Some challenges and barriers were identified, including inadequate NCD training, high workload, poor system-level support, inadequate remuneration, inadequate supply of logistics and drugs. The facilitating factors included government priority, formation of NCD-related policies, community support systems, social prestige and staff motivation. Conclusion Engaging CHWs has been considered as key driver to delivering NCDs related services in Nepal. Effective integration of CHWs within the primary care system is essential for CHW's capacity buildings, necessary supervisory arrangements, supply of logistics and medications and setting up effective recording and reporting systems for prevention and control of NCDs in Nepal.","author":[{"dropping-particle":"","family":"Rawal","given":"L B","non-dropping-particle":"","parse-names":false,"suffix":""},{"dropping-particle":"","family":"Kharel","given":"C","non-dropping-particle":"","parse-names":false,"suffix":""},{"dropping-particle":"","family":"Yadav","given":"U N","non-dropping-particle":"","parse-names":false,"suffix":""},{"dropping-particle":"","family":"Kanda","given":"K","non-dropping-particle":"","parse-names":false,"suffix":""},{"dropping-particle":"","family":"Biswas","given":"T","non-dropping-particle":"","parse-names":false,"suffix":""},{"dropping-particle":"","family":"Vandelanotte","given":"C","non-dropping-particle":"","parse-names":false,"suffix":""},{"dropping-particle":"","family":"Baral","given":"S","non-dropping-particle":"","parse-names":false,"suffix":""},{"dropping-particle":"","family":"Abdullah","given":"A","non-dropping-particle":"","parse-names":false,"suffix":""}],"container-title":"BMJ Open","id":"ITEM-14","issue":"12","issued":{"date-parts":[["2020"]]},"note":"Rawal, Lal B. Kharel, Chandani Yadav, Uday Narayan Kanda, Kie Biswas, Tuhin Vandelanotte, Corneel Baral, Sushil Abdullah, Abu S.\nYadav, Uday N/ABD-1547-2020\nYadav, Uday N/0000-0002-6626-1604; Rawal, Lal/0000-0003-1106-0108","title":"Community health workers for non-communicable disease prevention and control in Nepal: a qualitative study","type":"article-journal","volume":"10"},"uris":["http://www.mendeley.com/documents/?uuid=6875556d-9d16-4e4b-b4b0-e0db61f60ed6"]},{"id":"ITEM-15","itemData":{"author":[{"dropping-particle":"","family":"Village Reach","given":"","non-dropping-particle":"","parse-names":false,"suffix":""}],"id":"ITEM-15","issued":{"date-parts":[["2016"]]},"number-of-pages":"1-11","title":"Outsourcing Transport to Improve Health at the Last Mile : A Case Study The Long Road to Health","type":"report"},"uris":["http://www.mendeley.com/documents/?uuid=3870ba4f-09ab-4296-83a3-2cc02fb13f53"]}],"mendeley":{"formattedCitation":"(28,29,52–56,31,32,34,43,44,49–51)","plainTextFormattedCitation":"(28,29,52–56,31,32,34,43,44,49–51)","previouslyFormattedCitation":"(28,29,52–56,31,32,34,43,44,49–51)"},"properties":{"noteIndex":0},"schema":"https://github.com/citation-style-language/schema/raw/master/csl-citation.json"}</w:instrText>
            </w:r>
            <w:r w:rsidRPr="00DA7609">
              <w:rPr>
                <w:sz w:val="24"/>
                <w:szCs w:val="24"/>
                <w:u w:color="000000"/>
              </w:rPr>
              <w:fldChar w:fldCharType="separate"/>
            </w:r>
            <w:r w:rsidRPr="00DA7609">
              <w:rPr>
                <w:noProof/>
                <w:sz w:val="24"/>
                <w:szCs w:val="24"/>
                <w:u w:color="000000"/>
              </w:rPr>
              <w:t>(28,29,52–56,31,32,34,43,44,49–51)</w:t>
            </w:r>
            <w:r w:rsidRPr="00DA7609">
              <w:rPr>
                <w:sz w:val="24"/>
                <w:szCs w:val="24"/>
                <w:u w:color="000000"/>
              </w:rPr>
              <w:fldChar w:fldCharType="end"/>
            </w:r>
          </w:p>
        </w:tc>
      </w:tr>
      <w:tr w:rsidR="00DA7609" w:rsidRPr="00DA7609" w14:paraId="7A2885F0" w14:textId="77777777" w:rsidTr="00FE1ADC">
        <w:trPr>
          <w:cnfStyle w:val="000000100000" w:firstRow="0" w:lastRow="0" w:firstColumn="0" w:lastColumn="0" w:oddVBand="0" w:evenVBand="0" w:oddHBand="1" w:evenHBand="0" w:firstRowFirstColumn="0" w:firstRowLastColumn="0" w:lastRowFirstColumn="0" w:lastRowLastColumn="0"/>
          <w:cantSplit/>
          <w:trHeight w:val="557"/>
        </w:trPr>
        <w:tc>
          <w:tcPr>
            <w:cnfStyle w:val="001000000000" w:firstRow="0" w:lastRow="0" w:firstColumn="1" w:lastColumn="0" w:oddVBand="0" w:evenVBand="0" w:oddHBand="0" w:evenHBand="0" w:firstRowFirstColumn="0" w:firstRowLastColumn="0" w:lastRowFirstColumn="0" w:lastRowLastColumn="0"/>
            <w:tcW w:w="3369" w:type="dxa"/>
          </w:tcPr>
          <w:p w14:paraId="72149F8C" w14:textId="77777777" w:rsidR="00DA7609" w:rsidRPr="00DA7609" w:rsidRDefault="00DA7609" w:rsidP="00DA7609">
            <w:pPr>
              <w:spacing w:before="60" w:after="60"/>
              <w:ind w:hanging="2"/>
              <w:rPr>
                <w:noProof/>
                <w:sz w:val="24"/>
                <w:szCs w:val="24"/>
                <w:u w:val="single"/>
              </w:rPr>
            </w:pPr>
          </w:p>
        </w:tc>
        <w:tc>
          <w:tcPr>
            <w:tcW w:w="2143" w:type="dxa"/>
          </w:tcPr>
          <w:p w14:paraId="1C39C1D0"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sz w:val="24"/>
                <w:szCs w:val="24"/>
              </w:rPr>
            </w:pPr>
          </w:p>
        </w:tc>
        <w:tc>
          <w:tcPr>
            <w:tcW w:w="2834" w:type="dxa"/>
          </w:tcPr>
          <w:p w14:paraId="6ECCF717"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sz w:val="24"/>
                <w:szCs w:val="24"/>
              </w:rPr>
            </w:pPr>
            <w:r w:rsidRPr="00DA7609">
              <w:rPr>
                <w:i/>
                <w:iCs/>
                <w:sz w:val="24"/>
                <w:szCs w:val="24"/>
              </w:rPr>
              <w:t>Policies</w:t>
            </w:r>
          </w:p>
        </w:tc>
        <w:tc>
          <w:tcPr>
            <w:tcW w:w="3514" w:type="dxa"/>
          </w:tcPr>
          <w:p w14:paraId="483025D7"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sz w:val="24"/>
                <w:szCs w:val="24"/>
              </w:rPr>
            </w:pPr>
            <w:r w:rsidRPr="00DA7609">
              <w:rPr>
                <w:sz w:val="24"/>
                <w:szCs w:val="24"/>
              </w:rPr>
              <w:fldChar w:fldCharType="begin" w:fldLock="1"/>
            </w:r>
            <w:r w:rsidRPr="00DA7609">
              <w:rPr>
                <w:sz w:val="24"/>
                <w:szCs w:val="24"/>
              </w:rPr>
              <w:instrText>ADDIN CSL_CITATION {"citationItems":[{"id":"ITEM-1","itemData":{"author":[{"dropping-particle":"","family":"Sumankuuro","given":"J","non-dropping-particle":"","parse-names":false,"suffix":""},{"dropping-particle":"","family":"Crockett","given":"J","non-dropping-particle":"","parse-names":false,"suffix":""},{"dropping-particle":"","family":"Wang","given":"ShaoYu","non-dropping-particle":"","parse-names":false,"suffix":""}],"container-title":"BMJ Open","id":"ITEM-1","issue":"11","issued":{"date-parts":[["2018"]]},"note":"Using Smart Source Parsing\ne021223. 48 ref","title":"Perceived barriers to maternal and newborn health services delivery: a qualitative study of health workers and community members in low and middle-income settings","type":"article-journal","volume":"8"},"uris":["http://www.mendeley.com/documents/?uuid=eead3761-17db-4ed9-bebf-8cb325e7e3ab"]},{"id":"ITEM-2","itemData":{"DOI":"10.15212/fmch.2016.0102","ISBN":"2305-6983","abstract":"Background: Developing countries have the potential to reach vulnerable and underserved populations marginalized by the country's health care systems by way of community health workers (CHWs). It is imperative that health care systems focus on improving access to quality continuous primary care through the use of CHWs while paying attention to the factors that impact on CHWs and their effectiveness. Objective: To explore the possible opportunities and challenges of integrating CHWs into the health care systems of developing countries. Methods: Six databases were examined for quantitative, qualitative, and mixed-methods studies that included the integration of CHWs, their motivation and supervision, and CHW policy making and implementation in developing countries. Thirty-three studies met the inclusion criteria and were double read to extract data relevant to the context of CHW programs. Thematic coding was conducted and evidence on the main categories of contextual factors influencing integration of CHWs into the health system was synthesized. Results: CHWs are an effective and appropriate element of a health care team and can assist in addressing health disparities and social determinants of health. Important facilitators of integration of CHWs into health care teams are support from other health workers and inclusion of CHWs in case management meetings. Sustainable integration of CHWs into the health care system requires the formulation and implementation of polices that support their work, as well as financial and nonfinancial incentives, motivation, collaborative and supportive supervision, and a manageable workload. Conclusions: For sustainable integration of CHWs into health care systems, high-performing health systems with sound governance, adequate financing, well-organized service delivery, and adequate supplies and equipment are essential. Similarly, competent communities could contribute to better CHW performance through sound governance of community resources, promotion of inclusiveness and cohesion, engagement in participatory decision making, and mobilization of local resources for community welfare.","author":[{"dropping-particle":"","family":"Asweto","given":"C O","non-dropping-particle":"","parse-names":false,"suffix":""},{"dropping-particle":"","family":"Alzain","given":"M A","non-dropping-particle":"","parse-names":false,"suffix":""},{"dropping-particle":"","family":"Andrea","given":"S","non-dropping-particle":"","parse-names":false,"suffix":""},{"dropping-particle":"","family":"Alexander","given":"R","non-dropping-particle":"","parse-names":false,"suffix":""},{"dropping-particle":"","family":"Wang","given":"W","non-dropping-particle":"","parse-names":false,"suffix":""}],"container-title":"Family Medicine and Community Health","id":"ITEM-2","issue":"1","issued":{"date-parts":[["2016"]]},"note":"Asweto, Collins Otieno Alzain, Mohamed Ali Andrea, Sebastian Alexander, Rachel Wang, Wei\nAlzain, Mohamed Ali/AAF-5957-2019\nAlzain, Mohamed Ali/0000-0002-0085-5805\n2009-8774","page":"37-45","title":"Integration of community health workers into health systems in developing countries: Opportunities and challenges","type":"article-journal","volume":"4"},"uris":["http://www.mendeley.com/documents/?uuid=47e2f20a-0a86-4df1-8e09-459a30556bd9"]},{"id":"ITEM-3","itemData":{"DOI":"10.1080/13625187.2017.1394453","ISBN":"1362-5187","abstract":"Purpose: To identify and assess factors determining the functioning of supply chain systems for modern contraception in low-and middle-income countries (LMICs), and to identify challenges contributing to contraception stockouts that may lead to unmet need. Materials and methods: Scientific databases and grey literature were searched including Database of Abstracts of Reviews of Effectiveness (DARE), PubMed, MEDLINE, POPLINE, CINAHL, Academic Search Complete, Science Direct, Web of Science, Cochrane Central, Google Scholar, WHO databases and websites of key international organisations. Results: Studies indicated that supply chain system inefficiencies significantly affect availability of modern FP and contraception commodities in LMICs, especially in rural public facilities where distribution barriers may be acute. Supply chain failures or bottlenecks may be attributed to: weak and poorly institutionalized logistic management information systems (LMIS), poor physical infrastructures in LMICs, lack of trained and dedicated staff for supply chain management, inadequate funding, and rigid government policies on task sharing. However, there is evidence that implementing effective LMISs and involving public and private providers will distribution channels resulted in reduction in medical commodities' stockout rates. Conclusions: Supply chain bottlenecks contribute significantly to persistent high stockout rates for modern contraceptives in LMICs. Interventions aimed at enhancing uptake of contraceptives to reduce the problem of unmet need in LMICs should make strong commitments towards strengthening these countries' health commodities supply chain management systems. Current evidence is limited and additional, and well-designed implementation research on contraception supply chain systems is warranted to gain further understanding and insights on the determinants of supply chain bottlenecks and their impact on stockouts of contraception commodities.","author":[{"dropping-particle":"","family":"Mukasa","given":"B","non-dropping-particle":"","parse-names":false,"suffix":""},{"dropping-particle":"","family":"Ali","given":"M","non-dropping-particle":"","parse-names":false,"suffix":""},{"dropping-particle":"","family":"Farron","given":"M","non-dropping-particle":"","parse-names":false,"suffix":""},{"dropping-particle":"","family":"Weerdt","given":"R","non-dropping-particle":"Van de","parse-names":false,"suffix":""}],"container-title":"European Journal of Contraception and Reproductive Health Care","id":"ITEM-3","issue":"5","issued":{"date-parts":[["2017"]]},"note":"Mukasa, Bakali Ali, Moazzam Farron, Madeline Van de Weerdt, Renee\nAli, Moazzam/0000-0001-6949-8976\n1473-0782","page":"384-390","title":"Contraception supply chain challenges: a review of evidence from low- and middle-income countries","type":"article-journal","volume":"22"},"uris":["http://www.mendeley.com/documents/?uuid=82f9cbf9-baa4-4d39-a277-8a73269b7ef6"]},{"id":"ITEM-4","itemData":{"author":[{"dropping-particle":"","family":"Shelley","given":"K D","non-dropping-particle":"","parse-names":false,"suffix":""},{"dropping-particle":"","family":"Belete","given":"Y W","non-dropping-particle":"","parse-names":false,"suffix":""},{"dropping-particle":"","family":"Phiri","given":"S C","non-dropping-particle":"","parse-names":false,"suffix":""},{"dropping-particle":"","family":"Musonda","given":"M","non-dropping-particle":"","parse-names":false,"suffix":""},{"dropping-particle":"","family":"Kawesha","given":"E C","non-dropping-particle":"","parse-names":false,"suffix":""},{"dropping-particle":"","family":"Muleya","given":"E M","non-dropping-particle":"","parse-names":false,"suffix":""},{"dropping-particle":"","family":"Chibawe","given":"C P","non-dropping-particle":"","parse-names":false,"suffix":""},{"dropping-particle":"van den","family":"Broek","given":"J W","non-dropping-particle":"","parse-names":false,"suffix":""},{"dropping-particle":"","family":"Vosburg","given":"K B","non-dropping-particle":"","parse-names":false,"suffix":""}],"container-title":"Journal of Community Health","id":"ITEM-4","issue":"2","issued":{"date-parts":[["2016"]]},"note":"Using Smart Source Parsing\n31 ref","page":"398-408","title":"Implementation of the community health assistant (CHA) cadre in Zambia: a process evaluation to guide future scale-up decisions","type":"article-journal","volume":"41"},"uris":["http://www.mendeley.com/documents/?uuid=f1637417-162d-4972-bb98-ffa809741548"]},{"id":"ITEM-5","itemData":{"DOI":"10.3402/gha.v8.25772","ISBN":"1654-9880","abstract":"Background: Routine immunization (RI) is a key child survival intervention. Ensuring acceptable standards of RI service delivery is critical for optimal outcomes. Accumulated evidences suggest that 'supportive supervision' improves the quality of health care services in general. During 2009-2010, the Government of Odisha and UNICEF jointly piloted this strategy in four districts to improve RI program outcomes. The present study aims to assess the effect of this strategy on improvement of skills and practices at immunization session sites. Design: Aquasi-experimental 'post-test only' study design was adopted to compare the opinion and practices of frontline health workers and their supervisors in four intervention districts (IDs) with two control districts (CDs). Altogether, we interviewed 111 supervisor-supervisee (health worker) pairs using semi-structured interview schedules and case vignettes. We also directly observed health workers' practices during immunization sessions at 111 sites. Data were analyzed with SPSS version 16.0. Results: The mean knowledge score of supervisors in CDs was significantly higher than in intervention groups. Variegated responses were obtained on case vignettes. The control group performed better in solving certain hypothetically asked problems, whereas the intervention group scored better in others. Health workers in IDs gave a lower rating to their respective supervisors' knowledge, skill, and frequency of supervision. Logistics and vaccine availability were better in CDs. Conclusion: Notwithstanding other limitations, supportive supervision may not have independent effects on improving the quality of immunization services. Addressing systemic issues, such as the availability of essential logistics, supply chain management, timely indenting, and financial resources, could complement the supportive supervision strategy in improving immunization service delivery.","author":[{"dropping-particle":"","family":"Panda","given":"B","non-dropping-particle":"","parse-names":false,"suffix":""},{"dropping-particle":"","family":"Pati","given":"S","non-dropping-particle":"","parse-names":false,"suffix":""},{"dropping-particle":"","family":"Nallala","given":"S","non-dropping-particle":"","parse-names":false,"suffix":""},{"dropping-particle":"","family":"Chauhan","given":"A S","non-dropping-particle":"","parse-names":false,"suffix":""},{"dropping-particle":"","family":"Anasuya","given":"A","non-dropping-particle":"","parse-names":false,"suffix":""},{"dropping-particle":"","family":"Som","given":"M","non-dropping-particle":"","parse-names":false,"suffix":""},{"dropping-particle":"","family":"Zodpey","given":"S","non-dropping-particle":"","parse-names":false,"suffix":""}],"container-title":"Global Health Action","id":"ITEM-5","issued":{"date-parts":[["2015"]]},"note":"Panda, Bhuputra Pati, Sanghamitra Nallala, Srinivas Chauhan, Abhimanyu S. Anasuya, Anita Som, Meena Zodpey, Sanjay\nPati, Sanghamitra/0000-0002-7717-5592; Panda, Bhuputra/0000-0001-9024-3126","title":"How supportive supervision influences immunization session site practices: a quasi-experimental study in Odisha, India","type":"article-journal","volume":"8"},"uris":["http://www.mendeley.com/documents/?uuid=80ef74c4-48d0-4a23-afe2-388aab4cad8b"]},{"id":"ITEM-6","itemData":{"DOI":"10.1186/1475-2875-13-229","abstract":"Background: Malaria still causes high morbidity and mortality around the world, mainly in sub-Saharan Africa. Community case management of malaria (CCMm) by community health workers (CHWs) is one of the strategies to combat the disease by increasing access to malaria treatment. Currently, the World Health Organization recommends to treat only confirmed malaria cases, rather than to give presumptive treatment. Objectives: This systematic review aims to provide a comprehensive overview of the success or failure of critical steps in CCMm with rapid diagnostic tests (RDTs). Methods: The databases of Medline, Embase, the Cochrane Library, the library of the 'Malaria in Pregnancy' consortium, and Web of Science were used to find studies on CCMm with RDTs in SSA. Studies were selected according to inclusion and exclusion criteria, subsequently risk of bias was assessed and data extracted. Results: 27 articles were included. CHWs were able to correctly perform RDTs, although specificity levels were variable. CHWs showed high adherence to test results, but in some studies a substantial group of RDT negatives received treatment. High risk of bias was found for morbidity and mortality studies, therefore, effects on morbidity and mortality could not be estimated. Uptake and acceptance by the community was high, however negative-tested patients did not always follow up referral advice. Drug or RDT stock-outs and limited information on CHW motivation are bottlenecks for sustainable implementation. RDT-based CCMm was found to be cost effective for the correct treatment of malaria in areas with low to medium malaria prevalence, but study designs were not optimal. Discussion: Trained CHWs can deliver high quality care for malaria using RDTs. However, lower RDT specificity could lead to missed diagnoses of non-malarial causes of fever. Other threats for CCMm are non-adherence to negative test results and low referral completion. Integrated CCM may solve some of these issues. Unfortunately, morbidity and mortality are not adequately investigated. More information is needed about influencing sociocultural aspects, CHW motivation and stock supply. Conclusion: CCMm is generally well executed by CHWs, but there are several barriers for its success. Integrated CCM may overcome some of these barriers.","author":[{"dropping-particle":"","family":"Ruizendaal","given":"E","non-dropping-particle":"","parse-names":false,"suffix":""},{"dropping-particle":"","family":"Dierickx","given":"S","non-dropping-particle":"","parse-names":false,"suffix":""},{"dropping-particle":"","family":"Grietens","given":"K P","non-dropping-particle":"","parse-names":false,"suffix":""},{"dropping-particle":"","family":"Schallig","given":"Hdfh","non-dropping-particle":"","parse-names":false,"suffix":""},{"dropping-particle":"","family":"Pagnoni","given":"F","non-dropping-particle":"","parse-names":false,"suffix":""},{"dropping-particle":"","family":"Mens","given":"P F","non-dropping-particle":"","parse-names":false,"suffix":""}],"container-title":"Malaria Journal","id":"ITEM-6","issued":{"date-parts":[["2014"]]},"note":"Ruizendaal, Esmee Dierickx, Susan Grietens, Koen Peeters Schallig, Henk D. F. H. Pagnoni, Franco Mens, Petra F.\nRuizendaal, Esmee/AAG-6157-2020; Grietens, Koen Peeters/G-7028-2019\nGrietens, Koen Peeters/0000-0001-6570-9887; Dierickx, Susan/0000-0003-3140-0771\n1475-2875","title":"Success or failure of critical steps in community case management of malaria with rapid diagnostic tests: a systematic review","type":"article-journal","volume":"13"},"uris":["http://www.mendeley.com/documents/?uuid=7e01a4f1-46a6-44a2-9158-f208a3108728"]},{"id":"ITEM-7","itemData":{"DOI":"10.1186/1472-6963-13-55","ISBN":"1472-6963 (Electronic)\\r1472-6963 (Linking)","ISSN":"1472-6963","PMID":"23394591","abstract":"ABSTRACT: BACKGROUND: National community-based health worker (CBHW) programs often face challenges in ensuring that these remote workers are adequately trained, equipped and supervised. As governments increasingly deploy CBHWs to improve access to primary health care, there is an urgent need to assess how well health systems are supporting CBHWs to provide high quality care. METHODS: This paper presents the results of a mixed-methods assessment of selected health systems supports (supervision, drug supply, and job aids) for a national community case management (CCM) program for childhood illness in Malawi during the first year of implementation. We collected data on the types and levels of drug supply and supervision through a cross-sectional survey of a random sample of Health Surveillance Assistants (HSAs) providing CCM services in six districts. We then conducted in-depth interviews and focus group discussions with program managers and HSAs, respectively, to gain an understanding of the barriers and facilitating factors for delivering health systems supports for CCM. RESULTS: Although the CCM training and job aid were well received by stakeholders, HSAs who participated in the first CCM training sessions often waited up to 4 months before receiving their initial supply of drugs and first supervision visits. One year after training began, 69 % of HSAs had all essential CCM drugs in stock and only 38 % of HSAs reported a CCM supervision visit in the 3 months prior to the survey. Results of the qualitative assessment indicated that drug supply was constrained by travel distance and stock outs at health facilities, and that the initial supervision system relied on clinicians who were able to spend only limited time away from clinical duties. Proactive district managers trained and enrolled HSAs' routine supervisors to provide CCM supervision. CONCLUSIONS: Malawi's CCM program is promising, but health systems supports must be improved to ensure consistent coverage and quality. Mixed-methods implementation research provided the Ministry of Health with actionable feedback that it is using to adapt program policies and improve performance.","author":[{"dropping-particle":"","family":"Callaghan-Koru","given":"Jennifer a","non-dropping-particle":"","parse-names":false,"suffix":""},{"dropping-particle":"","family":"Gilroy","given":"Kate","non-dropping-particle":"","parse-names":false,"suffix":""},{"dropping-particle":"","family":"Hyder","given":"Adnan a","non-dropping-particle":"","parse-names":false,"suffix":""},{"dropping-particle":"","family":"George","given":"Asha","non-dropping-particle":"","parse-names":false,"suffix":""},{"dropping-particle":"","family":"Nsona","given":"Humphreys","non-dropping-particle":"","parse-names":false,"suffix":""},{"dropping-particle":"","family":"Mtimuni","given":"Angella","non-dropping-particle":"","parse-names":false,"suffix":""},{"dropping-particle":"","family":"Zakeyo","given":"Bernie","non-dropping-particle":"","parse-names":false,"suffix":""},{"dropping-particle":"","family":"Mayani","given":"Josiah","non-dropping-particle":"","parse-names":false,"suffix":""},{"dropping-particle":"","family":"Cardemil","given":"Cristina","non-dropping-particle":"","parse-names":false,"suffix":""},{"dropping-particle":"","family":"Bryce","given":"Jennifer","non-dropping-particle":"","parse-names":false,"suffix":""}],"container-title":"BMC health services research","id":"ITEM-7","issue":"1","issued":{"date-parts":[["2013"]]},"page":"55","title":"Health systems supports for community case management of childhood illness: lessons from an assessment of early implementation in Malawi.","type":"article-journal","volume":"13"},"uris":["http://www.mendeley.com/documents/?uuid=365c7ead-25b1-4b3a-b3fe-1e61a83ab885"]},{"id":"ITEM-8","itemData":{"DOI":"http://dx.doi.org/10.1016/S2214-109X(16)00046-2","abstract":"Background: In September, 2012, the UN Commission on Life Saving Commodities (UNCoLSC) outlined a plan to expand availability and access to 13 life saving commodities. We profile global and country progress against these recommendations between 2012 and 2015. Methods: For 12 countries in sub-Saharan Africa that were off-track to achieve the Millennium Development Goals for maternal and child survival, we reviewed key documents and reference data, and conducted interviews with ministry staff and partners to assess the status of the UNCoLSC recommendations. The RMNCH fund provided short-term catalytic financing to support country plans to advance the commodity agenda, with activities coded by UNCoLSC recommendation. Our network of technical resource teams identified, addressed, and monitored progress against cross-cutting commodity-related challenges that needed coordinated global action. Findings: In 2014 and 2015, child and maternal health commodities had fewer bottlenecks than reproductive and neonatal commodities. Common bottlenecks included regulatory challenges (ten of 12 countries); poor quality assurance (11 of 12 countries); insufficient staff training (more than half of facilities on average); and weak supply chains systems (11 of 12 countries), with stock-outs of priority commodities in about 40% of facilities on average. The RMNCH fund committed US$175·7 million to 19 countries to support strategies addressing crucial gaps. $68·2 million (39·0%) of the funds supported systems-strengthening interventions with the remainder split across reproductive, maternal, newborn, and child health. Health worker training ($88·6 million, 50·4%), supply chain ($53·3 million, 30·0%), and demand generation ($21·1 million, 12·0%) were the major topics of focus. All priority commodities are now listed in the WHO Essential Medicines List; appropriate price reductions were secured; quality manufacturing was improved; a fast-track registration mechanism for prequalified products was established; and methods were developed for advocacy, quantifi- cation, demand generation, supply chain, and provider training. Slower progress was evident around regulatory harmonisation and quality assurance. Interpretation: Much work is needed to achieve full implementation of the UNCoLSC recommendations. Coordinated efforts to secure price reductions beyond the 13 commodities and improve regulatory effi- ciency, quality, and supply chains are still needed alongside broader disseminat…","author":[{"dropping-particle":"","family":"Pronyk","given":"Paul","non-dropping-particle":"","parse-names":false,"suffix":""},{"dropping-particle":"","family":"Nemser","given":"Benneth","non-dropping-particle":"","parse-names":false,"suffix":""},{"dropping-particle":"","family":"Maliqi","given":"Blerta","non-dropping-particle":"","parse-names":false,"suffix":""},{"dropping-particle":"","family":"Springstubb","given":"Nora","non-dropping-particle":"","parse-names":false,"suffix":""},{"dropping-particle":"","family":"Sera","given":"Diana","non-dropping-particle":"","parse-names":false,"suffix":""},{"dropping-particle":"","family":"Karimov","given":"Rouslan","non-dropping-particle":"","parse-names":false,"suffix":""},{"dropping-particle":"","family":"Katwan","given":"Elizabeth","non-dropping-particle":"","parse-names":false,"suffix":""},{"dropping-particle":"","family":"Walter","given":"Benedicte","non-dropping-particle":"","parse-names":false,"suffix":""},{"dropping-particle":"","family":"Bijleveld","given":"Pascal","non-dropping-particle":"","parse-names":false,"suffix":""}],"container-title":"Lancet Global Health","id":"ITEM-8","issue":"4","issued":{"date-parts":[["2016"]]},"language":"English","page":"e276-e286","title":"The UN Commission on Life Saving Commodities 3 years on: Global progress update and results of a multicountry assessment. TT -","type":"article-journal","volume":"4"},"uris":["http://www.mendeley.com/documents/?uuid=1ebdf555-aa8a-45a1-b66d-8e71d219811f"]}],"mendeley":{"formattedCitation":"(26,34,40,45–49)","plainTextFormattedCitation":"(26,34,40,45–49)","previouslyFormattedCitation":"(26,34,40,45–49)"},"properties":{"noteIndex":0},"schema":"https://github.com/citation-style-language/schema/raw/master/csl-citation.json"}</w:instrText>
            </w:r>
            <w:r w:rsidRPr="00DA7609">
              <w:rPr>
                <w:sz w:val="24"/>
                <w:szCs w:val="24"/>
              </w:rPr>
              <w:fldChar w:fldCharType="separate"/>
            </w:r>
            <w:r w:rsidRPr="00DA7609">
              <w:rPr>
                <w:noProof/>
                <w:sz w:val="24"/>
                <w:szCs w:val="24"/>
              </w:rPr>
              <w:t>(26,34,40,45–49)</w:t>
            </w:r>
            <w:r w:rsidRPr="00DA7609">
              <w:rPr>
                <w:sz w:val="24"/>
                <w:szCs w:val="24"/>
              </w:rPr>
              <w:fldChar w:fldCharType="end"/>
            </w:r>
          </w:p>
        </w:tc>
      </w:tr>
      <w:tr w:rsidR="00DA7609" w:rsidRPr="00DA7609" w14:paraId="6C5C6598" w14:textId="77777777" w:rsidTr="00FE1ADC">
        <w:trPr>
          <w:cantSplit/>
          <w:trHeight w:val="557"/>
        </w:trPr>
        <w:tc>
          <w:tcPr>
            <w:cnfStyle w:val="001000000000" w:firstRow="0" w:lastRow="0" w:firstColumn="1" w:lastColumn="0" w:oddVBand="0" w:evenVBand="0" w:oddHBand="0" w:evenHBand="0" w:firstRowFirstColumn="0" w:firstRowLastColumn="0" w:lastRowFirstColumn="0" w:lastRowLastColumn="0"/>
            <w:tcW w:w="3369" w:type="dxa"/>
          </w:tcPr>
          <w:p w14:paraId="7FA74A69" w14:textId="77777777" w:rsidR="00DA7609" w:rsidRPr="00DA7609" w:rsidRDefault="00DA7609" w:rsidP="00DA7609">
            <w:pPr>
              <w:spacing w:before="60" w:after="60"/>
              <w:ind w:hanging="2"/>
              <w:rPr>
                <w:noProof/>
                <w:sz w:val="24"/>
                <w:szCs w:val="24"/>
                <w:u w:val="single"/>
              </w:rPr>
            </w:pPr>
          </w:p>
        </w:tc>
        <w:tc>
          <w:tcPr>
            <w:tcW w:w="2143" w:type="dxa"/>
          </w:tcPr>
          <w:p w14:paraId="4FDE92A8"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noProof/>
                <w:sz w:val="24"/>
                <w:szCs w:val="24"/>
              </w:rPr>
            </w:pPr>
          </w:p>
        </w:tc>
        <w:tc>
          <w:tcPr>
            <w:tcW w:w="2834" w:type="dxa"/>
          </w:tcPr>
          <w:p w14:paraId="28AD2241"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i/>
                <w:iCs/>
                <w:sz w:val="24"/>
                <w:szCs w:val="24"/>
              </w:rPr>
            </w:pPr>
            <w:r w:rsidRPr="00DA7609">
              <w:rPr>
                <w:i/>
                <w:iCs/>
                <w:sz w:val="24"/>
                <w:szCs w:val="24"/>
              </w:rPr>
              <w:t>Information management</w:t>
            </w:r>
          </w:p>
        </w:tc>
        <w:tc>
          <w:tcPr>
            <w:tcW w:w="3514" w:type="dxa"/>
          </w:tcPr>
          <w:p w14:paraId="1507EEAF"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sz w:val="24"/>
                <w:szCs w:val="24"/>
              </w:rPr>
            </w:pPr>
            <w:r w:rsidRPr="00DA7609">
              <w:rPr>
                <w:sz w:val="24"/>
                <w:szCs w:val="24"/>
              </w:rPr>
              <w:fldChar w:fldCharType="begin" w:fldLock="1"/>
            </w:r>
            <w:r w:rsidRPr="00DA7609">
              <w:rPr>
                <w:sz w:val="24"/>
                <w:szCs w:val="24"/>
              </w:rPr>
              <w:instrText>ADDIN CSL_CITATION {"citationItems":[{"id":"ITEM-1","itemData":{"author":[{"dropping-particle":"","family":"Chandani","given":"Y","non-dropping-particle":"","parse-names":false,"suffix":""},{"dropping-particle":"","family":"Noel","given":"M","non-dropping-particle":"","parse-names":false,"suffix":""},{"dropping-particle":"","family":"Andersson","given":"S","non-dropping-particle":"","parse-names":false,"suffix":""},{"dropping-particle":"","family":"Ombeva","given":"A","non-dropping-particle":"","parse-names":false,"suffix":""},{"dropping-particle":"","family":"Shieshia","given":"M","non-dropping-particle":"","parse-names":false,"suffix":""},{"dropping-particle":"","family":"Heaton","given":"A","non-dropping-particle":"","parse-names":false,"suffix":""},{"dropping-particle":"","family":"Felling","given":"B","non-dropping-particle":"","parse-names":false,"suffix":""}],"container-title":"American Journal of Tropical Medicine and Hygiene","id":"ITEM-1","issue":"5","issued":{"date-parts":[["2013"]]},"note":"62nd Annual Meeting of the American Society of Tropical Medicine and Hygiene, ASTMH 2012. Washington, DC United States","page":"327-328","title":"Improving community level supply chain performance using team-led, data driven solutions in Malawi and Rwanda","type":"article-journal","volume":"89"},"uris":["http://www.mendeley.com/documents/?uuid=46e35ddf-8110-443c-ab9a-dec379125df5"]},{"id":"ITEM-2","itemData":{"DOI":"10.1080/13625187.2017.1394453","ISBN":"1362-5187","abstract":"Purpose: To identify and assess factors determining the functioning of supply chain systems for modern contraception in low-and middle-income countries (LMICs), and to identify challenges contributing to contraception stockouts that may lead to unmet need. Materials and methods: Scientific databases and grey literature were searched including Database of Abstracts of Reviews of Effectiveness (DARE), PubMed, MEDLINE, POPLINE, CINAHL, Academic Search Complete, Science Direct, Web of Science, Cochrane Central, Google Scholar, WHO databases and websites of key international organisations. Results: Studies indicated that supply chain system inefficiencies significantly affect availability of modern FP and contraception commodities in LMICs, especially in rural public facilities where distribution barriers may be acute. Supply chain failures or bottlenecks may be attributed to: weak and poorly institutionalized logistic management information systems (LMIS), poor physical infrastructures in LMICs, lack of trained and dedicated staff for supply chain management, inadequate funding, and rigid government policies on task sharing. However, there is evidence that implementing effective LMISs and involving public and private providers will distribution channels resulted in reduction in medical commodities' stockout rates. Conclusions: Supply chain bottlenecks contribute significantly to persistent high stockout rates for modern contraceptives in LMICs. Interventions aimed at enhancing uptake of contraceptives to reduce the problem of unmet need in LMICs should make strong commitments towards strengthening these countries' health commodities supply chain management systems. Current evidence is limited and additional, and well-designed implementation research on contraception supply chain systems is warranted to gain further understanding and insights on the determinants of supply chain bottlenecks and their impact on stockouts of contraception commodities.","author":[{"dropping-particle":"","family":"Mukasa","given":"B","non-dropping-particle":"","parse-names":false,"suffix":""},{"dropping-particle":"","family":"Ali","given":"M","non-dropping-particle":"","parse-names":false,"suffix":""},{"dropping-particle":"","family":"Farron","given":"M","non-dropping-particle":"","parse-names":false,"suffix":""},{"dropping-particle":"","family":"Weerdt","given":"R","non-dropping-particle":"Van de","parse-names":false,"suffix":""}],"container-title":"European Journal of Contraception and Reproductive Health Care","id":"ITEM-2","issue":"5","issued":{"date-parts":[["2017"]]},"note":"Mukasa, Bakali Ali, Moazzam Farron, Madeline Van de Weerdt, Renee\nAli, Moazzam/0000-0001-6949-8976\n1473-0782","page":"384-390","title":"Contraception supply chain challenges: a review of evidence from low- and middle-income countries","type":"article-journal","volume":"22"},"uris":["http://www.mendeley.com/documents/?uuid=82f9cbf9-baa4-4d39-a277-8a73269b7ef6"]},{"id":"ITEM-3","itemData":{"DOI":"10.1186/s12889-015-2525-4","ISSN":"14712458","PMID":"26608029","abstract":"Background: The integrated Community Case Management (iCCM) of childhood illnesses strategy has been adopted world over to reduce child related ill health and mortality. Community Health workers (CHWs) who implement this strategy need a regular supply of drugs to effectively treat children under 5 years with malaria, pneumonia and diarrhea. In this paper, we report the prevalence and factors influencing availability of medicines for managing malaria, pneumonia and diarrhea in communities in central Uganda. Methods: A cross sectional study was conducted among 303 CHWs in Wakiso district in central Uganda. Eligible CHWs from two randomly selected Health Sub Districts (HSDs) were interviewed. Questionnaires, check lists, record reviews were used to collect information on CHW background characteristics, CHW's prescription behaviors, health system support factors and availability of iCCM drugs. Multivariable logistic regression analysis was done to assess factors associated with availability of iCCM drugs. Results: Out of 300 CHWs, 239 (79.9 %) were females and mean age was 42.1 (standard deviation =11.1 years). The prevalence of iCCM drug availability was 8.3 % and 33 respondents (11 %) had no drugs at all. Factors associated with iCCM drug availability were; being supervised within the last month (adjusted OR = 3.70, 95 % CI 1.22-11.24), appropriate drug prescriptions (adjusted OR = 3.71, 95 % CI 1.38-9.96), regular submission of drug reports (adjusted OR = 4.02, 95 % CI 1.62-10.10) and having a respiratory timer as a diagnostic tool (adjusted OR =3.11, 95 % CI 1.08-9.00). Conclusions: The low medicine stocks for the community management of childhood illnesses calls for strengthening of CHW supervision, medicine prescription and reporting, and increasing availability of functional diagnostic tools.","author":[{"dropping-particle":"","family":"Bagonza","given":"James","non-dropping-particle":"","parse-names":false,"suffix":""},{"dropping-particle":"","family":"Rutebemberwa","given":"Elizeus","non-dropping-particle":"","parse-names":false,"suffix":""},{"dropping-particle":"","family":"Eckmanns","given":"Tim","non-dropping-particle":"","parse-names":false,"suffix":""},{"dropping-particle":"","family":"Ekirapa-Kiracho","given":"Elizabeth","non-dropping-particle":"","parse-names":false,"suffix":""}],"container-title":"BMC Public Health","id":"ITEM-3","issue":"1","issued":{"date-parts":[["2015","11","25"]]},"page":"1180","publisher":"BioMed Central Ltd.","title":"What influences availability of medicines for the community management of childhood illnesses in central Uganda? Implications for scaling up the integrated community case management programme Health policies, systems and management in low and middle-income countries","type":"article-journal","volume":"15"},"uris":["http://www.mendeley.com/documents/?uuid=e4fd350c-8976-36c1-b521-7f6349bd5696"]},{"id":"ITEM-4","itemData":{"author":[{"dropping-particle":"","family":"Andersson","given":"S","non-dropping-particle":"","parse-names":false,"suffix":""},{"dropping-particle":"","family":"Chandani","given":"Y","non-dropping-particle":"","parse-names":false,"suffix":""},{"dropping-particle":"","family":"Felling","given":"B","non-dropping-particle":"","parse-names":false,"suffix":""},{"dropping-particle":"","family":"Heaton","given":"A","non-dropping-particle":"","parse-names":false,"suffix":""},{"dropping-particle":"","family":"Noel","given":"M","non-dropping-particle":"","parse-names":false,"suffix":""},{"dropping-particle":"","family":"Pahl","given":"M","non-dropping-particle":"","parse-names":false,"suffix":""},{"dropping-particle":"","family":"Roche","given":"G","non-dropping-particle":"","parse-names":false,"suffix":""},{"dropping-particle":"","family":"Williams","given":"T","non-dropping-particle":"","parse-names":false,"suffix":""}],"container-title":"American Journal of Tropical Medicine and Hygiene","id":"ITEM-4","issue":"5","issued":{"date-parts":[["2010"]]},"note":"59th Annual Meeting of the American Society of Tropical Medicine and Hygiene, ASTMH 2010. Atlanta, GA United States","page":"31","title":"Using a theory of change model to improve supply chains for community case management in resource limited settings","type":"article-journal","volume":"83"},"uris":["http://www.mendeley.com/documents/?uuid=d93339fd-ce23-4374-a6d8-9d90c4d01bfd"]},{"id":"ITEM-5","itemData":{"author":[{"dropping-particle":"","family":"Adyya","given":"Gupta","non-dropping-particle":"","parse-names":false,"suffix":""},{"dropping-particle":"","family":"Fledderjohann","given":"J","non-dropping-particle":"","parse-names":false,"suffix":""},{"dropping-particle":"","family":"Reddy","given":"H","non-dropping-particle":"","parse-names":false,"suffix":""},{"dropping-particle":"","family":"Raman","given":"V R","non-dropping-particle":"","parse-names":false,"suffix":""},{"dropping-particle":"","family":"Stuckler","given":"D","non-dropping-particle":"","parse-names":false,"suffix":""},{"dropping-particle":"","family":"Vellakkal","given":"S","non-dropping-particle":"","parse-names":false,"suffix":""}],"container-title":"BMC Health Services Research","id":"ITEM-5","issue":"40","issued":{"date-parts":[["2018"]]},"note":"Using Smart Source Parsing\n(25 January 2018). 45 ref","title":"Barriers and prospects of India's conditional cash transfer program to promote institutional delivery care: a qualitative analysis of the supply-side perspectives","type":"article-journal","volume":"18"},"uris":["http://www.mendeley.com/documents/?uuid=20fd46c1-991a-4b92-b507-9f81a7e324d2"]},{"id":"ITEM-6","itemData":{"DOI":"10.1186/s12978-020-0906-3","ISSN":"17424755","PMID":"32312279","abstract":"Background: Contraceptive services are essential for promoting people's health, and economic and social well-being. Despite increased contraceptive use over the past decades, unmet need is still high in Malawi. As a result of task shifting, health surveillance assistants (HSAs), Malawi's paid community health worker cadre, provide an expanded range of contraceptive services, aimed at increasing access at community level. We conducted a qualitative study to explore enabling and hindering factors of HSAs' roles in the provision of modern contraceptive services in Mangochi district, Malawi. Methods: The study involved HSAs and their supervisors, a variety of community members, health workers and policy makers using 34 interviews and 12 focus group discussions. Data were recorded, transcribed, translated, coded and thematically analysed according to a framework that included community-, HSA- and health system-related factors. Results: HSAs were found to be trusted providers of contraceptive services. At community level, gender norms, decision-making and beliefs about contraceptives were intertwined. They resulted in women using contraceptive services, including those offered by HSAs, in secret. There were misconceptions about contraceptives among both men and women, which were insufficiently addressed by HSAs. Residence and age of HSAs influenced their role in the provision of contraceptive services to (young) community members, whereas sex was not regarded as an enabling or hindering factor. While most community members reported to be satisfied with the quality of HSAs' services, quality was compromised by a lack of contraceptive supplies and other resources, and limited supportive supervision and training. Conclusions: HSAs in Mangochi are important contraceptive service providers. Their ability to ensure male involvement, increase access to services for youth and address misconceptions about contraceptives needs improvement. This requires a thorough understanding of socio-cultural norms and improved behavioural change communication competencies, which need to be incorporated in future training under Malawi's Community Health Strategy.","author":[{"dropping-particle":"","family":"Kok","given":"Maryse","non-dropping-particle":"","parse-names":false,"suffix":""},{"dropping-particle":"","family":"Tolani","given":"Madalitso","non-dropping-particle":"","parse-names":false,"suffix":""},{"dropping-particle":"","family":"Mtonga","given":"Wongani","non-dropping-particle":"","parse-names":false,"suffix":""},{"dropping-particle":"","family":"Salamba","given":"Thom","non-dropping-particle":"","parse-names":false,"suffix":""},{"dropping-particle":"","family":"Mwabungulu","given":"Twambilire","non-dropping-particle":"","parse-names":false,"suffix":""},{"dropping-particle":"","family":"Munthali","given":"Arnold","non-dropping-particle":"","parse-names":false,"suffix":""},{"dropping-particle":"","family":"Smet","given":"Eefje","non-dropping-particle":"","parse-names":false,"suffix":""},{"dropping-particle":"","family":"Chinsakaso","given":"Benedict","non-dropping-particle":"","parse-names":false,"suffix":""}],"container-title":"Reproductive Health","id":"ITEM-6","issue":"1","issued":{"date-parts":[["2020"]]},"page":"1-13","publisher":"Reproductive Health","title":"Enabling and hindering factors of health surveillance assistants' roles in the provision of contraceptive services in Mangochi, Malawi","type":"article-journal","volume":"17"},"uris":["http://www.mendeley.com/documents/?uuid=4278590e-84ad-4816-9553-22da486d25cc"]},{"id":"ITEM-7","itemData":{"DOI":"10.1186/1472-6963-7-86","ISSN":"14726963","PMID":"17573958","abstract":"Background. In Malawi essential drugs are provided free of charge to patients at all public health facilities in order to ensure equitable access to health care. The country thereby spends about 30% of the national health budget on drugs. In order to investigate the level of drug shortages and eventually find the reasons for the drugs shortages in Malawi, we studied the management of the drug supplies for common and life threatening diseases such as pneumonia and malaria in a random selection of health centres. Methods. In July and August 2005 we visited eight out of a total of 37 health centres chosen at random in the Lilongwe District, Malawi. We recorded the logistics of eight essential and widely used drugs which according to the treatment guidelines should be available at all health centres. Five drugs are used regularly to treat pneumonia and three others to treat acute malaria. Out-of-stock situations in the course of one year were recorded retrospectively. We compared the quantity of each drug recorded on the Stock Cards with the actual stock of the drug on the shelves at the time of audit. We reviewed 8,968 Patient Records containing information on type and amount of drugs prescribed during one month. Results. On average, drugs for treating pneumonia were out of stock for six months during one year of observation (median value 167 days); anti-malarial drugs were lacking for periods ranging from 42 to138 days. The cross-sectional audit was even more negative, but here too the situation was more positive for anti-malarial drugs. The main reason for the shortage of drugs was insufficient deliveries from the Regional Medical Store. Benzyl penicillin was in shortest supply (4% received). The median value for non-availability was 240 days in the course of a year. The supply was better for anti-malarial drugs, except for quinine injections (9 %). Only 66 % of Stock Card records of quantities received were reflected in Patient Records showing quantities dispensed. Conclusion. We conclude that for the eight index drugs the levels of supply are unacceptable. The main reason for the observed shortage of drugs at the health centres was insufficient deliveries from the Regional Medical Store. A difference between the information recorded on the Stock Cards at the health centres and that recorded in the Patient Records may have contributed to the overall poor drug supply situation. In order to ensure equitable access to life saving drugs, logistics in genera…","author":[{"dropping-particle":"","family":"Lufesi","given":"Norman N.","non-dropping-particle":"","parse-names":false,"suffix":""},{"dropping-particle":"","family":"Andrew","given":"Marit","non-dropping-particle":"","parse-names":false,"suffix":""},{"dropping-particle":"","family":"Aursnes","given":"Ivar","non-dropping-particle":"","parse-names":false,"suffix":""}],"container-title":"BMC Health Services Research","id":"ITEM-7","issue":"1","issued":{"date-parts":[["2007","12","15"]]},"page":"86","publisher":"BioMed Central","title":"Deficient supplies of drugs for life threatening diseases in an African community","type":"article-journal","volume":"7"},"uris":["http://www.mendeley.com/documents/?uuid=c6a12f10-cc99-3b74-a2c3-346d4bee1e39"]},{"id":"ITEM-8","itemData":{"DOI":"http://dx.doi.org/10.1016/S2214-109X(16)00046-2","abstract":"Background: In September, 2012, the UN Commission on Life Saving Commodities (UNCoLSC) outlined a plan to expand availability and access to 13 life saving commodities. We profile global and country progress against these recommendations between 2012 and 2015. Methods: For 12 countries in sub-Saharan Africa that were off-track to achieve the Millennium Development Goals for maternal and child survival, we reviewed key documents and reference data, and conducted interviews with ministry staff and partners to assess the status of the UNCoLSC recommendations. The RMNCH fund provided short-term catalytic financing to support country plans to advance the commodity agenda, with activities coded by UNCoLSC recommendation. Our network of technical resource teams identified, addressed, and monitored progress against cross-cutting commodity-related challenges that needed coordinated global action. Findings: In 2014 and 2015, child and maternal health commodities had fewer bottlenecks than reproductive and neonatal commodities. Common bottlenecks included regulatory challenges (ten of 12 countries); poor quality assurance (11 of 12 countries); insufficient staff training (more than half of facilities on average); and weak supply chains systems (11 of 12 countries), with stock-outs of priority commodities in about 40% of facilities on average. The RMNCH fund committed US$175·7 million to 19 countries to support strategies addressing crucial gaps. $68·2 million (39·0%) of the funds supported systems-strengthening interventions with the remainder split across reproductive, maternal, newborn, and child health. Health worker training ($88·6 million, 50·4%), supply chain ($53·3 million, 30·0%), and demand generation ($21·1 million, 12·0%) were the major topics of focus. All priority commodities are now listed in the WHO Essential Medicines List; appropriate price reductions were secured; quality manufacturing was improved; a fast-track registration mechanism for prequalified products was established; and methods were developed for advocacy, quantifi- cation, demand generation, supply chain, and provider training. Slower progress was evident around regulatory harmonisation and quality assurance. Interpretation: Much work is needed to achieve full implementation of the UNCoLSC recommendations. Coordinated efforts to secure price reductions beyond the 13 commodities and improve regulatory effi- ciency, quality, and supply chains are still needed alongside broader disseminat…","author":[{"dropping-particle":"","family":"Pronyk","given":"Paul","non-dropping-particle":"","parse-names":false,"suffix":""},{"dropping-particle":"","family":"Nemser","given":"Benneth","non-dropping-particle":"","parse-names":false,"suffix":""},{"dropping-particle":"","family":"Maliqi","given":"Blerta","non-dropping-particle":"","parse-names":false,"suffix":""},{"dropping-particle":"","family":"Springstubb","given":"Nora","non-dropping-particle":"","parse-names":false,"suffix":""},{"dropping-particle":"","family":"Sera","given":"Diana","non-dropping-particle":"","parse-names":false,"suffix":""},{"dropping-particle":"","family":"Karimov","given":"Rouslan","non-dropping-particle":"","parse-names":false,"suffix":""},{"dropping-particle":"","family":"Katwan","given":"Elizabeth","non-dropping-particle":"","parse-names":false,"suffix":""},{"dropping-particle":"","family":"Walter","given":"Benedicte","non-dropping-particle":"","parse-names":false,"suffix":""},{"dropping-particle":"","family":"Bijleveld","given":"Pascal","non-dropping-particle":"","parse-names":false,"suffix":""}],"container-title":"Lancet Global Health","id":"ITEM-8","issue":"4","issued":{"date-parts":[["2016"]]},"language":"English","page":"e276-e286","title":"The UN Commission on Life Saving Commodities 3 years on: Global progress update and results of a multicountry assessment. TT -","type":"article-journal","volume":"4"},"uris":["http://www.mendeley.com/documents/?uuid=1ebdf555-aa8a-45a1-b66d-8e71d219811f"]},{"id":"ITEM-9","itemData":{"DOI":"10.1186/1475-2875-13-229","abstract":"Background: Malaria still causes high morbidity and mortality around the world, mainly in sub-Saharan Africa. Community case management of malaria (CCMm) by community health workers (CHWs) is one of the strategies to combat the disease by increasing access to malaria treatment. Currently, the World Health Organization recommends to treat only confirmed malaria cases, rather than to give presumptive treatment. Objectives: This systematic review aims to provide a comprehensive overview of the success or failure of critical steps in CCMm with rapid diagnostic tests (RDTs). Methods: The databases of Medline, Embase, the Cochrane Library, the library of the 'Malaria in Pregnancy' consortium, and Web of Science were used to find studies on CCMm with RDTs in SSA. Studies were selected according to inclusion and exclusion criteria, subsequently risk of bias was assessed and data extracted. Results: 27 articles were included. CHWs were able to correctly perform RDTs, although specificity levels were variable. CHWs showed high adherence to test results, but in some studies a substantial group of RDT negatives received treatment. High risk of bias was found for morbidity and mortality studies, therefore, effects on morbidity and mortality could not be estimated. Uptake and acceptance by the community was high, however negative-tested patients did not always follow up referral advice. Drug or RDT stock-outs and limited information on CHW motivation are bottlenecks for sustainable implementation. RDT-based CCMm was found to be cost effective for the correct treatment of malaria in areas with low to medium malaria prevalence, but study designs were not optimal. Discussion: Trained CHWs can deliver high quality care for malaria using RDTs. However, lower RDT specificity could lead to missed diagnoses of non-malarial causes of fever. Other threats for CCMm are non-adherence to negative test results and low referral completion. Integrated CCM may solve some of these issues. Unfortunately, morbidity and mortality are not adequately investigated. More information is needed about influencing sociocultural aspects, CHW motivation and stock supply. Conclusion: CCMm is generally well executed by CHWs, but there are several barriers for its success. Integrated CCM may overcome some of these barriers.","author":[{"dropping-particle":"","family":"Ruizendaal","given":"E","non-dropping-particle":"","parse-names":false,"suffix":""},{"dropping-particle":"","family":"Dierickx","given":"S","non-dropping-particle":"","parse-names":false,"suffix":""},{"dropping-particle":"","family":"Grietens","given":"K P","non-dropping-particle":"","parse-names":false,"suffix":""},{"dropping-particle":"","family":"Schallig","given":"Hdfh","non-dropping-particle":"","parse-names":false,"suffix":""},{"dropping-particle":"","family":"Pagnoni","given":"F","non-dropping-particle":"","parse-names":false,"suffix":""},{"dropping-particle":"","family":"Mens","given":"P F","non-dropping-particle":"","parse-names":false,"suffix":""}],"container-title":"Malaria Journal","id":"ITEM-9","issued":{"date-parts":[["2014"]]},"note":"Ruizendaal, Esmee Dierickx, Susan Grietens, Koen Peeters Schallig, Henk D. F. H. Pagnoni, Franco Mens, Petra F.\nRuizendaal, Esmee/AAG-6157-2020; Grietens, Koen Peeters/G-7028-2019\nGrietens, Koen Peeters/0000-0001-6570-9887; Dierickx, Susan/0000-0003-3140-0771\n1475-2875","title":"Success or failure of critical steps in community case management of malaria with rapid diagnostic tests: a systematic review","type":"article-journal","volume":"13"},"uris":["http://www.mendeley.com/documents/?uuid=7e01a4f1-46a6-44a2-9158-f208a3108728"]}],"mendeley":{"formattedCitation":"(34,43,48,49,57–61)","plainTextFormattedCitation":"(34,43,48,49,57–61)","previouslyFormattedCitation":"(34,43,48,49,57–61)"},"properties":{"noteIndex":0},"schema":"https://github.com/citation-style-language/schema/raw/master/csl-citation.json"}</w:instrText>
            </w:r>
            <w:r w:rsidRPr="00DA7609">
              <w:rPr>
                <w:sz w:val="24"/>
                <w:szCs w:val="24"/>
              </w:rPr>
              <w:fldChar w:fldCharType="separate"/>
            </w:r>
            <w:r w:rsidRPr="00DA7609">
              <w:rPr>
                <w:noProof/>
                <w:sz w:val="24"/>
                <w:szCs w:val="24"/>
              </w:rPr>
              <w:t>(34,43,48,49,57–61)</w:t>
            </w:r>
            <w:r w:rsidRPr="00DA7609">
              <w:rPr>
                <w:sz w:val="24"/>
                <w:szCs w:val="24"/>
              </w:rPr>
              <w:fldChar w:fldCharType="end"/>
            </w:r>
          </w:p>
        </w:tc>
      </w:tr>
      <w:tr w:rsidR="00DA7609" w:rsidRPr="00DA7609" w14:paraId="4511D69A" w14:textId="77777777" w:rsidTr="00FE1ADC">
        <w:trPr>
          <w:cnfStyle w:val="000000100000" w:firstRow="0" w:lastRow="0" w:firstColumn="0" w:lastColumn="0" w:oddVBand="0" w:evenVBand="0" w:oddHBand="1" w:evenHBand="0" w:firstRowFirstColumn="0" w:firstRowLastColumn="0" w:lastRowFirstColumn="0" w:lastRowLastColumn="0"/>
          <w:cantSplit/>
          <w:trHeight w:val="557"/>
        </w:trPr>
        <w:tc>
          <w:tcPr>
            <w:cnfStyle w:val="001000000000" w:firstRow="0" w:lastRow="0" w:firstColumn="1" w:lastColumn="0" w:oddVBand="0" w:evenVBand="0" w:oddHBand="0" w:evenHBand="0" w:firstRowFirstColumn="0" w:firstRowLastColumn="0" w:lastRowFirstColumn="0" w:lastRowLastColumn="0"/>
            <w:tcW w:w="3369" w:type="dxa"/>
          </w:tcPr>
          <w:p w14:paraId="2FB27700" w14:textId="77777777" w:rsidR="00DA7609" w:rsidRPr="00DA7609" w:rsidRDefault="00DA7609" w:rsidP="00DA7609">
            <w:pPr>
              <w:spacing w:before="60" w:after="60"/>
              <w:ind w:hanging="2"/>
              <w:rPr>
                <w:noProof/>
                <w:sz w:val="24"/>
                <w:szCs w:val="24"/>
                <w:u w:val="single"/>
              </w:rPr>
            </w:pPr>
          </w:p>
        </w:tc>
        <w:tc>
          <w:tcPr>
            <w:tcW w:w="2143" w:type="dxa"/>
          </w:tcPr>
          <w:p w14:paraId="6C8BFB5C"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sz w:val="24"/>
                <w:szCs w:val="24"/>
              </w:rPr>
            </w:pPr>
          </w:p>
        </w:tc>
        <w:tc>
          <w:tcPr>
            <w:tcW w:w="2834" w:type="dxa"/>
          </w:tcPr>
          <w:p w14:paraId="5136F9BF"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sz w:val="24"/>
                <w:szCs w:val="24"/>
              </w:rPr>
            </w:pPr>
            <w:r w:rsidRPr="00DA7609">
              <w:rPr>
                <w:i/>
                <w:iCs/>
                <w:sz w:val="24"/>
                <w:szCs w:val="24"/>
                <w:u w:color="000000"/>
              </w:rPr>
              <w:t>Transportation</w:t>
            </w:r>
          </w:p>
        </w:tc>
        <w:tc>
          <w:tcPr>
            <w:tcW w:w="3514" w:type="dxa"/>
          </w:tcPr>
          <w:p w14:paraId="45180202"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sz w:val="24"/>
                <w:szCs w:val="24"/>
              </w:rPr>
            </w:pPr>
            <w:r w:rsidRPr="00DA7609">
              <w:rPr>
                <w:sz w:val="24"/>
                <w:szCs w:val="24"/>
                <w:u w:color="000000"/>
              </w:rPr>
              <w:fldChar w:fldCharType="begin" w:fldLock="1"/>
            </w:r>
            <w:r w:rsidRPr="00DA7609">
              <w:rPr>
                <w:sz w:val="24"/>
                <w:szCs w:val="24"/>
                <w:u w:color="000000"/>
              </w:rPr>
              <w:instrText>ADDIN CSL_CITATION {"citationItems":[{"id":"ITEM-1","itemData":{"DOI":"10.1080/10810730.2011.649106","ISSN":"10810730","PMID":"22548604","abstract":"mHealth has great potential to change the landscape of health service delivery in less developed countriesexpanding the reach of health information to frontline health workers in remote areas. Formative, process, and summative evaluation each play an important role in mHealth interventions. K4Health conducted a Health Information Needs Assessment in Malawi from July to September 2009 (formative evaluation) that found widespread use of cell phones among health workers offering new opportunities for knowledge exchange, especially in areas where access to health information is limited. K4Health subsequently designed an 18-month demonstration project (January 2010 to June 2011) to improve the exchange and use of family planning/reproductive health and HIV/AIDS knowledge among health workers, which included the introduction of a short message service (SMS) network. K4Health conducted a pretest of the mHealth intervention from June to October 2010. A baseline assessment was carried out in November 2010 before expanding the SMS network and included use of qualitative and quantitative measures and comparison groups (summative evaluation). Routinely collected statistics also guide the program (process evaluation). This article describes the approach and main findings of the SMS baseline study and contributes to a growing body of evidence measuring the effectiveness and efficiency of mHealth programs using a strong evaluation design. Copyright © Taylor &amp; Francis Group, LLC.","author":[{"dropping-particle":"","family":"Lemay","given":"Nancy Vollmer","non-dropping-particle":"","parse-names":false,"suffix":""},{"dropping-particle":"","family":"Sullivan","given":"Tara","non-dropping-particle":"","parse-names":false,"suffix":""},{"dropping-particle":"","family":"Jumbe","given":"Brian","non-dropping-particle":"","parse-names":false,"suffix":""},{"dropping-particle":"","family":"Perry","given":"Cary Peabody","non-dropping-particle":"","parse-names":false,"suffix":""}],"container-title":"Journal of Health Communication","id":"ITEM-1","issue":"SUPPL. 1","issued":{"date-parts":[["2012","5","2"]]},"page":"105-117","publisher":"J Health Commun","title":"Reaching remote health workers in Malawi: Baseline assessment of a pilot mhealth intervention","type":"article-journal","volume":"17"},"uris":["http://www.mendeley.com/documents/?uuid=dbcc900e-0086-3dc1-8797-f0541b2e2119"]},{"id":"ITEM-2","itemData":{"author":[{"dropping-particle":"","family":"Rao","given":"V B","non-dropping-particle":"","parse-names":false,"suffix":""},{"dropping-particle":"","family":"Schellenberg","given":"D","non-dropping-particle":"","parse-names":false,"suffix":""},{"dropping-particle":"","family":"Ghani","given":"A C","non-dropping-particle":"","parse-names":false,"suffix":""}],"container-title":"Trends in Parasitology","id":"ITEM-2","issue":"4","issued":{"date-parts":[["2013"]]},"note":"Using Smart Source Parsing\n112 ref","page":"164-180","title":"Overcoming health systems barriers to successful malaria treatment","type":"article-journal","volume":"29"},"uris":["http://www.mendeley.com/documents/?uuid=e439b55a-a3db-4e91-9800-7fb414f719e1"]},{"id":"ITEM-3","itemData":{"DOI":"10.3390/nu7115449","ISSN":"2072-6643","abstract":"Background: Iron deficiency is the most prevalent nutritional deficiency in adolescent girls from the developing world. One of the recommended interventions to improve iron status in adolescent girls is iron supplementation. Yet the provision of iron supplements to adolescent girls proved to be a challenging task for the health systems across the developing world. Objective: The objective of the study was to examine means of reaching adolescent girls for iron supplementation in Northern Ethiopia. Methodology: Analytical cross-sectional study consisting of both quantitative and qualitative approaches to data collection and analysis was used in this study. Stratified multi-stage systematic random sampling technique was adopted and primary quantitative data were collected from 828 (578 school attending and 250 non school attending) adolescent girls recruited from nine districts of Tigray. The primary quantitative data were analyzed using SPSS version 20 software. The qualitative data collected through key informant interviews and focus group discussions were transcribed verbatim and qualitatively analyzed. Results: The mean (SD) age of the girls was 16.7 (1.4) years. Four hundred forty seven (54%), 355 (42.9%) and 26 (3.1%) of the adolescent girls had low, medium and high diet diversity scores, respectively. More than half, 467 (56%), of the adolescent girls believed that adolescent girls were overloaded with household jobs everyday compared to boys from their respective communities. Key informants said that, there is no adolescent nutrition message promoted in the study area. Low community awareness, perceiving iron tablet as a contraceptive, religious and cultural influences, and lack of confidence in supplementation value of iron tablets, are some of the potential barriers mentioned by the key informant and focus group discussion participants. Schools (45%), health centers (27%) and health posts (26%) were the preferred public facilities for provision of iron supplements to student adolescent girls whereas schools (11%), health centers (47%) and health posts (41%) were the preferred public facilities for provision of iron supplements to adolescent girls who were not attending schools from the study communities. Conclusion: The health posts and health centers were the preferred health facilities for iron supplementation to adolescent girls who were not attending schools while the school was the preferred facility for iron supplementation of student adole…","author":[{"dropping-particle":"","family":"Mulugeta","given":"Afework","non-dropping-particle":"","parse-names":false,"suffix":""},{"dropping-particle":"","family":"Tessema","given":"Masresha","non-dropping-particle":"","parse-names":false,"suffix":""},{"dropping-particle":"","family":"H/sellasie","given":"Kiday","non-dropping-particle":"","parse-names":false,"suffix":""},{"dropping-particle":"","family":"Seid","given":"Omer","non-dropping-particle":"","parse-names":false,"suffix":""},{"dropping-particle":"","family":"Kidane","given":"Gebremedhin","non-dropping-particle":"","parse-names":false,"suffix":""},{"dropping-particle":"","family":"Kebede","given":"Aweke","non-dropping-particle":"","parse-names":false,"suffix":""}],"container-title":"Nutrients","id":"ITEM-3","issue":"11","issued":{"date-parts":[["2015","11"]]},"note":"Accession Number: 111403006. Language: English. Entry Date: 20151210. Revision Date: 20160112. Publication Type: Article. Journal Subset: Biomedical; Continental Europe; Europe. Special Interest: Nutrition; Pediatric Care. Instrumentation: Dietary Diversity Score (DDS. Grant Information: The study was supported by the Ethiopian Public Health Institute (formerly known as theEthiopian Health and Nutrition Research Institute) and the World Ba. NLM UID: 101521595.","page":"9033-9045","publisher":"MDPI Publishing","publisher-place":"Mekelle University, P. O. Box: 1871, Mekelle, Ethiopia","title":"Examining Means of Reaching Adolescent Girls for Iron Supplementation in Tigray, Northern Ethiopia.","type":"article-journal","volume":"7"},"uris":["http://www.mendeley.com/documents/?uuid=3494c336-6287-413d-b4b8-b5b608bca4a9"]},{"id":"ITEM-4","itemData":{"author":[{"dropping-particle":"","family":"Printz","given":"N","non-dropping-particle":"","parse-names":false,"suffix":""}],"container-title":"American Journal of Tropical Medicine and Hygiene","id":"ITEM-4","issued":{"date-parts":[["2015"]]},"note":"64th Annual Meeting of the American Society of Tropical Medicine and Hygiene, ASTMH 2015. United States","page":"294","title":"Availability of malaria products at the last mile: An analysis of facility-and community-level logistics data","type":"article-journal","volume":"93 (4 Supp"},"uris":["http://www.mendeley.com/documents/?uuid=ac089638-8a04-4c74-8633-36eab21bda80"]},{"id":"ITEM-5","itemData":{"DOI":"10.1186/1472-6963-13-55","ISBN":"1472-6963 (Electronic)\\r1472-6963 (Linking)","ISSN":"1472-6963","PMID":"23394591","abstract":"ABSTRACT: BACKGROUND: National community-based health worker (CBHW) programs often face challenges in ensuring that these remote workers are adequately trained, equipped and supervised. As governments increasingly deploy CBHWs to improve access to primary health care, there is an urgent need to assess how well health systems are supporting CBHWs to provide high quality care. METHODS: This paper presents the results of a mixed-methods assessment of selected health systems supports (supervision, drug supply, and job aids) for a national community case management (CCM) program for childhood illness in Malawi during the first year of implementation. We collected data on the types and levels of drug supply and supervision through a cross-sectional survey of a random sample of Health Surveillance Assistants (HSAs) providing CCM services in six districts. We then conducted in-depth interviews and focus group discussions with program managers and HSAs, respectively, to gain an understanding of the barriers and facilitating factors for delivering health systems supports for CCM. RESULTS: Although the CCM training and job aid were well received by stakeholders, HSAs who participated in the first CCM training sessions often waited up to 4 months before receiving their initial supply of drugs and first supervision visits. One year after training began, 69 % of HSAs had all essential CCM drugs in stock and only 38 % of HSAs reported a CCM supervision visit in the 3 months prior to the survey. Results of the qualitative assessment indicated that drug supply was constrained by travel distance and stock outs at health facilities, and that the initial supervision system relied on clinicians who were able to spend only limited time away from clinical duties. Proactive district managers trained and enrolled HSAs' routine supervisors to provide CCM supervision. CONCLUSIONS: Malawi's CCM program is promising, but health systems supports must be improved to ensure consistent coverage and quality. Mixed-methods implementation research provided the Ministry of Health with actionable feedback that it is using to adapt program policies and improve performance.","author":[{"dropping-particle":"","family":"Callaghan-Koru","given":"Jennifer a","non-dropping-particle":"","parse-names":false,"suffix":""},{"dropping-particle":"","family":"Gilroy","given":"Kate","non-dropping-particle":"","parse-names":false,"suffix":""},{"dropping-particle":"","family":"Hyder","given":"Adnan a","non-dropping-particle":"","parse-names":false,"suffix":""},{"dropping-particle":"","family":"George","given":"Asha","non-dropping-particle":"","parse-names":false,"suffix":""},{"dropping-particle":"","family":"Nsona","given":"Humphreys","non-dropping-particle":"","parse-names":false,"suffix":""},{"dropping-particle":"","family":"Mtimuni","given":"Angella","non-dropping-particle":"","parse-names":false,"suffix":""},{"dropping-particle":"","family":"Zakeyo","given":"Bernie","non-dropping-particle":"","parse-names":false,"suffix":""},{"dropping-particle":"","family":"Mayani","given":"Josiah","non-dropping-particle":"","parse-names":false,"suffix":""},{"dropping-particle":"","family":"Cardemil","given":"Cristina","non-dropping-particle":"","parse-names":false,"suffix":""},{"dropping-particle":"","family":"Bryce","given":"Jennifer","non-dropping-particle":"","parse-names":false,"suffix":""}],"container-title":"BMC health services research","id":"ITEM-5","issue":"1","issued":{"date-parts":[["2013"]]},"page":"55","title":"Health systems supports for community case management of childhood illness: lessons from an assessment of early implementation in Malawi.","type":"article-journal","volume":"13"},"uris":["http://www.mendeley.com/documents/?uuid=365c7ead-25b1-4b3a-b3fe-1e61a83ab885"]},{"id":"ITEM-6","itemData":{"DOI":"10.1016/j.contraception.2014.01.005","ISBN":"0010-7824","ISSN":"18790518","PMID":"24565737","abstract":"Objective Sayana?? Press (SP) is a unique injectable contraceptive (depot medroxyprogesterone acetate, or DMPA) administered subcutaneously in the UnijectTM injection system.1 SP simplifies the injection process; it requires no assembly of components and is easily disposable. This new technology appears to be well suited for community-based delivery of injectable contraception. The study objective was to evaluate SP management and administration in low-resource settings, focusing on how the delivery logistics, administration time, storage and waste-management requirements compare to the traditional intramuscular DMPA injectable (DMPA IM). Study design We conducted 58 semistructured interviews with clinic providers and community health workers in Senegal and Uganda to identify the merits, challenges and appeal of SP relative to DMPA IM. Results Providers identified logistical challenges with the management and administration of DMPA IM, including stock outs, transportation, storage constraints, and, in a few instances, waste disposal. Most providers (between 63% and 88%, depending on the logistics issue) do not expect SP to either aggravate or solve those problems. Some envisioned that SP could facilitate supply management (5%), storage (11%) and waste disposal (22%). The all-in-one packaging of SP was perceived to reduce the incidence of mismatched supplies (syringes and vials), and its smaller size was expected to ease space constraints and reduce the frequency of safety box incineration. Conclusion Adding SP to the method mix is unlikely to have a profound impact on clinic operations but may lessen logistical problems related to supply, storage and waste management. Implications Community health workers and clinic providers who administer SP may see some modest improvements in service delivery logistics. Particularly in settings where service delivery logistical challenges are more pronounced, offering SP may facilitate injectable contraceptive delivery. ?? 2014 Elsevier Inc.","author":[{"dropping-particle":"","family":"Cover","given":"Jane","non-dropping-particle":"","parse-names":false,"suffix":""},{"dropping-particle":"","family":"Blanton","given":"Elizabeth","non-dropping-particle":"","parse-names":false,"suffix":""},{"dropping-particle":"","family":"Ndiaye","given":"Dieynaba","non-dropping-particle":"","parse-names":false,"suffix":""},{"dropping-particle":"","family":"Walugembe","given":"Fiona","non-dropping-particle":"","parse-names":false,"suffix":""},{"dropping-particle":"","family":"Lamontagne","given":"D. Scott","non-dropping-particle":"","parse-names":false,"suffix":""}],"container-title":"Contraception","id":"ITEM-6","issue":"5","issued":{"date-parts":[["2014"]]},"page":"374-378","publisher":"Elsevier Inc.","title":"Operational assessments of Sayana?? Press provision in Senegal and Uganda","type":"article-journal","volume":"89"},"uris":["http://www.mendeley.com/documents/?uuid=037bade8-058a-43e6-aeba-1d943fd1aa5b"]},{"id":"ITEM-7","itemData":{"author":[{"dropping-particle":"","family":"Shieshia","given":"M","non-dropping-particle":"","parse-names":false,"suffix":""},{"dropping-particle":"","family":"Noel","given":"M","non-dropping-particle":"","parse-names":false,"suffix":""},{"dropping-particle":"","family":"Andersson","given":"S","non-dropping-particle":"","parse-names":false,"suffix":""},{"dropping-particle":"","family":"Felling","given":"B","non-dropping-particle":"","parse-names":false,"suffix":""},{"dropping-particle":"","family":"Alva","given":"S","non-dropping-particle":"","parse-names":false,"suffix":""},{"dropping-particle":"","family":"Agarwal","given":"S","non-dropping-particle":"","parse-names":false,"suffix":""},{"dropping-particle":"","family":"Lefevre","given":"A","non-dropping-particle":"","parse-names":false,"suffix":""},{"dropping-particle":"","family":"Misomali","given":"A","non-dropping-particle":"","parse-names":false,"suffix":""},{"dropping-particle":"","family":"Chimphanga","given":"B","non-dropping-particle":"","parse-names":false,"suffix":""},{"dropping-particle":"","family":"Nsona","given":"H","non-dropping-particle":"","parse-names":false,"suffix":""},{"dropping-particle":"","family":"Chandani","given":"Y","non-dropping-particle":"","parse-names":false,"suffix":""}],"container-title":"Journal of Global Health","id":"ITEM-7","issue":"2","issued":{"date-parts":[["2014"]]},"note":"Using Smart Source Parsing\n020406. 15 ref","title":"Strengthening community health supply chain performance through an integrated approach: using mHealth technology and multilevel teams in Malawi. (Themed Issue: Current scientific evidence for integrated community case management (iCCM) in Africa: findings","type":"article-journal","volume":"4"},"uris":["http://www.mendeley.com/documents/?uuid=2e878905-6bf0-4e20-9e5a-4cb6e89d96f2"]},{"id":"ITEM-8","itemData":{"author":[{"dropping-particle":"","family":"Andersson","given":"S","non-dropping-particle":"","parse-names":false,"suffix":""},{"dropping-particle":"","family":"Chandani","given":"Y","non-dropping-particle":"","parse-names":false,"suffix":""},{"dropping-particle":"","family":"Felling","given":"B","non-dropping-particle":"","parse-names":false,"suffix":""},{"dropping-particle":"","family":"Heaton","given":"A","non-dropping-particle":"","parse-names":false,"suffix":""},{"dropping-particle":"","family":"Noel","given":"M","non-dropping-particle":"","parse-names":false,"suffix":""},{"dropping-particle":"","family":"Pahl","given":"M","non-dropping-particle":"","parse-names":false,"suffix":""},{"dropping-particle":"","family":"Roche","given":"G","non-dropping-particle":"","parse-names":false,"suffix":""},{"dropping-particle":"","family":"Williams","given":"T","non-dropping-particle":"","parse-names":false,"suffix":""}],"container-title":"American Journal of Tropical Medicine and Hygiene","id":"ITEM-8","issue":"5","issued":{"date-parts":[["2010"]]},"note":"59th Annual Meeting of the American Society of Tropical Medicine and Hygiene, ASTMH 2010. Atlanta, GA United States","page":"31","title":"Using a theory of change model to improve supply chains for community case management in resource limited settings","type":"article-journal","volume":"83"},"uris":["http://www.mendeley.com/documents/?uuid=d93339fd-ce23-4374-a6d8-9d90c4d01bfd"]},{"id":"ITEM-9","itemData":{"author":[{"dropping-particle":"","family":"Williams","given":"T","non-dropping-particle":"","parse-names":false,"suffix":""},{"dropping-particle":"","family":"Andersson","given":"S","non-dropping-particle":"","parse-names":false,"suffix":""},{"dropping-particle":"","family":"Chandani","given":"Y","non-dropping-particle":"","parse-names":false,"suffix":""},{"dropping-particle":"","family":"Felling","given":"B","non-dropping-particle":"","parse-names":false,"suffix":""},{"dropping-particle":"","family":"Roche","given":"G","non-dropping-particle":"","parse-names":false,"suffix":""},{"dropping-particle":"","family":"Pahl","given":"M","non-dropping-particle":"","parse-names":false,"suffix":""},{"dropping-particle":"","family":"Heaton","given":"A","non-dropping-particle":"","parse-names":false,"suffix":""},{"dropping-particle":"","family":"Noel","given":"M","non-dropping-particle":"","parse-names":false,"suffix":""}],"container-title":"American Journal of Tropical Medicine and Hygiene","id":"ITEM-9","issue":"5","issued":{"date-parts":[["2010"]]},"note":"59th Annual Meeting of the American Society of Tropical Medicine and Hygiene, ASTMH 2010. Atlanta, GA United States","page":"31","title":"Results of baseline assessments of community case management supply chains in Malawi and Ethiopia","type":"article-journal","volume":"83"},"uris":["http://www.mendeley.com/documents/?uuid=9b6f4214-8926-4458-941c-5ededbb74a05"]},{"id":"ITEM-10","itemData":{"author":[{"dropping-particle":"","family":"Village Reach","given":"","non-dropping-particle":"","parse-names":false,"suffix":""}],"id":"ITEM-10","issue":"October","issued":{"date-parts":[["2015"]]},"number-of-pages":"1-59","title":"Exploring New Distribution Models for Vaccines and other Health Commodities Adapted to the on the Ground Realities of the Equateur and Tshuapa Provinces , Democratic Republic of Congo","type":"report"},"uris":["http://www.mendeley.com/documents/?uuid=54537a97-5da5-3cc2-9f22-6bfb239fc036"]},{"id":"ITEM-11","itemData":{"DOI":"10.1111/tmi.12314","ISSN":"13653156","PMID":"24724617","abstract":"To assess the relationship between health system factors and facility-level EHP stock-outs in Mozambique. Service provisions were assessed in 26 health facilities and 13 district warehouses in Sofala Province, Mozambique, from July to August in 2011-2013. Generalised estimating equations were used to model factors associated with facility-level availability of essential drugs, supplies and equipment. Stock-out rates for drugs ranged from 1.3% for oral rehydration solution to 20.5% for Depo-Provera and condoms, with a mean stock-out rate of 9.1%; mean stock-out rates were 15.4% for supplies and 4.1% for equipment. Stock-outs at the district level accounted for 27.1% (29/107) of facility-level drug stock-outs and 44.0% (37/84) of supply stock-outs. Each 10-km increase in the distance from district distribution warehouses was associated with a 31% (CI: 22-42%), 28% (CI: 17-40%) or 27% (CI: 7-50%) increase in rates of drug, supply or equipment stock-outs, respectively. The number of heath facility staff was consistently negatively associated with the occurrence of stock-outs. Facility-level stock-outs of EHPs in Mozambique are common and appear to disproportionately affect those living far from district capitals and near facilities with few health staff. The majority of facility-level EHP stock-outs in Mozambique occur when stock exists at the district distribution centre. Innovative methods are urgently needed to improve EHP supply chains, requesting and ordering of drugs, facility and district communication, and forecasting of future EHP needs in Mozambique. Increased investments in public-sector human resources for health could potentially decrease the occurrence of EHP stock-outs. © 2014 John Wiley &amp; Sons Ltd.","author":[{"dropping-particle":"","family":"Wagenaar","given":"Bradley H.","non-dropping-particle":"","parse-names":false,"suffix":""},{"dropping-particle":"","family":"Gimbel","given":"Sarah","non-dropping-particle":"","parse-names":false,"suffix":""},{"dropping-particle":"","family":"Hoek","given":"Roxanne","non-dropping-particle":"","parse-names":false,"suffix":""},{"dropping-particle":"","family":"Pfeiffer","given":"James","non-dropping-particle":"","parse-names":false,"suffix":""},{"dropping-particle":"","family":"Michel","given":"Cathy","non-dropping-particle":"","parse-names":false,"suffix":""},{"dropping-particle":"","family":"Manuel","given":"João Luis","non-dropping-particle":"","parse-names":false,"suffix":""},{"dropping-particle":"","family":"Cuembelo","given":"Fatima","non-dropping-particle":"","parse-names":false,"suffix":""},{"dropping-particle":"","family":"Quembo","given":"Titos","non-dropping-particle":"","parse-names":false,"suffix":""},{"dropping-particle":"","family":"Afonso","given":"Pires","non-dropping-particle":"","parse-names":false,"suffix":""},{"dropping-particle":"","family":"Gloyd","given":"Stephen","non-dropping-particle":"","parse-names":false,"suffix":""},{"dropping-particle":"","family":"Sherr","given":"Kenneth","non-dropping-particle":"","parse-names":false,"suffix":""}],"container-title":"Tropical medicine &amp; international health : TM &amp; IH","id":"ITEM-11","issue":"7","issued":{"date-parts":[["2014"]]},"page":"791-801","publisher":"Trop Med Int Health","title":"Stock-outs of essential health products in Mozambique - longitudinal analyses from 2011 to 2013.","type":"article-journal","volume":"19"},"uris":["http://www.mendeley.com/documents/?uuid=6d1ec21d-5649-3384-b5b7-28d9ca56278d"]},{"id":"ITEM-12","itemData":{"author":[{"dropping-particle":"","family":"Chandani","given":"Y","non-dropping-particle":"","parse-names":false,"suffix":""},{"dropping-particle":"","family":"Noel","given":"M","non-dropping-particle":"","parse-names":false,"suffix":""},{"dropping-particle":"","family":"Andersson","given":"S","non-dropping-particle":"","parse-names":false,"suffix":""},{"dropping-particle":"","family":"Ombeva","given":"A","non-dropping-particle":"","parse-names":false,"suffix":""},{"dropping-particle":"","family":"Shieshia","given":"M","non-dropping-particle":"","parse-names":false,"suffix":""},{"dropping-particle":"","family":"Heaton","given":"A","non-dropping-particle":"","parse-names":false,"suffix":""},{"dropping-particle":"","family":"Felling","given":"B","non-dropping-particle":"","parse-names":false,"suffix":""}],"container-title":"American Journal of Tropical Medicine and Hygiene","id":"ITEM-12","issue":"5","issued":{"date-parts":[["2013"]]},"note":"62nd Annual Meeting of the American Society of Tropical Medicine and Hygiene, ASTMH 2012. Washington, DC United States","page":"327-328","title":"Improving community level supply chain performance using team-led, data driven solutions in Malawi and Rwanda","type":"article-journal","volume":"89"},"uris":["http://www.mendeley.com/documents/?uuid=46e35ddf-8110-443c-ab9a-dec379125df5"]},{"id":"ITEM-13","itemData":{"author":[{"dropping-particle":"","family":"Chandani","given":"Y","non-dropping-particle":"","parse-names":false,"suffix":""},{"dropping-particle":"","family":"Noel","given":"M","non-dropping-particle":"","parse-names":false,"suffix":""},{"dropping-particle":"","family":"Pomeroy","given":"A","non-dropping-particle":"","parse-names":false,"suffix":""},{"dropping-particle":"","family":"Andersson","given":"S","non-dropping-particle":"","parse-names":false,"suffix":""},{"dropping-particle":"","family":"Pahl","given":"M K","non-dropping-particle":"","parse-names":false,"suffix":""},{"dropping-particle":"","family":"Williams","given":"T","non-dropping-particle":"","parse-names":false,"suffix":""}],"container-title":"American Journal of Tropical Medicine and Hygiene","id":"ITEM-13","issue":"5 (Supplement","issued":{"date-parts":[["2012"]]},"note":"Using Smart Source Parsing\n13 ref","page":"120-126","title":"Factors affecting availability of essential medicines among community health workers in Ethiopia, Malawi, and Rwanda: solving the last mile puzzle. (Special supplement on Integrated Community Case Management.)","type":"article-journal","volume":"87"},"uris":["http://www.mendeley.com/documents/?uuid=b3bc4fc4-6baa-46d5-9472-660475305883"]},{"id":"ITEM-14","itemData":{"ISBN":"9781920618315","author":[{"dropping-particle":"","family":"Doherty","given":"Tanya","non-dropping-particle":"","parse-names":false,"suffix":""},{"dropping-particle":"","family":"Besada","given":"D","non-dropping-particle":"","parse-names":false,"suffix":""},{"dropping-particle":"","family":"Zembe","given":"W","non-dropping-particle":"","parse-names":false,"suffix":""},{"dropping-particle":"","family":"Daniels","given":"K","non-dropping-particle":"","parse-names":false,"suffix":""},{"dropping-particle":"","family":"Kinney","given":"M","non-dropping-particle":"","parse-names":false,"suffix":""},{"dropping-particle":"","family":"Kerber","given":"K","non-dropping-particle":"","parse-names":false,"suffix":""},{"dropping-particle":"","family":"Daviaud","given":"E","non-dropping-particle":"","parse-names":false,"suffix":""},{"dropping-particle":"","family":"Rohde","given":"S","non-dropping-particle":"","parse-names":false,"suffix":""},{"dropping-particle":"","family":"Ngandu","given":"N","non-dropping-particle":"","parse-names":false,"suffix":""},{"dropping-particle":"","family":"Jackson","given":"D","non-dropping-particle":"","parse-names":false,"suffix":""}],"id":"ITEM-14","issued":{"date-parts":[["2014"]]},"title":"Report on the summative external evaluation of the Integrated Health System Strengthening programme in Ethiopia, Mali, Mozambique, Ghana, Malawi and Niger","type":"report"},"uris":["http://www.mendeley.com/documents/?uuid=94986425-7399-348b-95f8-c3ff8107c94a"]},{"id":"ITEM-15","itemData":{"DOI":"10.1080/13625187.2017.1394453","ISBN":"1362-5187","abstract":"Purpose: To identify and assess factors determining the functioning of supply chain systems for modern contraception in low-and middle-income countries (LMICs), and to identify challenges contributing to contraception stockouts that may lead to unmet need. Materials and methods: Scientific databases and grey literature were searched including Database of Abstracts of Reviews of Effectiveness (DARE), PubMed, MEDLINE, POPLINE, CINAHL, Academic Search Complete, Science Direct, Web of Science, Cochrane Central, Google Scholar, WHO databases and websites of key international organisations. Results: Studies indicated that supply chain system inefficiencies significantly affect availability of modern FP and contraception commodities in LMICs, especially in rural public facilities where distribution barriers may be acute. Supply chain failures or bottlenecks may be attributed to: weak and poorly institutionalized logistic management information systems (LMIS), poor physical infrastructures in LMICs, lack of trained and dedicated staff for supply chain management, inadequate funding, and rigid government policies on task sharing. However, there is evidence that implementing effective LMISs and involving public and private providers will distribution channels resulted in reduction in medical commodities' stockout rates. Conclusions: Supply chain bottlenecks contribute significantly to persistent high stockout rates for modern contraceptives in LMICs. Interventions aimed at enhancing uptake of contraceptives to reduce the problem of unmet need in LMICs should make strong commitments towards strengthening these countries' health commodities supply chain management systems. Current evidence is limited and additional, and well-designed implementation research on contraception supply chain systems is warranted to gain further understanding and insights on the determinants of supply chain bottlenecks and their impact on stockouts of contraception commodities.","author":[{"dropping-particle":"","family":"Mukasa","given":"B","non-dropping-particle":"","parse-names":false,"suffix":""},{"dropping-particle":"","family":"Ali","given":"M","non-dropping-particle":"","parse-names":false,"suffix":""},{"dropping-particle":"","family":"Farron","given":"M","non-dropping-particle":"","parse-names":false,"suffix":""},{"dropping-particle":"","family":"Weerdt","given":"R","non-dropping-particle":"Van de","parse-names":false,"suffix":""}],"container-title":"European Journal of Contraception and Reproductive Health Care","id":"ITEM-15","issue":"5","issued":{"date-parts":[["2017"]]},"note":"Mukasa, Bakali Ali, Moazzam Farron, Madeline Van de Weerdt, Renee\nAli, Moazzam/0000-0001-6949-8976\n1473-0782","page":"384-390","title":"Contraception supply chain challenges: a review of evidence from low- and middle-income countries","type":"article-journal","volume":"22"},"uris":["http://www.mendeley.com/documents/?uuid=82f9cbf9-baa4-4d39-a277-8a73269b7ef6"]},{"id":"ITEM-16","itemData":{"author":[{"dropping-particle":"","family":"Global Fund","given":"","non-dropping-particle":"","parse-names":false,"suffix":""},{"dropping-particle":"","family":"WHO","given":"","non-dropping-particle":"","parse-names":false,"suffix":""},{"dropping-particle":"","family":"UNICEF","given":"","non-dropping-particle":"","parse-names":false,"suffix":""}],"id":"ITEM-16","issued":{"date-parts":[["2018"]]},"title":"Integrated Community Case Management (iCCM) in Sub-Saharan Africa: Successes &amp; Challenges with Access, Speed &amp; Quality Thematic review report","type":"report"},"uris":["http://www.mendeley.com/documents/?uuid=cdd8cc09-fda0-3226-b6c3-baca7bae910b"]},{"id":"ITEM-17","itemData":{"author":[{"dropping-particle":"","family":"Strachan","given":"C","non-dropping-particle":"","parse-names":false,"suffix":""},{"dropping-particle":"","family":"Wharton-Smith","given":"A","non-dropping-particle":"","parse-names":false,"suffix":""},{"dropping-particle":"","family":"Sinyangwe","given":"C","non-dropping-particle":"","parse-names":false,"suffix":""},{"dropping-particle":"","family":"Mubiru","given":"D","non-dropping-particle":"","parse-names":false,"suffix":""},{"dropping-particle":"","family":"Ssekitooleko","given":"J","non-dropping-particle":"","parse-names":false,"suffix":""},{"dropping-particle":"","family":"Meier","given":"J","non-dropping-particle":"","parse-names":false,"suffix":""},{"dropping-particle":"","family":"Gbanya","given":"M","non-dropping-particle":"","parse-names":false,"suffix":""},{"dropping-particle":"","family":"Tibenderana","given":"J K","non-dropping-particle":"","parse-names":false,"suffix":""},{"dropping-particle":"","family":"Counihan","given":"H","non-dropping-particle":"","parse-names":false,"suffix":""}],"container-title":"Journal of Global Health","id":"ITEM-17","issue":"2","issued":{"date-parts":[["2014"]]},"note":"Using Smart Source Parsing\n020404. 19 ref","title":"Integrated community case management of malaria, pneumonia and diarrhoea across three African countries: a qualitative study exploring lessons learnt and implications for further scale up. (Themed Issue: Current scientific evidence for integrated communit","type":"article-journal","volume":"4"},"uris":["http://www.mendeley.com/documents/?uuid=403cfebb-623e-4cf9-95dc-ddf76714c7f3"]},{"id":"ITEM-18","itemData":{"author":[{"dropping-particle":"","family":"Miller","given":"N P","non-dropping-particle":"","parse-names":false,"suffix":""},{"dropping-particle":"","family":"Zunong","given":"N","non-dropping-particle":"","parse-names":false,"suffix":""},{"dropping-particle":"","family":"Al-Sorouri","given":"T A A","non-dropping-particle":"","parse-names":false,"suffix":""},{"dropping-particle":"","family":"Alqadasi","given":"Y M","non-dropping-particle":"","parse-names":false,"suffix":""},{"dropping-particle":"","family":"Ashraf","given":"S","non-dropping-particle":"","parse-names":false,"suffix":""},{"dropping-particle":"","family":"Siameja","given":"C","non-dropping-particle":"","parse-names":false,"suffix":""}],"container-title":"Journal of Global Health","id":"ITEM-18","issue":"2","issued":{"date-parts":[["2020"]]},"note":"Using Smart Source Parsing\n24 ref","title":"Implementing integrated community case management during conflict in Yemen. (Research Theme: Community health in emergencies.)","type":"article-journal","volume":"10"},"uris":["http://www.mendeley.com/documents/?uuid=43c222ef-9049-43aa-a753-2d4b57b7c828"]},{"id":"ITEM-19","itemData":{"DOI":"10.1177/0046958018798493","ISSN":"00469580","PMID":"30215263","abstract":"With health worker shortages in rural areas, community health workers (CHWs) are instrumental to the sustainability of primary health care and to the ability to meet health needs. Identifying appropriate operational models and incentive structures is an important element of long-term success. This article reports on CHWs’ work demands and affective response to their volunteer work within the broader context of their livelihoods in Madagascar. A cross-sectional survey of 874 CHWs, called Agents de Santé Communautaire (ACs), from 14 districts across 5 regions was conducted in June 2015. Only 44% of ACs had cash savings. Subsistence farming was the main livelihood strategy; ninety-two percent of ACs were food insecure and 89% had experienced a shock in the past year. Overall, 77% of ACs financed commodity resupply through sales of health products and 18% from their personal savings; stock-outs at point of supply and financial and time constraints were the main reported challenges in getting health products. The average satisfaction score with AC work was 3 out of 4. This assessment from Madagascar helps unveil a more comprehensive view of the reality of CHWs’ lives. Managers need to take into account the potential implications of the demands of CHW work on already precarious livelihoods.","author":[{"dropping-particle":"","family":"Brunie","given":"Aurélie","non-dropping-particle":"","parse-names":false,"suffix":""},{"dropping-particle":"","family":"Mercer","given":"Sarah","non-dropping-particle":"","parse-names":false,"suffix":""},{"dropping-particle":"","family":"Chen","given":"Mario","non-dropping-particle":"","parse-names":false,"suffix":""},{"dropping-particle":"","family":"Andrianantoandro","given":"Tokinirina","non-dropping-particle":"","parse-names":false,"suffix":""}],"container-title":"Inquiry (United States)","id":"ITEM-19","issued":{"date-parts":[["2018","1","1"]]},"page":"1-8","publisher":"SAGE Publications Inc.","title":"Expanding understanding of community health worker programs: A cross-sectional survey on the work, satisfaction, and livelihoods of CHWs in Madagascar","type":"article-journal","volume":"55"},"uris":["http://www.mendeley.com/documents/?uuid=0c7581d5-6638-3d87-b97d-ed8da9a2d37a"]},{"id":"ITEM-20","itemData":{"author":[{"dropping-particle":"","family":"Project","given":"Deliver","non-dropping-particle":"","parse-names":false,"suffix":""}],"id":"ITEM-20","issued":{"date-parts":[["0"]]},"title":"Mozambique: Strengthening the Community Health Worker Supply Chain. Final Report, May 2014","type":"report"},"uris":["http://www.mendeley.com/documents/?uuid=47cad0d7-4598-36d0-94cc-6fc67ba55212"]},{"id":"ITEM-21","itemData":{"DOI":"10.1186/s12913-017-2723-0","ISBN":"1472-6963","PMID":"29183312","abstract":"BACKGROUND: Integrated community case management (iCCM) strategies aim to reach poor communities by providing timely access to treatment for malaria, pneumonia and diarrhoea for children under 5 years of age. Community health workers, known as Village Health Teams (VHTs) in Uganda, have been shown to be effective in hard-to-reach, underserved areas, but there is little evidence to support iCCM as an appropriate strategy in non-rural contexts. This study aimed to inform future iCCM implementation by exploring caregiver and VHT member perceptions of the value and effectiveness of iCCM in peri-urban settings in Uganda. METHODS: A qualitative evaluation was conducted in seven villages in Wakiso district, a rapidly urbanising area in central Uganda. Villages were purposively selected, spanning a range of peri-urban settlements experiencing rapid population change. In each village, rapid appraisal activities were undertaken separately with purposively selected caregivers (n = 85) and all iCCM-trained VHT members (n = 14), providing platforms for group discussions. Fifteen key informant interviews were also conducted with community leaders and VHT members. Thematic analysis was based on the 'Health Access Livelihoods Framework'. RESULTS: iCCM was perceived to facilitate timely treatment access and improve child health in peri-urban settings, often supplanting private clinics and traditional healers as first point of care. Relative to other health service providers, caregivers valued VHTs' free, proximal services, caring attitudes, perceived treatment quality, perceived competency and protocol use, and follow-up and referral services. VHT effectiveness was perceived to be restricted by inadequate diagnostics, limited newborn care, drug stockouts and VHT member absence - factors which drove utilisation of alternative providers. Low community engagement in VHT selection, lack of referral transport and poor availability of referral services also diminished perceived effectiveness. The iCCM strategy was widely perceived to result in economic savings and other livelihood benefits. CONCLUSIONS: In peri-urban areas, iCCM was perceived as an effective, well-utilised strategy, reflecting both VHT attributes and gaps in existing health services. Depending on health system resources and organisation, iCCM may be a useful transitional service delivery approach. Implementation in peri-urban areas should consider tailored community engagement strategies, adapted selection cr…","author":[{"dropping-particle":"","family":"Altaras","given":"R","non-dropping-particle":"","parse-names":false,"suffix":""},{"dropping-particle":"","family":"Montague","given":"M","non-dropping-particle":"","parse-names":false,"suffix":""},{"dropping-particle":"","family":"Graham","given":"K","non-dropping-particle":"","parse-names":false,"suffix":""},{"dropping-particle":"","family":"Strachan","given":"C E","non-dropping-particle":"","parse-names":false,"suffix":""},{"dropping-particle":"","family":"Senyonjo","given":"L","non-dropping-particle":"","parse-names":false,"suffix":""},{"dropping-particle":"","family":"King","given":"R","non-dropping-particle":"","parse-names":false,"suffix":""},{"dropping-particle":"","family":"Counihan","given":"H","non-dropping-particle":"","parse-names":false,"suffix":""},{"dropping-particle":"","family":"Mubiru","given":"D","non-dropping-particle":"","parse-names":false,"suffix":""},{"dropping-particle":"","family":"Källander","given":"K","non-dropping-particle":"","parse-names":false,"suffix":""},{"dropping-particle":"","family":"Meek","given":"S","non-dropping-particle":"","parse-names":false,"suffix":""},{"dropping-particle":"","family":"Tibenderana","given":"J","non-dropping-particle":"","parse-names":false,"suffix":""}],"container-title":"BMC Health Serv Res","edition":"2017/12/01","id":"ITEM-21","issue":"1","issued":{"date-parts":[["2017"]]},"language":"eng","note":"1472-6963\nAltaras, Robin\nMontague, Mark\nGraham, Kirstie\nStrachan, Clare E\nSenyonjo, Laura\nKing, Rebecca\nCounihan, Helen\nMubiru, Denis\nKällander, Karin\nMeek, Sylvia\nTibenderana, James\nComdis hsd/dfid/\nProgramme Partnership Arrangement/DFID/\nJournal Article\nBMC Health Serv Res. 2017 Nov 28;17(1):785. doi: 10.1186/s12913-017-2723-0.","page":"785","title":"Integrated community case management in a peri-urban setting: a qualitative evaluation in Wakiso District, Uganda","type":"article-journal","volume":"17"},"uris":["http://www.mendeley.com/documents/?uuid=bad45289-3c18-4eec-a183-47c5451246cd"]},{"id":"ITEM-22","itemData":{"DOI":"10.1186/1475-2875-13-229","abstract":"Background: Malaria still causes high morbidity and mortality around the world, mainly in sub-Saharan Africa. Community case management of malaria (CCMm) by community health workers (CHWs) is one of the strategies to combat the disease by increasing access to malaria treatment. Currently, the World Health Organization recommends to treat only confirmed malaria cases, rather than to give presumptive treatment. Objectives: This systematic review aims to provide a comprehensive overview of the success or failure of critical steps in CCMm with rapid diagnostic tests (RDTs). Methods: The databases of Medline, Embase, the Cochrane Library, the library of the 'Malaria in Pregnancy' consortium, and Web of Science were used to find studies on CCMm with RDTs in SSA. Studies were selected according to inclusion and exclusion criteria, subsequently risk of bias was assessed and data extracted. Results: 27 articles were included. CHWs were able to correctly perform RDTs, although specificity levels were variable. CHWs showed high adherence to test results, but in some studies a substantial group of RDT negatives received treatment. High risk of bias was found for morbidity and mortality studies, therefore, effects on morbidity and mortality could not be estimated. Uptake and acceptance by the community was high, however negative-tested patients did not always follow up referral advice. Drug or RDT stock-outs and limited information on CHW motivation are bottlenecks for sustainable implementation. RDT-based CCMm was found to be cost effective for the correct treatment of malaria in areas with low to medium malaria prevalence, but study designs were not optimal. Discussion: Trained CHWs can deliver high quality care for malaria using RDTs. However, lower RDT specificity could lead to missed diagnoses of non-malarial causes of fever. Other threats for CCMm are non-adherence to negative test results and low referral completion. Integrated CCM may solve some of these issues. Unfortunately, morbidity and mortality are not adequately investigated. More information is needed about influencing sociocultural aspects, CHW motivation and stock supply. Conclusion: CCMm is generally well executed by CHWs, but there are several barriers for its success. Integrated CCM may overcome some of these barriers.","author":[{"dropping-particle":"","family":"Ruizendaal","given":"E","non-dropping-particle":"","parse-names":false,"suffix":""},{"dropping-particle":"","family":"Dierickx","given":"S","non-dropping-particle":"","parse-names":false,"suffix":""},{"dropping-particle":"","family":"Grietens","given":"K P","non-dropping-particle":"","parse-names":false,"suffix":""},{"dropping-particle":"","family":"Schallig","given":"Hdfh","non-dropping-particle":"","parse-names":false,"suffix":""},{"dropping-particle":"","family":"Pagnoni","given":"F","non-dropping-particle":"","parse-names":false,"suffix":""},{"dropping-particle":"","family":"Mens","given":"P F","non-dropping-particle":"","parse-names":false,"suffix":""}],"container-title":"Malaria Journal","id":"ITEM-22","issued":{"date-parts":[["2014"]]},"note":"Ruizendaal, Esmee Dierickx, Susan Grietens, Koen Peeters Schallig, Henk D. F. H. Pagnoni, Franco Mens, Petra F.\nRuizendaal, Esmee/AAG-6157-2020; Grietens, Koen Peeters/G-7028-2019\nGrietens, Koen Peeters/0000-0001-6570-9887; Dierickx, Susan/0000-0003-3140-0771\n1475-2875","title":"Success or failure of critical steps in community case management of malaria with rapid diagnostic tests: a systematic review","type":"article-journal","volume":"13"},"uris":["http://www.mendeley.com/documents/?uuid=7e01a4f1-46a6-44a2-9158-f208a3108728"]},{"id":"ITEM-23","itemData":{"author":[{"dropping-particle":"","family":"Chandani","given":"Y","non-dropping-particle":"","parse-names":false,"suffix":""},{"dropping-particle":"","family":"Andersson","given":"S","non-dropping-particle":"","parse-names":false,"suffix":""},{"dropping-particle":"","family":"Heaton","given":"A","non-dropping-particle":"","parse-names":false,"suffix":""},{"dropping-particle":"","family":"Noel","given":"M","non-dropping-particle":"","parse-names":false,"suffix":""},{"dropping-particle":"","family":"Shieshia","given":"M","non-dropping-particle":"","parse-names":false,"suffix":""},{"dropping-particle":"","family":"Mwirotsi","given":"A","non-dropping-particle":"","parse-names":false,"suffix":""},{"dropping-particle":"","family":"Krudwig","given":"K","non-dropping-particle":"","parse-names":false,"suffix":""},{"dropping-particle":"","family":"Nsona","given":"H","non-dropping-particle":"","parse-names":false,"suffix":""},{"dropping-particle":"","family":"Felling","given":"B","non-dropping-particle":"","parse-names":false,"suffix":""}],"container-title":"Journal of Global Health","id":"ITEM-23","issue":"2","issued":{"date-parts":[["2014"]]},"note":"Using Smart Source Parsing\n020405. 17 ref","title":"Making products available among community health workers: evidence for improving community health supply chains from Ethiopia, Malawi, and Rwanda. (Themed Issue: Current scientific evidence for integrated community case management (iCCM) in Africa: findin","type":"article-journal","volume":"4"},"uris":["http://www.mendeley.com/documents/?uuid=1b8dc49f-28b6-4a76-882e-910b7cf4a0b5"]},{"id":"ITEM-24","itemData":{"author":[{"dropping-particle":"","family":"Village Reach","given":"","non-dropping-particle":"","parse-names":false,"suffix":""}],"id":"ITEM-24","issued":{"date-parts":[["2016"]]},"number-of-pages":"1-11","title":"Outsourcing Transport to Improve Health at the Last Mile : A Case Study The Long Road to Health","type":"report"},"uris":["http://www.mendeley.com/documents/?uuid=3870ba4f-09ab-4296-83a3-2cc02fb13f53"]}],"mendeley":{"formattedCitation":"(26,28,50,52–54,57,59,62–65,30,66–69,31,32,34,37,39,41,48)","plainTextFormattedCitation":"(26,28,50,52–54,57,59,62–65,30,66–69,31,32,34,37,39,41,48)","previouslyFormattedCitation":"(26,28,50,52–54,57,59,62–65,30,66–69,31,32,34,37,39,41,48)"},"properties":{"noteIndex":0},"schema":"https://github.com/citation-style-language/schema/raw/master/csl-citation.json"}</w:instrText>
            </w:r>
            <w:r w:rsidRPr="00DA7609">
              <w:rPr>
                <w:sz w:val="24"/>
                <w:szCs w:val="24"/>
                <w:u w:color="000000"/>
              </w:rPr>
              <w:fldChar w:fldCharType="separate"/>
            </w:r>
            <w:r w:rsidRPr="00DA7609">
              <w:rPr>
                <w:noProof/>
                <w:sz w:val="24"/>
                <w:szCs w:val="24"/>
                <w:u w:color="000000"/>
              </w:rPr>
              <w:t>(26,28,50,52–54,57,59,62–65,30,66–69,31,32,34,37,39,41,48)</w:t>
            </w:r>
            <w:r w:rsidRPr="00DA7609">
              <w:rPr>
                <w:sz w:val="24"/>
                <w:szCs w:val="24"/>
                <w:u w:color="000000"/>
              </w:rPr>
              <w:fldChar w:fldCharType="end"/>
            </w:r>
          </w:p>
        </w:tc>
      </w:tr>
      <w:tr w:rsidR="00DA7609" w:rsidRPr="00DA7609" w14:paraId="464094B0" w14:textId="77777777" w:rsidTr="00FE1ADC">
        <w:trPr>
          <w:cantSplit/>
          <w:trHeight w:val="557"/>
        </w:trPr>
        <w:tc>
          <w:tcPr>
            <w:cnfStyle w:val="001000000000" w:firstRow="0" w:lastRow="0" w:firstColumn="1" w:lastColumn="0" w:oddVBand="0" w:evenVBand="0" w:oddHBand="0" w:evenHBand="0" w:firstRowFirstColumn="0" w:firstRowLastColumn="0" w:lastRowFirstColumn="0" w:lastRowLastColumn="0"/>
            <w:tcW w:w="3369" w:type="dxa"/>
          </w:tcPr>
          <w:p w14:paraId="58629D8C" w14:textId="77777777" w:rsidR="00DA7609" w:rsidRPr="00DA7609" w:rsidRDefault="00DA7609" w:rsidP="00DA7609">
            <w:pPr>
              <w:spacing w:before="60" w:after="60"/>
              <w:ind w:hanging="2"/>
              <w:rPr>
                <w:noProof/>
                <w:sz w:val="24"/>
                <w:szCs w:val="24"/>
                <w:u w:val="single"/>
              </w:rPr>
            </w:pPr>
          </w:p>
        </w:tc>
        <w:tc>
          <w:tcPr>
            <w:tcW w:w="2143" w:type="dxa"/>
          </w:tcPr>
          <w:p w14:paraId="5A42E843"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noProof/>
                <w:sz w:val="24"/>
                <w:szCs w:val="24"/>
              </w:rPr>
            </w:pPr>
          </w:p>
        </w:tc>
        <w:tc>
          <w:tcPr>
            <w:tcW w:w="2834" w:type="dxa"/>
          </w:tcPr>
          <w:p w14:paraId="53D53B77"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i/>
                <w:iCs/>
                <w:sz w:val="24"/>
                <w:szCs w:val="24"/>
              </w:rPr>
            </w:pPr>
            <w:r w:rsidRPr="00DA7609">
              <w:rPr>
                <w:i/>
                <w:iCs/>
                <w:sz w:val="24"/>
                <w:szCs w:val="24"/>
                <w:u w:color="000000"/>
              </w:rPr>
              <w:t>Human resource management</w:t>
            </w:r>
          </w:p>
        </w:tc>
        <w:tc>
          <w:tcPr>
            <w:tcW w:w="3514" w:type="dxa"/>
          </w:tcPr>
          <w:p w14:paraId="36571800"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sz w:val="24"/>
                <w:szCs w:val="24"/>
              </w:rPr>
            </w:pPr>
            <w:r w:rsidRPr="00DA7609">
              <w:rPr>
                <w:sz w:val="24"/>
                <w:szCs w:val="24"/>
                <w:u w:color="000000"/>
              </w:rPr>
              <w:fldChar w:fldCharType="begin" w:fldLock="1"/>
            </w:r>
            <w:r w:rsidRPr="00DA7609">
              <w:rPr>
                <w:sz w:val="24"/>
                <w:szCs w:val="24"/>
                <w:u w:color="000000"/>
              </w:rPr>
              <w:instrText>ADDIN CSL_CITATION {"citationItems":[{"id":"ITEM-1","itemData":{"DOI":"10.1186/s12913-017-2723-0","ISBN":"1472-6963","PMID":"29183312","abstract":"BACKGROUND: Integrated community case management (iCCM) strategies aim to reach poor communities by providing timely access to treatment for malaria, pneumonia and diarrhoea for children under 5 years of age. Community health workers, known as Village Health Teams (VHTs) in Uganda, have been shown to be effective in hard-to-reach, underserved areas, but there is little evidence to support iCCM as an appropriate strategy in non-rural contexts. This study aimed to inform future iCCM implementation by exploring caregiver and VHT member perceptions of the value and effectiveness of iCCM in peri-urban settings in Uganda. METHODS: A qualitative evaluation was conducted in seven villages in Wakiso district, a rapidly urbanising area in central Uganda. Villages were purposively selected, spanning a range of peri-urban settlements experiencing rapid population change. In each village, rapid appraisal activities were undertaken separately with purposively selected caregivers (n = 85) and all iCCM-trained VHT members (n = 14), providing platforms for group discussions. Fifteen key informant interviews were also conducted with community leaders and VHT members. Thematic analysis was based on the 'Health Access Livelihoods Framework'. RESULTS: iCCM was perceived to facilitate timely treatment access and improve child health in peri-urban settings, often supplanting private clinics and traditional healers as first point of care. Relative to other health service providers, caregivers valued VHTs' free, proximal services, caring attitudes, perceived treatment quality, perceived competency and protocol use, and follow-up and referral services. VHT effectiveness was perceived to be restricted by inadequate diagnostics, limited newborn care, drug stockouts and VHT member absence - factors which drove utilisation of alternative providers. Low community engagement in VHT selection, lack of referral transport and poor availability of referral services also diminished perceived effectiveness. The iCCM strategy was widely perceived to result in economic savings and other livelihood benefits. CONCLUSIONS: In peri-urban areas, iCCM was perceived as an effective, well-utilised strategy, reflecting both VHT attributes and gaps in existing health services. Depending on health system resources and organisation, iCCM may be a useful transitional service delivery approach. Implementation in peri-urban areas should consider tailored community engagement strategies, adapted selection cr…","author":[{"dropping-particle":"","family":"Altaras","given":"R","non-dropping-particle":"","parse-names":false,"suffix":""},{"dropping-particle":"","family":"Montague","given":"M","non-dropping-particle":"","parse-names":false,"suffix":""},{"dropping-particle":"","family":"Graham","given":"K","non-dropping-particle":"","parse-names":false,"suffix":""},{"dropping-particle":"","family":"Strachan","given":"C E","non-dropping-particle":"","parse-names":false,"suffix":""},{"dropping-particle":"","family":"Senyonjo","given":"L","non-dropping-particle":"","parse-names":false,"suffix":""},{"dropping-particle":"","family":"King","given":"R","non-dropping-particle":"","parse-names":false,"suffix":""},{"dropping-particle":"","family":"Counihan","given":"H","non-dropping-particle":"","parse-names":false,"suffix":""},{"dropping-particle":"","family":"Mubiru","given":"D","non-dropping-particle":"","parse-names":false,"suffix":""},{"dropping-particle":"","family":"Källander","given":"K","non-dropping-particle":"","parse-names":false,"suffix":""},{"dropping-particle":"","family":"Meek","given":"S","non-dropping-particle":"","parse-names":false,"suffix":""},{"dropping-particle":"","family":"Tibenderana","given":"J","non-dropping-particle":"","parse-names":false,"suffix":""}],"container-title":"BMC Health Serv Res","edition":"2017/12/01","id":"ITEM-1","issue":"1","issued":{"date-parts":[["2017"]]},"language":"eng","note":"1472-6963\nAltaras, Robin\nMontague, Mark\nGraham, Kirstie\nStrachan, Clare E\nSenyonjo, Laura\nKing, Rebecca\nCounihan, Helen\nMubiru, Denis\nKällander, Karin\nMeek, Sylvia\nTibenderana, James\nComdis hsd/dfid/\nProgramme Partnership Arrangement/DFID/\nJournal Article\nBMC Health Serv Res. 2017 Nov 28;17(1):785. doi: 10.1186/s12913-017-2723-0.","page":"785","title":"Integrated community case management in a peri-urban setting: a qualitative evaluation in Wakiso District, Uganda","type":"article-journal","volume":"17"},"uris":["http://www.mendeley.com/documents/?uuid=bad45289-3c18-4eec-a183-47c5451246cd"]},{"id":"ITEM-2","itemData":{"author":[{"dropping-particle":"","family":"Village Reach","given":"","non-dropping-particle":"","parse-names":false,"suffix":""}],"id":"ITEM-2","issue":"October","issued":{"date-parts":[["2015"]]},"number-of-pages":"1-59","title":"Exploring New Distribution Models for Vaccines and other Health Commodities Adapted to the on the Ground Realities of the Equateur and Tshuapa Provinces , Democratic Republic of Congo","type":"report"},"uris":["http://www.mendeley.com/documents/?uuid=54537a97-5da5-3cc2-9f22-6bfb239fc036"]},{"id":"ITEM-3","itemData":{"ISBN":"9781920618315","author":[{"dropping-particle":"","family":"Doherty","given":"Tanya","non-dropping-particle":"","parse-names":false,"suffix":""},{"dropping-particle":"","family":"Besada","given":"D","non-dropping-particle":"","parse-names":false,"suffix":""},{"dropping-particle":"","family":"Zembe","given":"W","non-dropping-particle":"","parse-names":false,"suffix":""},{"dropping-particle":"","family":"Daniels","given":"K","non-dropping-particle":"","parse-names":false,"suffix":""},{"dropping-particle":"","family":"Kinney","given":"M","non-dropping-particle":"","parse-names":false,"suffix":""},{"dropping-particle":"","family":"Kerber","given":"K","non-dropping-particle":"","parse-names":false,"suffix":""},{"dropping-particle":"","family":"Daviaud","given":"E","non-dropping-particle":"","parse-names":false,"suffix":""},{"dropping-particle":"","family":"Rohde","given":"S","non-dropping-particle":"","parse-names":false,"suffix":""},{"dropping-particle":"","family":"Ngandu","given":"N","non-dropping-particle":"","parse-names":false,"suffix":""},{"dropping-particle":"","family":"Jackson","given":"D","non-dropping-particle":"","parse-names":false,"suffix":""}],"id":"ITEM-3","issued":{"date-parts":[["2014"]]},"title":"Report on the summative external evaluation of the Integrated Health System Strengthening programme in Ethiopia, Mali, Mozambique, Ghana, Malawi and Niger","type":"report"},"uris":["http://www.mendeley.com/documents/?uuid=94986425-7399-348b-95f8-c3ff8107c94a"]},{"id":"ITEM-4","itemData":{"author":[{"dropping-particle":"","family":"Project","given":"Deliver","non-dropping-particle":"","parse-names":false,"suffix":""}],"id":"ITEM-4","issued":{"date-parts":[["0"]]},"title":"Mozambique: Strengthening the Community Health Worker Supply Chain. Final Report, May 2014","type":"report"},"uris":["http://www.mendeley.com/documents/?uuid=47cad0d7-4598-36d0-94cc-6fc67ba55212"]},{"id":"ITEM-5","itemData":{"DOI":"10.1186/s12889-015-2525-4","ISSN":"14712458","PMID":"26608029","abstract":"Background: The integrated Community Case Management (iCCM) of childhood illnesses strategy has been adopted world over to reduce child related ill health and mortality. Community Health workers (CHWs) who implement this strategy need a regular supply of drugs to effectively treat children under 5 years with malaria, pneumonia and diarrhea. In this paper, we report the prevalence and factors influencing availability of medicines for managing malaria, pneumonia and diarrhea in communities in central Uganda. Methods: A cross sectional study was conducted among 303 CHWs in Wakiso district in central Uganda. Eligible CHWs from two randomly selected Health Sub Districts (HSDs) were interviewed. Questionnaires, check lists, record reviews were used to collect information on CHW background characteristics, CHW's prescription behaviors, health system support factors and availability of iCCM drugs. Multivariable logistic regression analysis was done to assess factors associated with availability of iCCM drugs. Results: Out of 300 CHWs, 239 (79.9 %) were females and mean age was 42.1 (standard deviation =11.1 years). The prevalence of iCCM drug availability was 8.3 % and 33 respondents (11 %) had no drugs at all. Factors associated with iCCM drug availability were; being supervised within the last month (adjusted OR = 3.70, 95 % CI 1.22-11.24), appropriate drug prescriptions (adjusted OR = 3.71, 95 % CI 1.38-9.96), regular submission of drug reports (adjusted OR = 4.02, 95 % CI 1.62-10.10) and having a respiratory timer as a diagnostic tool (adjusted OR =3.11, 95 % CI 1.08-9.00). Conclusions: The low medicine stocks for the community management of childhood illnesses calls for strengthening of CHW supervision, medicine prescription and reporting, and increasing availability of functional diagnostic tools.","author":[{"dropping-particle":"","family":"Bagonza","given":"James","non-dropping-particle":"","parse-names":false,"suffix":""},{"dropping-particle":"","family":"Rutebemberwa","given":"Elizeus","non-dropping-particle":"","parse-names":false,"suffix":""},{"dropping-particle":"","family":"Eckmanns","given":"Tim","non-dropping-particle":"","parse-names":false,"suffix":""},{"dropping-particle":"","family":"Ekirapa-Kiracho","given":"Elizabeth","non-dropping-particle":"","parse-names":false,"suffix":""}],"container-title":"BMC Public Health","id":"ITEM-5","issue":"1","issued":{"date-parts":[["2015","11","25"]]},"page":"1180","publisher":"BioMed Central Ltd.","title":"What influences availability of medicines for the community management of childhood illnesses in central Uganda? Implications for scaling up the integrated community case management programme Health policies, systems and management in low and middle-income countries","type":"article-journal","volume":"15"},"uris":["http://www.mendeley.com/documents/?uuid=e4fd350c-8976-36c1-b521-7f6349bd5696"]},{"id":"ITEM-6","itemData":{"author":[{"dropping-particle":"","family":"Global Fund","given":"","non-dropping-particle":"","parse-names":false,"suffix":""},{"dropping-particle":"","family":"WHO","given":"","non-dropping-particle":"","parse-names":false,"suffix":""},{"dropping-particle":"","family":"UNICEF","given":"","non-dropping-particle":"","parse-names":false,"suffix":""}],"id":"ITEM-6","issued":{"date-parts":[["2018"]]},"title":"Integrated Community Case Management (iCCM) in Sub-Saharan Africa: Successes &amp; Challenges with Access, Speed &amp; Quality Thematic review report","type":"report"},"uris":["http://www.mendeley.com/documents/?uuid=cdd8cc09-fda0-3226-b6c3-baca7bae910b"]},{"id":"ITEM-7","itemData":{"author":[{"dropping-particle":"","family":"Anand","given":"A","non-dropping-particle":"","parse-names":false,"suffix":""},{"dropping-particle":"","family":"Favero","given":"R","non-dropping-particle":"","parse-names":false,"suffix":""},{"dropping-particle":"","family":"Dentinger","given":"C","non-dropping-particle":"","parse-names":false,"suffix":""},{"dropping-particle":"","family":"Ralaivaomisa","given":"A","non-dropping-particle":"","parse-names":false,"suffix":""},{"dropping-particle":"","family":"Ramamonjisoa","given":"S","non-dropping-particle":"","parse-names":false,"suffix":""},{"dropping-particle":"","family":"Rabozakandraina","given":"O","non-dropping-particle":"","parse-names":false,"suffix":""},{"dropping-particle":"","family":"Razafimandimby","given":"E","non-dropping-particle":"","parse-names":false,"suffix":""},{"dropping-particle":"","family":"Razafindrakoto","given":"J","non-dropping-particle":"","parse-names":false,"suffix":""},{"dropping-particle":"","family":"Katherine","given":"W","non-dropping-particle":"","parse-names":false,"suffix":""},{"dropping-particle":"","family":"Steinhardt","given":"L","non-dropping-particle":"","parse-names":false,"suffix":""},{"dropping-particle":"","family":"Gomez","given":"P","non-dropping-particle":"","parse-names":false,"suffix":""},{"dropping-particle":"","family":"Rabary","given":"M","non-dropping-particle":"","parse-names":false,"suffix":""},{"dropping-particle":"","family":"Andriamananjara","given":"M N","non-dropping-particle":"","parse-names":false,"suffix":""},{"dropping-particle":"","family":"Mioramalala","given":"S A","non-dropping-particle":"","parse-names":false,"suffix":""},{"dropping-particle":"","family":"Rakotovao","given":"J P","non-dropping-particle":"","parse-names":false,"suffix":""}],"container-title":"Malaria Journal","id":"ITEM-7","issue":"351","issued":{"date-parts":[["2020"]]},"note":"Using Smart Source Parsing\n(01 October 2020). 31 ref","title":"Malaria case management and elimination readiness in health facilities of five districts of Madagascar in 2018","type":"article-journal","volume":"19"},"uris":["http://www.mendeley.com/documents/?uuid=6096a079-7318-418d-9adf-96cd567cb659"]},{"id":"ITEM-8","itemData":{"DOI":"10.1186/1472-6963-13-55","ISBN":"1472-6963 (Electronic)\\r1472-6963 (Linking)","ISSN":"1472-6963","PMID":"23394591","abstract":"ABSTRACT: BACKGROUND: National community-based health worker (CBHW) programs often face challenges in ensuring that these remote workers are adequately trained, equipped and supervised. As governments increasingly deploy CBHWs to improve access to primary health care, there is an urgent need to assess how well health systems are supporting CBHWs to provide high quality care. METHODS: This paper presents the results of a mixed-methods assessment of selected health systems supports (supervision, drug supply, and job aids) for a national community case management (CCM) program for childhood illness in Malawi during the first year of implementation. We collected data on the types and levels of drug supply and supervision through a cross-sectional survey of a random sample of Health Surveillance Assistants (HSAs) providing CCM services in six districts. We then conducted in-depth interviews and focus group discussions with program managers and HSAs, respectively, to gain an understanding of the barriers and facilitating factors for delivering health systems supports for CCM. RESULTS: Although the CCM training and job aid were well received by stakeholders, HSAs who participated in the first CCM training sessions often waited up to 4 months before receiving their initial supply of drugs and first supervision visits. One year after training began, 69 % of HSAs had all essential CCM drugs in stock and only 38 % of HSAs reported a CCM supervision visit in the 3 months prior to the survey. Results of the qualitative assessment indicated that drug supply was constrained by travel distance and stock outs at health facilities, and that the initial supervision system relied on clinicians who were able to spend only limited time away from clinical duties. Proactive district managers trained and enrolled HSAs' routine supervisors to provide CCM supervision. CONCLUSIONS: Malawi's CCM program is promising, but health systems supports must be improved to ensure consistent coverage and quality. Mixed-methods implementation research provided the Ministry of Health with actionable feedback that it is using to adapt program policies and improve performance.","author":[{"dropping-particle":"","family":"Callaghan-Koru","given":"Jennifer a","non-dropping-particle":"","parse-names":false,"suffix":""},{"dropping-particle":"","family":"Gilroy","given":"Kate","non-dropping-particle":"","parse-names":false,"suffix":""},{"dropping-particle":"","family":"Hyder","given":"Adnan a","non-dropping-particle":"","parse-names":false,"suffix":""},{"dropping-particle":"","family":"George","given":"Asha","non-dropping-particle":"","parse-names":false,"suffix":""},{"dropping-particle":"","family":"Nsona","given":"Humphreys","non-dropping-particle":"","parse-names":false,"suffix":""},{"dropping-particle":"","family":"Mtimuni","given":"Angella","non-dropping-particle":"","parse-names":false,"suffix":""},{"dropping-particle":"","family":"Zakeyo","given":"Bernie","non-dropping-particle":"","parse-names":false,"suffix":""},{"dropping-particle":"","family":"Mayani","given":"Josiah","non-dropping-particle":"","parse-names":false,"suffix":""},{"dropping-particle":"","family":"Cardemil","given":"Cristina","non-dropping-particle":"","parse-names":false,"suffix":""},{"dropping-particle":"","family":"Bryce","given":"Jennifer","non-dropping-particle":"","parse-names":false,"suffix":""}],"container-title":"BMC health services research","id":"ITEM-8","issue":"1","issued":{"date-parts":[["2013"]]},"page":"55","title":"Health systems supports for community case management of childhood illness: lessons from an assessment of early implementation in Malawi.","type":"article-journal","volume":"13"},"uris":["http://www.mendeley.com/documents/?uuid=365c7ead-25b1-4b3a-b3fe-1e61a83ab885"]},{"id":"ITEM-9","itemData":{"author":[{"dropping-particle":"","family":"Chandani","given":"Y","non-dropping-particle":"","parse-names":false,"suffix":""},{"dropping-particle":"","family":"Noel","given":"M","non-dropping-particle":"","parse-names":false,"suffix":""},{"dropping-particle":"","family":"Andersson","given":"S","non-dropping-particle":"","parse-names":false,"suffix":""},{"dropping-particle":"","family":"Ombeva","given":"A","non-dropping-particle":"","parse-names":false,"suffix":""},{"dropping-particle":"","family":"Shieshia","given":"M","non-dropping-particle":"","parse-names":false,"suffix":""},{"dropping-particle":"","family":"Heaton","given":"A","non-dropping-particle":"","parse-names":false,"suffix":""},{"dropping-particle":"","family":"Felling","given":"B","non-dropping-particle":"","parse-names":false,"suffix":""}],"container-title":"American Journal of Tropical Medicine and Hygiene","id":"ITEM-9","issue":"5","issued":{"date-parts":[["2013"]]},"note":"62nd Annual Meeting of the American Society of Tropical Medicine and Hygiene, ASTMH 2012. Washington, DC United States","page":"327-328","title":"Improving community level supply chain performance using team-led, data driven solutions in Malawi and Rwanda","type":"article-journal","volume":"89"},"uris":["http://www.mendeley.com/documents/?uuid=46e35ddf-8110-443c-ab9a-dec379125df5"]},{"id":"ITEM-10","itemData":{"DOI":"10.1186/1475-2875-12-95","ISSN":"14752875","abstract":"BACKGROUND: Health workers in sub-Saharan Africa can now diagnose and treat malaria in the field, using rapid diagnostic tests and artemisinin-based combination therapy in areas without microscopy and widespread resistance to previously effective drugs.\\n\\nOBJECTIVE: This study evaluates communities' perceptions of a new community case management of malaria programme in the district of Saraya, south-eastern Senegal, the effectiveness of lay health worker trainings, and the availability of rapid diagnostic tests and artemisinin-based combination therapy in the field.\\n\\nMETHODS: The study employed qualitative and quantitative methods including focus groups with villagers, and pre- and post-training questionnaires with lay health workers.\\n\\nRESULTS: Communities approved of the community case management programme, but expressed concern about other general barriers to care, particularly transportation challenges. Most lay health workers acquired important skills, but a sizeable minority did not understand the rapid diagnostic test algorithm and were not able to correctly prescribe arteminisin-based combination therapy soon after the training. Further, few women lay health workers participated in the programme. Finally, the study identified stock-outs of rapid tests and anti-malaria medication products in over half of the programme sites two months after the start of the programme, thought due to a regional shortage.\\n\\nCONCLUSION: This study identified barriers to implementation of the community case management of malaria programme in Saraya that include lay health worker training, low numbers of women participants, and generalized stock-outs. These barriers warrant investigation into possible solutions of relevance to community case management generally.","author":[{"dropping-particle":"","family":"Blanas","given":"Demetri A.","non-dropping-particle":"","parse-names":false,"suffix":""},{"dropping-particle":"","family":"Ndiaye","given":"Youssoupha","non-dropping-particle":"","parse-names":false,"suffix":""},{"dropping-particle":"","family":"Nichols","given":"Kim","non-dropping-particle":"","parse-names":false,"suffix":""},{"dropping-particle":"","family":"Jensen","given":"Andrew","non-dropping-particle":"","parse-names":false,"suffix":""},{"dropping-particle":"","family":"Siddiqui","given":"Ammar","non-dropping-particle":"","parse-names":false,"suffix":""},{"dropping-particle":"","family":"Hennig","given":"Nils","non-dropping-particle":"","parse-names":false,"suffix":""}],"container-title":"Malaria Journal","id":"ITEM-10","issue":"1","issued":{"date-parts":[["2013"]]},"title":"Barriers to community case management of malaria in Saraya, Senegal: Training, and supply-chains","type":"article-journal","volume":"12"},"uris":["http://www.mendeley.com/documents/?uuid=7f56aaba-97ed-32a2-9d1e-e2ae1c41390f"]},{"id":"ITEM-11","itemData":{"author":[{"dropping-particle":"","family":"Miller","given":"N P","non-dropping-particle":"","parse-names":false,"suffix":""},{"dropping-particle":"","family":"Zunong","given":"N","non-dropping-particle":"","parse-names":false,"suffix":""},{"dropping-particle":"","family":"Al-Sorouri","given":"T A A","non-dropping-particle":"","parse-names":false,"suffix":""},{"dropping-particle":"","family":"Alqadasi","given":"Y M","non-dropping-particle":"","parse-names":false,"suffix":""},{"dropping-particle":"","family":"Ashraf","given":"S","non-dropping-particle":"","parse-names":false,"suffix":""},{"dropping-particle":"","family":"Siameja","given":"C","non-dropping-particle":"","parse-names":false,"suffix":""}],"container-title":"Journal of Global Health","id":"ITEM-11","issue":"2","issued":{"date-parts":[["2020"]]},"note":"Using Smart Source Parsing\n24 ref","title":"Implementing integrated community case management during conflict in Yemen. (Research Theme: Community health in emergencies.)","type":"article-journal","volume":"10"},"uris":["http://www.mendeley.com/documents/?uuid=43c222ef-9049-43aa-a753-2d4b57b7c828"]},{"id":"ITEM-12","itemData":{"author":[{"dropping-particle":"","family":"Printz","given":"N","non-dropping-particle":"","parse-names":false,"suffix":""}],"container-title":"American Journal of Tropical Medicine and Hygiene","id":"ITEM-12","issued":{"date-parts":[["2015"]]},"note":"64th Annual Meeting of the American Society of Tropical Medicine and Hygiene, ASTMH 2015. United States","page":"294","title":"Availability of malaria products at the last mile: An analysis of facility-and community-level logistics data","type":"article-journal","volume":"93 (4 Supp"},"uris":["http://www.mendeley.com/documents/?uuid=ac089638-8a04-4c74-8633-36eab21bda80"]},{"id":"ITEM-13","itemData":{"DOI":"10.1016/j.contraception.2014.01.005","ISBN":"0010-7824","ISSN":"18790518","PMID":"24565737","abstract":"Objective Sayana?? Press (SP) is a unique injectable contraceptive (depot medroxyprogesterone acetate, or DMPA) administered subcutaneously in the UnijectTM injection system.1 SP simplifies the injection process; it requires no assembly of components and is easily disposable. This new technology appears to be well suited for community-based delivery of injectable contraception. The study objective was to evaluate SP management and administration in low-resource settings, focusing on how the delivery logistics, administration time, storage and waste-management requirements compare to the traditional intramuscular DMPA injectable (DMPA IM). Study design We conducted 58 semistructured interviews with clinic providers and community health workers in Senegal and Uganda to identify the merits, challenges and appeal of SP relative to DMPA IM. Results Providers identified logistical challenges with the management and administration of DMPA IM, including stock outs, transportation, storage constraints, and, in a few instances, waste disposal. Most providers (between 63% and 88%, depending on the logistics issue) do not expect SP to either aggravate or solve those problems. Some envisioned that SP could facilitate supply management (5%), storage (11%) and waste disposal (22%). The all-in-one packaging of SP was perceived to reduce the incidence of mismatched supplies (syringes and vials), and its smaller size was expected to ease space constraints and reduce the frequency of safety box incineration. Conclusion Adding SP to the method mix is unlikely to have a profound impact on clinic operations but may lessen logistical problems related to supply, storage and waste management. Implications Community health workers and clinic providers who administer SP may see some modest improvements in service delivery logistics. Particularly in settings where service delivery logistical challenges are more pronounced, offering SP may facilitate injectable contraceptive delivery. ?? 2014 Elsevier Inc.","author":[{"dropping-particle":"","family":"Cover","given":"Jane","non-dropping-particle":"","parse-names":false,"suffix":""},{"dropping-particle":"","family":"Blanton","given":"Elizabeth","non-dropping-particle":"","parse-names":false,"suffix":""},{"dropping-particle":"","family":"Ndiaye","given":"Dieynaba","non-dropping-particle":"","parse-names":false,"suffix":""},{"dropping-particle":"","family":"Walugembe","given":"Fiona","non-dropping-particle":"","parse-names":false,"suffix":""},{"dropping-particle":"","family":"Lamontagne","given":"D. Scott","non-dropping-particle":"","parse-names":false,"suffix":""}],"container-title":"Contraception","id":"ITEM-13","issue":"5","issued":{"date-parts":[["2014"]]},"page":"374-378","publisher":"Elsevier Inc.","title":"Operational assessments of Sayana?? Press provision in Senegal and Uganda","type":"article-journal","volume":"89"},"uris":["http://www.mendeley.com/documents/?uuid=037bade8-058a-43e6-aeba-1d943fd1aa5b"]},{"id":"ITEM-14","itemData":{"DOI":"10.1186/1475-2875-13-229","abstract":"Background: Malaria still causes high morbidity and mortality around the world, mainly in sub-Saharan Africa. Community case management of malaria (CCMm) by community health workers (CHWs) is one of the strategies to combat the disease by increasing access to malaria treatment. Currently, the World Health Organization recommends to treat only confirmed malaria cases, rather than to give presumptive treatment. Objectives: This systematic review aims to provide a comprehensive overview of the success or failure of critical steps in CCMm with rapid diagnostic tests (RDTs). Methods: The databases of Medline, Embase, the Cochrane Library, the library of the 'Malaria in Pregnancy' consortium, and Web of Science were used to find studies on CCMm with RDTs in SSA. Studies were selected according to inclusion and exclusion criteria, subsequently risk of bias was assessed and data extracted. Results: 27 articles were included. CHWs were able to correctly perform RDTs, although specificity levels were variable. CHWs showed high adherence to test results, but in some studies a substantial group of RDT negatives received treatment. High risk of bias was found for morbidity and mortality studies, therefore, effects on morbidity and mortality could not be estimated. Uptake and acceptance by the community was high, however negative-tested patients did not always follow up referral advice. Drug or RDT stock-outs and limited information on CHW motivation are bottlenecks for sustainable implementation. RDT-based CCMm was found to be cost effective for the correct treatment of malaria in areas with low to medium malaria prevalence, but study designs were not optimal. Discussion: Trained CHWs can deliver high quality care for malaria using RDTs. However, lower RDT specificity could lead to missed diagnoses of non-malarial causes of fever. Other threats for CCMm are non-adherence to negative test results and low referral completion. Integrated CCM may solve some of these issues. Unfortunately, morbidity and mortality are not adequately investigated. More information is needed about influencing sociocultural aspects, CHW motivation and stock supply. Conclusion: CCMm is generally well executed by CHWs, but there are several barriers for its success. Integrated CCM may overcome some of these barriers.","author":[{"dropping-particle":"","family":"Ruizendaal","given":"E","non-dropping-particle":"","parse-names":false,"suffix":""},{"dropping-particle":"","family":"Dierickx","given":"S","non-dropping-particle":"","parse-names":false,"suffix":""},{"dropping-particle":"","family":"Grietens","given":"K P","non-dropping-particle":"","parse-names":false,"suffix":""},{"dropping-particle":"","family":"Schallig","given":"Hdfh","non-dropping-particle":"","parse-names":false,"suffix":""},{"dropping-particle":"","family":"Pagnoni","given":"F","non-dropping-particle":"","parse-names":false,"suffix":""},{"dropping-particle":"","family":"Mens","given":"P F","non-dropping-particle":"","parse-names":false,"suffix":""}],"container-title":"Malaria Journal","id":"ITEM-14","issued":{"date-parts":[["2014"]]},"note":"Ruizendaal, Esmee Dierickx, Susan Grietens, Koen Peeters Schallig, Henk D. F. H. Pagnoni, Franco Mens, Petra F.\nRuizendaal, Esmee/AAG-6157-2020; Grietens, Koen Peeters/G-7028-2019\nGrietens, Koen Peeters/0000-0001-6570-9887; Dierickx, Susan/0000-0003-3140-0771\n1475-2875","title":"Success or failure of critical steps in community case management of malaria with rapid diagnostic tests: a systematic review","type":"article-journal","volume":"13"},"uris":["http://www.mendeley.com/documents/?uuid=7e01a4f1-46a6-44a2-9158-f208a3108728"]},{"id":"ITEM-15","itemData":{"author":[{"dropping-particle":"","family":"Village Reach","given":"","non-dropping-particle":"","parse-names":false,"suffix":""}],"id":"ITEM-15","issued":{"date-parts":[["2016"]]},"number-of-pages":"1-11","title":"Outsourcing Transport to Improve Health at the Last Mile : A Case Study The Long Road to Health","type":"report"},"uris":["http://www.mendeley.com/documents/?uuid=3870ba4f-09ab-4296-83a3-2cc02fb13f53"]}],"mendeley":{"formattedCitation":"(26,28,65,66,68–70,31,32,35,39,48,54,57,58)","plainTextFormattedCitation":"(26,28,65,66,68–70,31,32,35,39,48,54,57,58)","previouslyFormattedCitation":"(26,28,65,66,68–70,31,32,35,39,48,54,57,58)"},"properties":{"noteIndex":0},"schema":"https://github.com/citation-style-language/schema/raw/master/csl-citation.json"}</w:instrText>
            </w:r>
            <w:r w:rsidRPr="00DA7609">
              <w:rPr>
                <w:sz w:val="24"/>
                <w:szCs w:val="24"/>
                <w:u w:color="000000"/>
              </w:rPr>
              <w:fldChar w:fldCharType="separate"/>
            </w:r>
            <w:r w:rsidRPr="00DA7609">
              <w:rPr>
                <w:noProof/>
                <w:sz w:val="24"/>
                <w:szCs w:val="24"/>
                <w:u w:color="000000"/>
              </w:rPr>
              <w:t>(26,28,65,66,68–70,31,32,35,39,48,54,57,58)</w:t>
            </w:r>
            <w:r w:rsidRPr="00DA7609">
              <w:rPr>
                <w:sz w:val="24"/>
                <w:szCs w:val="24"/>
                <w:u w:color="000000"/>
              </w:rPr>
              <w:fldChar w:fldCharType="end"/>
            </w:r>
          </w:p>
        </w:tc>
      </w:tr>
      <w:tr w:rsidR="00DA7609" w:rsidRPr="00DA7609" w14:paraId="488CCB91" w14:textId="77777777" w:rsidTr="00FE1ADC">
        <w:trPr>
          <w:cnfStyle w:val="000000100000" w:firstRow="0" w:lastRow="0" w:firstColumn="0" w:lastColumn="0" w:oddVBand="0" w:evenVBand="0" w:oddHBand="1" w:evenHBand="0" w:firstRowFirstColumn="0" w:firstRowLastColumn="0" w:lastRowFirstColumn="0" w:lastRowLastColumn="0"/>
          <w:cantSplit/>
          <w:trHeight w:val="557"/>
        </w:trPr>
        <w:tc>
          <w:tcPr>
            <w:cnfStyle w:val="001000000000" w:firstRow="0" w:lastRow="0" w:firstColumn="1" w:lastColumn="0" w:oddVBand="0" w:evenVBand="0" w:oddHBand="0" w:evenHBand="0" w:firstRowFirstColumn="0" w:firstRowLastColumn="0" w:lastRowFirstColumn="0" w:lastRowLastColumn="0"/>
            <w:tcW w:w="3369" w:type="dxa"/>
          </w:tcPr>
          <w:p w14:paraId="3694F1DD" w14:textId="77777777" w:rsidR="00DA7609" w:rsidRPr="00DA7609" w:rsidRDefault="00DA7609" w:rsidP="00DA7609">
            <w:pPr>
              <w:spacing w:before="60" w:after="60"/>
              <w:ind w:hanging="2"/>
              <w:rPr>
                <w:noProof/>
                <w:sz w:val="24"/>
                <w:szCs w:val="24"/>
                <w:u w:val="single"/>
              </w:rPr>
            </w:pPr>
          </w:p>
        </w:tc>
        <w:tc>
          <w:tcPr>
            <w:tcW w:w="2143" w:type="dxa"/>
          </w:tcPr>
          <w:p w14:paraId="0B0F8188"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sz w:val="24"/>
                <w:szCs w:val="24"/>
              </w:rPr>
            </w:pPr>
            <w:r w:rsidRPr="00DA7609">
              <w:rPr>
                <w:b/>
                <w:bCs/>
                <w:sz w:val="24"/>
                <w:szCs w:val="24"/>
              </w:rPr>
              <w:t>Storage (7)</w:t>
            </w:r>
          </w:p>
        </w:tc>
        <w:tc>
          <w:tcPr>
            <w:tcW w:w="2834" w:type="dxa"/>
          </w:tcPr>
          <w:p w14:paraId="6CE8F481"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sz w:val="24"/>
                <w:szCs w:val="24"/>
                <w:u w:color="000000"/>
              </w:rPr>
            </w:pPr>
          </w:p>
        </w:tc>
        <w:tc>
          <w:tcPr>
            <w:tcW w:w="3514" w:type="dxa"/>
          </w:tcPr>
          <w:p w14:paraId="3FF8D83F"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sz w:val="24"/>
                <w:szCs w:val="24"/>
                <w:u w:color="000000"/>
              </w:rPr>
            </w:pPr>
            <w:r w:rsidRPr="00DA7609">
              <w:rPr>
                <w:sz w:val="24"/>
                <w:szCs w:val="24"/>
              </w:rPr>
              <w:fldChar w:fldCharType="begin" w:fldLock="1"/>
            </w:r>
            <w:r w:rsidRPr="00DA7609">
              <w:rPr>
                <w:sz w:val="24"/>
                <w:szCs w:val="24"/>
              </w:rPr>
              <w:instrText>ADDIN CSL_CITATION {"citationItems":[{"id":"ITEM-1","itemData":{"author":[{"dropping-particle":"","family":"Surakat","given":"O A","non-dropping-particle":"","parse-names":false,"suffix":""},{"dropping-particle":"","family":"Sam-Wobo","given":"S O","non-dropping-particle":"","parse-names":false,"suffix":""},{"dropping-particle":"","family":"Ademolu","given":"K O","non-dropping-particle":"","parse-names":false,"suffix":""},{"dropping-particle":"","family":"Adekunle","given":"M F","non-dropping-particle":"","parse-names":false,"suffix":""},{"dropping-particle":"","family":"Adekunle","given":"O N","non-dropping-particle":"","parse-names":false,"suffix":""},{"dropping-particle":"","family":"Monsuru","given":"A A","non-dropping-particle":"","parse-names":false,"suffix":""},{"dropping-particle":"","family":"Awoyale","given":"A K","non-dropping-particle":"","parse-names":false,"suffix":""},{"dropping-particle":"","family":"Oyinloye","given":"N","non-dropping-particle":"","parse-names":false,"suffix":""},{"dropping-particle":"","family":"Omitola","given":"O O","non-dropping-particle":"","parse-names":false,"suffix":""},{"dropping-particle":"","family":"Bankole","given":"S O","non-dropping-particle":"","parse-names":false,"suffix":""},{"dropping-particle":"","family":"Ososanya","given":"A","non-dropping-particle":"","parse-names":false,"suffix":""},{"dropping-particle":"","family":"Adekola","given":"F","non-dropping-particle":"","parse-names":false,"suffix":""}],"container-title":"Infection, Disease and Health","id":"ITEM-1","issue":"3","issued":{"date-parts":[["2018"]]},"page":"137-145","title":"Assessment of community knowledge and participation in onchocerciasis programme, challenges in ivermectin drug delivery, distribution and non-compliance in Ogun State, southwest Nigeria","type":"article-journal","volume":"23"},"uris":["http://www.mendeley.com/documents/?uuid=fa2b3445-5b26-42fb-b9f0-3729730f653d"]},{"id":"ITEM-2","itemData":{"author":[{"dropping-particle":"","family":"Anand","given":"A","non-dropping-particle":"","parse-names":false,"suffix":""},{"dropping-particle":"","family":"Favero","given":"R","non-dropping-particle":"","parse-names":false,"suffix":""},{"dropping-particle":"","family":"Dentinger","given":"C","non-dropping-particle":"","parse-names":false,"suffix":""},{"dropping-particle":"","family":"Ralaivaomisa","given":"A","non-dropping-particle":"","parse-names":false,"suffix":""},{"dropping-particle":"","family":"Ramamonjisoa","given":"S","non-dropping-particle":"","parse-names":false,"suffix":""},{"dropping-particle":"","family":"Rabozakandraina","given":"O","non-dropping-particle":"","parse-names":false,"suffix":""},{"dropping-particle":"","family":"Razafimandimby","given":"E","non-dropping-particle":"","parse-names":false,"suffix":""},{"dropping-particle":"","family":"Razafindrakoto","given":"J","non-dropping-particle":"","parse-names":false,"suffix":""},{"dropping-particle":"","family":"Katherine","given":"W","non-dropping-particle":"","parse-names":false,"suffix":""},{"dropping-particle":"","family":"Steinhardt","given":"L","non-dropping-particle":"","parse-names":false,"suffix":""},{"dropping-particle":"","family":"Gomez","given":"P","non-dropping-particle":"","parse-names":false,"suffix":""},{"dropping-particle":"","family":"Rabary","given":"M","non-dropping-particle":"","parse-names":false,"suffix":""},{"dropping-particle":"","family":"Andriamananjara","given":"M N","non-dropping-particle":"","parse-names":false,"suffix":""},{"dropping-particle":"","family":"Mioramalala","given":"S A","non-dropping-particle":"","parse-names":false,"suffix":""},{"dropping-particle":"","family":"Rakotovao","given":"J P","non-dropping-particle":"","parse-names":false,"suffix":""}],"container-title":"Malaria Journal","id":"ITEM-2","issue":"351","issued":{"date-parts":[["2020"]]},"note":"Using Smart Source Parsing\n(01 October 2020). 31 ref","title":"Malaria case management and elimination readiness in health facilities of five districts of Madagascar in 2018","type":"article-journal","volume":"19"},"uris":["http://www.mendeley.com/documents/?uuid=6096a079-7318-418d-9adf-96cd567cb659"]},{"id":"ITEM-3","itemData":{"DOI":"10.1016/j.contraception.2014.01.005","ISBN":"0010-7824","ISSN":"18790518","PMID":"24565737","abstract":"Objective Sayana?? Press (SP) is a unique injectable contraceptive (depot medroxyprogesterone acetate, or DMPA) administered subcutaneously in the UnijectTM injection system.1 SP simplifies the injection process; it requires no assembly of components and is easily disposable. This new technology appears to be well suited for community-based delivery of injectable contraception. The study objective was to evaluate SP management and administration in low-resource settings, focusing on how the delivery logistics, administration time, storage and waste-management requirements compare to the traditional intramuscular DMPA injectable (DMPA IM). Study design We conducted 58 semistructured interviews with clinic providers and community health workers in Senegal and Uganda to identify the merits, challenges and appeal of SP relative to DMPA IM. Results Providers identified logistical challenges with the management and administration of DMPA IM, including stock outs, transportation, storage constraints, and, in a few instances, waste disposal. Most providers (between 63% and 88%, depending on the logistics issue) do not expect SP to either aggravate or solve those problems. Some envisioned that SP could facilitate supply management (5%), storage (11%) and waste disposal (22%). The all-in-one packaging of SP was perceived to reduce the incidence of mismatched supplies (syringes and vials), and its smaller size was expected to ease space constraints and reduce the frequency of safety box incineration. Conclusion Adding SP to the method mix is unlikely to have a profound impact on clinic operations but may lessen logistical problems related to supply, storage and waste management. Implications Community health workers and clinic providers who administer SP may see some modest improvements in service delivery logistics. Particularly in settings where service delivery logistical challenges are more pronounced, offering SP may facilitate injectable contraceptive delivery. ?? 2014 Elsevier Inc.","author":[{"dropping-particle":"","family":"Cover","given":"Jane","non-dropping-particle":"","parse-names":false,"suffix":""},{"dropping-particle":"","family":"Blanton","given":"Elizabeth","non-dropping-particle":"","parse-names":false,"suffix":""},{"dropping-particle":"","family":"Ndiaye","given":"Dieynaba","non-dropping-particle":"","parse-names":false,"suffix":""},{"dropping-particle":"","family":"Walugembe","given":"Fiona","non-dropping-particle":"","parse-names":false,"suffix":""},{"dropping-particle":"","family":"Lamontagne","given":"D. Scott","non-dropping-particle":"","parse-names":false,"suffix":""}],"container-title":"Contraception","id":"ITEM-3","issue":"5","issued":{"date-parts":[["2014"]]},"page":"374-378","publisher":"Elsevier Inc.","title":"Operational assessments of Sayana?? Press provision in Senegal and Uganda","type":"article-journal","volume":"89"},"uris":["http://www.mendeley.com/documents/?uuid=037bade8-058a-43e6-aeba-1d943fd1aa5b"]},{"id":"ITEM-4","itemData":{"DOI":"10.1080/13625187.2017.1394453","ISBN":"1362-5187","abstract":"Purpose: To identify and assess factors determining the functioning of supply chain systems for modern contraception in low-and middle-income countries (LMICs), and to identify challenges contributing to contraception stockouts that may lead to unmet need. Materials and methods: Scientific databases and grey literature were searched including Database of Abstracts of Reviews of Effectiveness (DARE), PubMed, MEDLINE, POPLINE, CINAHL, Academic Search Complete, Science Direct, Web of Science, Cochrane Central, Google Scholar, WHO databases and websites of key international organisations. Results: Studies indicated that supply chain system inefficiencies significantly affect availability of modern FP and contraception commodities in LMICs, especially in rural public facilities where distribution barriers may be acute. Supply chain failures or bottlenecks may be attributed to: weak and poorly institutionalized logistic management information systems (LMIS), poor physical infrastructures in LMICs, lack of trained and dedicated staff for supply chain management, inadequate funding, and rigid government policies on task sharing. However, there is evidence that implementing effective LMISs and involving public and private providers will distribution channels resulted in reduction in medical commodities' stockout rates. Conclusions: Supply chain bottlenecks contribute significantly to persistent high stockout rates for modern contraceptives in LMICs. Interventions aimed at enhancing uptake of contraceptives to reduce the problem of unmet need in LMICs should make strong commitments towards strengthening these countries' health commodities supply chain management systems. Current evidence is limited and additional, and well-designed implementation research on contraception supply chain systems is warranted to gain further understanding and insights on the determinants of supply chain bottlenecks and their impact on stockouts of contraception commodities.","author":[{"dropping-particle":"","family":"Mukasa","given":"B","non-dropping-particle":"","parse-names":false,"suffix":""},{"dropping-particle":"","family":"Ali","given":"M","non-dropping-particle":"","parse-names":false,"suffix":""},{"dropping-particle":"","family":"Farron","given":"M","non-dropping-particle":"","parse-names":false,"suffix":""},{"dropping-particle":"","family":"Weerdt","given":"R","non-dropping-particle":"Van de","parse-names":false,"suffix":""}],"container-title":"European Journal of Contraception and Reproductive Health Care","id":"ITEM-4","issue":"5","issued":{"date-parts":[["2017"]]},"note":"Mukasa, Bakali Ali, Moazzam Farron, Madeline Van de Weerdt, Renee\nAli, Moazzam/0000-0001-6949-8976\n1473-0782","page":"384-390","title":"Contraception supply chain challenges: a review of evidence from low- and middle-income countries","type":"article-journal","volume":"22"},"uris":["http://www.mendeley.com/documents/?uuid=82f9cbf9-baa4-4d39-a277-8a73269b7ef6"]},{"id":"ITEM-5","itemData":{"author":[{"dropping-particle":"","family":"Project","given":"Deliver","non-dropping-particle":"","parse-names":false,"suffix":""}],"id":"ITEM-5","issued":{"date-parts":[["0"]]},"title":"Mozambique: Strengthening the Community Health Worker Supply Chain. Final Report, May 2014","type":"report"},"uris":["http://www.mendeley.com/documents/?uuid=47cad0d7-4598-36d0-94cc-6fc67ba55212"]},{"id":"ITEM-6","itemData":{"author":[{"dropping-particle":"","family":"Chipukuma","given":"H M","non-dropping-particle":"","parse-names":false,"suffix":""},{"dropping-particle":"","family":"Halwiindi","given":"H","non-dropping-particle":"","parse-names":false,"suffix":""},{"dropping-particle":"","family":"Zulu","given":"J M","non-dropping-particle":"","parse-names":false,"suffix":""},{"dropping-particle":"","family":"Azizi","given":"S C","non-dropping-particle":"","parse-names":false,"suffix":""},{"dropping-particle":"","family":"Jacobs","given":"C","non-dropping-particle":"","parse-names":false,"suffix":""}],"container-title":"BMC Health Services Research","id":"ITEM-6","issue":"1","issued":{"date-parts":[["2020"]]},"page":"612","title":"Evaluating fidelity of community health worker roles in malaria prevention and control programs in Livingstone District, Zambia-A bottleneck analysis","type":"article-journal","volume":"20"},"uris":["http://www.mendeley.com/documents/?uuid=204868bd-b78c-4d0f-9acc-7d4e9a2eeaf5"]},{"id":"ITEM-7","itemData":{"author":[{"dropping-particle":"","family":"Village Reach","given":"","non-dropping-particle":"","parse-names":false,"suffix":""}],"id":"ITEM-7","issue":"October","issued":{"date-parts":[["2015"]]},"number-of-pages":"1-59","title":"Exploring New Distribution Models for Vaccines and other Health Commodities Adapted to the on the Ground Realities of the Equateur and Tshuapa Provinces , Democratic Republic of Congo","type":"report"},"uris":["http://www.mendeley.com/documents/?uuid=54537a97-5da5-3cc2-9f22-6bfb239fc036"]}],"mendeley":{"formattedCitation":"(31,34,35,66,68,71,72)","plainTextFormattedCitation":"(31,34,35,66,68,71,72)","previouslyFormattedCitation":"(31,34,35,66,68,71,72)"},"properties":{"noteIndex":0},"schema":"https://github.com/citation-style-language/schema/raw/master/csl-citation.json"}</w:instrText>
            </w:r>
            <w:r w:rsidRPr="00DA7609">
              <w:rPr>
                <w:sz w:val="24"/>
                <w:szCs w:val="24"/>
              </w:rPr>
              <w:fldChar w:fldCharType="separate"/>
            </w:r>
            <w:r w:rsidRPr="00DA7609">
              <w:rPr>
                <w:noProof/>
                <w:sz w:val="24"/>
                <w:szCs w:val="24"/>
              </w:rPr>
              <w:t>(31,34,35,66,68,71,72)</w:t>
            </w:r>
            <w:r w:rsidRPr="00DA7609">
              <w:rPr>
                <w:sz w:val="24"/>
                <w:szCs w:val="24"/>
              </w:rPr>
              <w:fldChar w:fldCharType="end"/>
            </w:r>
          </w:p>
        </w:tc>
      </w:tr>
      <w:tr w:rsidR="00DA7609" w:rsidRPr="00DA7609" w14:paraId="5A4169FA" w14:textId="77777777" w:rsidTr="00FE1ADC">
        <w:trPr>
          <w:cantSplit/>
          <w:trHeight w:val="557"/>
        </w:trPr>
        <w:tc>
          <w:tcPr>
            <w:cnfStyle w:val="001000000000" w:firstRow="0" w:lastRow="0" w:firstColumn="1" w:lastColumn="0" w:oddVBand="0" w:evenVBand="0" w:oddHBand="0" w:evenHBand="0" w:firstRowFirstColumn="0" w:firstRowLastColumn="0" w:lastRowFirstColumn="0" w:lastRowLastColumn="0"/>
            <w:tcW w:w="3369" w:type="dxa"/>
          </w:tcPr>
          <w:p w14:paraId="5C6A5BFB" w14:textId="77777777" w:rsidR="00DA7609" w:rsidRPr="00DA7609" w:rsidRDefault="00DA7609" w:rsidP="00DA7609">
            <w:pPr>
              <w:spacing w:before="60" w:after="60"/>
              <w:ind w:hanging="2"/>
              <w:rPr>
                <w:noProof/>
                <w:sz w:val="24"/>
                <w:szCs w:val="24"/>
                <w:u w:val="single"/>
              </w:rPr>
            </w:pPr>
          </w:p>
        </w:tc>
        <w:tc>
          <w:tcPr>
            <w:tcW w:w="2143" w:type="dxa"/>
          </w:tcPr>
          <w:p w14:paraId="77579202"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noProof/>
                <w:sz w:val="24"/>
                <w:szCs w:val="24"/>
              </w:rPr>
            </w:pPr>
            <w:r w:rsidRPr="00DA7609">
              <w:rPr>
                <w:b/>
                <w:bCs/>
                <w:sz w:val="24"/>
                <w:szCs w:val="24"/>
              </w:rPr>
              <w:t>Stock quantification and requisition (29)</w:t>
            </w:r>
          </w:p>
        </w:tc>
        <w:tc>
          <w:tcPr>
            <w:tcW w:w="2834" w:type="dxa"/>
          </w:tcPr>
          <w:p w14:paraId="75895128"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i/>
                <w:iCs/>
                <w:sz w:val="24"/>
                <w:szCs w:val="24"/>
                <w:u w:color="000000"/>
              </w:rPr>
            </w:pPr>
            <w:r w:rsidRPr="00DA7609">
              <w:rPr>
                <w:i/>
                <w:iCs/>
                <w:sz w:val="24"/>
                <w:szCs w:val="24"/>
              </w:rPr>
              <w:t>Human resource management</w:t>
            </w:r>
          </w:p>
        </w:tc>
        <w:tc>
          <w:tcPr>
            <w:tcW w:w="3514" w:type="dxa"/>
          </w:tcPr>
          <w:p w14:paraId="2FFB643E"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sz w:val="24"/>
                <w:szCs w:val="24"/>
                <w:u w:color="000000"/>
              </w:rPr>
            </w:pPr>
            <w:r w:rsidRPr="00DA7609">
              <w:rPr>
                <w:sz w:val="24"/>
                <w:szCs w:val="24"/>
              </w:rPr>
              <w:fldChar w:fldCharType="begin" w:fldLock="1"/>
            </w:r>
            <w:r w:rsidRPr="00DA7609">
              <w:rPr>
                <w:sz w:val="24"/>
                <w:szCs w:val="24"/>
              </w:rPr>
              <w:instrText>ADDIN CSL_CITATION {"citationItems":[{"id":"ITEM-1","itemData":{"DOI":"10.1186/1472-6963-13-55","ISBN":"1472-6963 (Electronic)\\r1472-6963 (Linking)","ISSN":"1472-6963","PMID":"23394591","abstract":"ABSTRACT: BACKGROUND: National community-based health worker (CBHW) programs often face challenges in ensuring that these remote workers are adequately trained, equipped and supervised. As governments increasingly deploy CBHWs to improve access to primary health care, there is an urgent need to assess how well health systems are supporting CBHWs to provide high quality care. METHODS: This paper presents the results of a mixed-methods assessment of selected health systems supports (supervision, drug supply, and job aids) for a national community case management (CCM) program for childhood illness in Malawi during the first year of implementation. We collected data on the types and levels of drug supply and supervision through a cross-sectional survey of a random sample of Health Surveillance Assistants (HSAs) providing CCM services in six districts. We then conducted in-depth interviews and focus group discussions with program managers and HSAs, respectively, to gain an understanding of the barriers and facilitating factors for delivering health systems supports for CCM. RESULTS: Although the CCM training and job aid were well received by stakeholders, HSAs who participated in the first CCM training sessions often waited up to 4 months before receiving their initial supply of drugs and first supervision visits. One year after training began, 69 % of HSAs had all essential CCM drugs in stock and only 38 % of HSAs reported a CCM supervision visit in the 3 months prior to the survey. Results of the qualitative assessment indicated that drug supply was constrained by travel distance and stock outs at health facilities, and that the initial supervision system relied on clinicians who were able to spend only limited time away from clinical duties. Proactive district managers trained and enrolled HSAs' routine supervisors to provide CCM supervision. CONCLUSIONS: Malawi's CCM program is promising, but health systems supports must be improved to ensure consistent coverage and quality. Mixed-methods implementation research provided the Ministry of Health with actionable feedback that it is using to adapt program policies and improve performance.","author":[{"dropping-particle":"","family":"Callaghan-Koru","given":"Jennifer a","non-dropping-particle":"","parse-names":false,"suffix":""},{"dropping-particle":"","family":"Gilroy","given":"Kate","non-dropping-particle":"","parse-names":false,"suffix":""},{"dropping-particle":"","family":"Hyder","given":"Adnan a","non-dropping-particle":"","parse-names":false,"suffix":""},{"dropping-particle":"","family":"George","given":"Asha","non-dropping-particle":"","parse-names":false,"suffix":""},{"dropping-particle":"","family":"Nsona","given":"Humphreys","non-dropping-particle":"","parse-names":false,"suffix":""},{"dropping-particle":"","family":"Mtimuni","given":"Angella","non-dropping-particle":"","parse-names":false,"suffix":""},{"dropping-particle":"","family":"Zakeyo","given":"Bernie","non-dropping-particle":"","parse-names":false,"suffix":""},{"dropping-particle":"","family":"Mayani","given":"Josiah","non-dropping-particle":"","parse-names":false,"suffix":""},{"dropping-particle":"","family":"Cardemil","given":"Cristina","non-dropping-particle":"","parse-names":false,"suffix":""},{"dropping-particle":"","family":"Bryce","given":"Jennifer","non-dropping-particle":"","parse-names":false,"suffix":""}],"container-title":"BMC health services research","id":"ITEM-1","issue":"1","issued":{"date-parts":[["2013"]]},"page":"55","title":"Health systems supports for community case management of childhood illness: lessons from an assessment of early implementation in Malawi.","type":"article-journal","volume":"13"},"uris":["http://www.mendeley.com/documents/?uuid=365c7ead-25b1-4b3a-b3fe-1e61a83ab885"]},{"id":"ITEM-2","itemData":{"author":[{"dropping-particle":"","family":"Anand","given":"A","non-dropping-particle":"","parse-names":false,"suffix":""},{"dropping-particle":"","family":"Favero","given":"R","non-dropping-particle":"","parse-names":false,"suffix":""},{"dropping-particle":"","family":"Dentinger","given":"C","non-dropping-particle":"","parse-names":false,"suffix":""},{"dropping-particle":"","family":"Ralaivaomisa","given":"A","non-dropping-particle":"","parse-names":false,"suffix":""},{"dropping-particle":"","family":"Ramamonjisoa","given":"S","non-dropping-particle":"","parse-names":false,"suffix":""},{"dropping-particle":"","family":"Rabozakandraina","given":"O","non-dropping-particle":"","parse-names":false,"suffix":""},{"dropping-particle":"","family":"Razafimandimby","given":"E","non-dropping-particle":"","parse-names":false,"suffix":""},{"dropping-particle":"","family":"Razafindrakoto","given":"J","non-dropping-particle":"","parse-names":false,"suffix":""},{"dropping-particle":"","family":"Katherine","given":"W","non-dropping-particle":"","parse-names":false,"suffix":""},{"dropping-particle":"","family":"Steinhardt","given":"L","non-dropping-particle":"","parse-names":false,"suffix":""},{"dropping-particle":"","family":"Gomez","given":"P","non-dropping-particle":"","parse-names":false,"suffix":""},{"dropping-particle":"","family":"Rabary","given":"M","non-dropping-particle":"","parse-names":false,"suffix":""},{"dropping-particle":"","family":"Andriamananjara","given":"M N","non-dropping-particle":"","parse-names":false,"suffix":""},{"dropping-particle":"","family":"Mioramalala","given":"S A","non-dropping-particle":"","parse-names":false,"suffix":""},{"dropping-particle":"","family":"Rakotovao","given":"J P","non-dropping-particle":"","parse-names":false,"suffix":""}],"container-title":"Malaria Journal","id":"ITEM-2","issue":"351","issued":{"date-parts":[["2020"]]},"note":"Using Smart Source Parsing\n(01 October 2020). 31 ref","title":"Malaria case management and elimination readiness in health facilities of five districts of Madagascar in 2018","type":"article-journal","volume":"19"},"uris":["http://www.mendeley.com/documents/?uuid=6096a079-7318-418d-9adf-96cd567cb659"]},{"id":"ITEM-3","itemData":{"DOI":"10.1080/13625187.2017.1394453","ISBN":"1362-5187","abstract":"Purpose: To identify and assess factors determining the functioning of supply chain systems for modern contraception in low-and middle-income countries (LMICs), and to identify challenges contributing to contraception stockouts that may lead to unmet need. Materials and methods: Scientific databases and grey literature were searched including Database of Abstracts of Reviews of Effectiveness (DARE), PubMed, MEDLINE, POPLINE, CINAHL, Academic Search Complete, Science Direct, Web of Science, Cochrane Central, Google Scholar, WHO databases and websites of key international organisations. Results: Studies indicated that supply chain system inefficiencies significantly affect availability of modern FP and contraception commodities in LMICs, especially in rural public facilities where distribution barriers may be acute. Supply chain failures or bottlenecks may be attributed to: weak and poorly institutionalized logistic management information systems (LMIS), poor physical infrastructures in LMICs, lack of trained and dedicated staff for supply chain management, inadequate funding, and rigid government policies on task sharing. However, there is evidence that implementing effective LMISs and involving public and private providers will distribution channels resulted in reduction in medical commodities' stockout rates. Conclusions: Supply chain bottlenecks contribute significantly to persistent high stockout rates for modern contraceptives in LMICs. Interventions aimed at enhancing uptake of contraceptives to reduce the problem of unmet need in LMICs should make strong commitments towards strengthening these countries' health commodities supply chain management systems. Current evidence is limited and additional, and well-designed implementation research on contraception supply chain systems is warranted to gain further understanding and insights on the determinants of supply chain bottlenecks and their impact on stockouts of contraception commodities.","author":[{"dropping-particle":"","family":"Mukasa","given":"B","non-dropping-particle":"","parse-names":false,"suffix":""},{"dropping-particle":"","family":"Ali","given":"M","non-dropping-particle":"","parse-names":false,"suffix":""},{"dropping-particle":"","family":"Farron","given":"M","non-dropping-particle":"","parse-names":false,"suffix":""},{"dropping-particle":"","family":"Weerdt","given":"R","non-dropping-particle":"Van de","parse-names":false,"suffix":""}],"container-title":"European Journal of Contraception and Reproductive Health Care","id":"ITEM-3","issue":"5","issued":{"date-parts":[["2017"]]},"note":"Mukasa, Bakali Ali, Moazzam Farron, Madeline Van de Weerdt, Renee\nAli, Moazzam/0000-0001-6949-8976\n1473-0782","page":"384-390","title":"Contraception supply chain challenges: a review of evidence from low- and middle-income countries","type":"article-journal","volume":"22"},"uris":["http://www.mendeley.com/documents/?uuid=82f9cbf9-baa4-4d39-a277-8a73269b7ef6"]},{"id":"ITEM-4","itemData":{"DOI":"10.1186/1472-6963-7-86","ISSN":"14726963","PMID":"17573958","abstract":"Background. In Malawi essential drugs are provided free of charge to patients at all public health facilities in order to ensure equitable access to health care. The country thereby spends about 30% of the national health budget on drugs. In order to investigate the level of drug shortages and eventually find the reasons for the drugs shortages in Malawi, we studied the management of the drug supplies for common and life threatening diseases such as pneumonia and malaria in a random selection of health centres. Methods. In July and August 2005 we visited eight out of a total of 37 health centres chosen at random in the Lilongwe District, Malawi. We recorded the logistics of eight essential and widely used drugs which according to the treatment guidelines should be available at all health centres. Five drugs are used regularly to treat pneumonia and three others to treat acute malaria. Out-of-stock situations in the course of one year were recorded retrospectively. We compared the quantity of each drug recorded on the Stock Cards with the actual stock of the drug on the shelves at the time of audit. We reviewed 8,968 Patient Records containing information on type and amount of drugs prescribed during one month. Results. On average, drugs for treating pneumonia were out of stock for six months during one year of observation (median value 167 days); anti-malarial drugs were lacking for periods ranging from 42 to138 days. The cross-sectional audit was even more negative, but here too the situation was more positive for anti-malarial drugs. The main reason for the shortage of drugs was insufficient deliveries from the Regional Medical Store. Benzyl penicillin was in shortest supply (4% received). The median value for non-availability was 240 days in the course of a year. The supply was better for anti-malarial drugs, except for quinine injections (9 %). Only 66 % of Stock Card records of quantities received were reflected in Patient Records showing quantities dispensed. Conclusion. We conclude that for the eight index drugs the levels of supply are unacceptable. The main reason for the observed shortage of drugs at the health centres was insufficient deliveries from the Regional Medical Store. A difference between the information recorded on the Stock Cards at the health centres and that recorded in the Patient Records may have contributed to the overall poor drug supply situation. In order to ensure equitable access to life saving drugs, logistics in genera…","author":[{"dropping-particle":"","family":"Lufesi","given":"Norman N.","non-dropping-particle":"","parse-names":false,"suffix":""},{"dropping-particle":"","family":"Andrew","given":"Marit","non-dropping-particle":"","parse-names":false,"suffix":""},{"dropping-particle":"","family":"Aursnes","given":"Ivar","non-dropping-particle":"","parse-names":false,"suffix":""}],"container-title":"BMC Health Services Research","id":"ITEM-4","issue":"1","issued":{"date-parts":[["2007","12","15"]]},"page":"86","publisher":"BioMed Central","title":"Deficient supplies of drugs for life threatening diseases in an African community","type":"article-journal","volume":"7"},"uris":["http://www.mendeley.com/documents/?uuid=c6a12f10-cc99-3b74-a2c3-346d4bee1e39"]},{"id":"ITEM-5","itemData":{"author":[{"dropping-particle":"","family":"Chandani","given":"Y","non-dropping-particle":"","parse-names":false,"suffix":""},{"dropping-particle":"","family":"Noel","given":"M","non-dropping-particle":"","parse-names":false,"suffix":""},{"dropping-particle":"","family":"Pomeroy","given":"A","non-dropping-particle":"","parse-names":false,"suffix":""},{"dropping-particle":"","family":"Andersson","given":"S","non-dropping-particle":"","parse-names":false,"suffix":""},{"dropping-particle":"","family":"Pahl","given":"M K","non-dropping-particle":"","parse-names":false,"suffix":""},{"dropping-particle":"","family":"Williams","given":"T","non-dropping-particle":"","parse-names":false,"suffix":""}],"container-title":"American Journal of Tropical Medicine and Hygiene","id":"ITEM-5","issue":"5 (Supplement","issued":{"date-parts":[["2012"]]},"note":"Using Smart Source Parsing\n13 ref","page":"120-126","title":"Factors affecting availability of essential medicines among community health workers in Ethiopia, Malawi, and Rwanda: solving the last mile puzzle. (Special supplement on Integrated Community Case Management.)","type":"article-journal","volume":"87"},"uris":["http://www.mendeley.com/documents/?uuid=b3bc4fc4-6baa-46d5-9472-660475305883"]},{"id":"ITEM-6","itemData":{"ISSN":"0030-4018","abstract":"Recently a novel method has been proposed for the calculation of the\\nscattering of an incoming electromagnetic wave by an arbitrarily shaped\\nphotonic crystal. The method rests on the representation of an arbitrary\\nelectromagnetic field inside a volume V by a fictitious surface current\\ndistribution along the boundary of this volume which acts as a source\\nfor a point response tensor for the medium. The validity of such a\\nrepresentation is rigorously proven. (C) 2004 Elsevier B.V. All rights\\nreserved.","author":[{"dropping-particle":"","family":"Smith","given":"Sarah","non-dropping-particle":"","parse-names":false,"suffix":""},{"dropping-particle":"","family":"Agarwal","given":"Aarti","non-dropping-particle":"","parse-names":false,"suffix":""},{"dropping-particle":"","family":"Crigler","given":"Lauren","non-dropping-particle":"","parse-names":false,"suffix":""},{"dropping-particle":"","family":"Gallo","given":"Maria","non-dropping-particle":"","parse-names":false,"suffix":""},{"dropping-particle":"","family":"Finlay","given":"Alyssa","non-dropping-particle":"","parse-names":false,"suffix":""},{"dropping-particle":"","family":"Homsi","given":"Francis Antonio","non-dropping-particle":"","parse-names":false,"suffix":""},{"dropping-particle":"","family":"Lanford","given":"Emily","non-dropping-particle":"","parse-names":false,"suffix":""},{"dropping-particle":"","family":"Wiskow","given":"Christiane","non-dropping-particle":"","parse-names":false,"suffix":""},{"dropping-particle":"","family":"Wuliji","given":"Tana","non-dropping-particle":"","parse-names":false,"suffix":""}],"id":"ITEM-6","issue":"EnCompass LLC","issued":{"date-parts":[["2013"]]},"title":"Community Health Volunteer Program Functionality and Performance in Madascar: A Synthesis of Qualtative and Quantitative Assessments","type":"report"},"uris":["http://www.mendeley.com/documents/?uuid=fbe0a5b2-b97e-39d9-ab60-c3b8de0943cb"]},{"id":"ITEM-7","itemData":{"DOI":"http://dx.doi.org/10.1016/S2214-109X(16)00046-2","abstract":"Background: In September, 2012, the UN Commission on Life Saving Commodities (UNCoLSC) outlined a plan to expand availability and access to 13 life saving commodities. We profile global and country progress against these recommendations between 2012 and 2015. Methods: For 12 countries in sub-Saharan Africa that were off-track to achieve the Millennium Development Goals for maternal and child survival, we reviewed key documents and reference data, and conducted interviews with ministry staff and partners to assess the status of the UNCoLSC recommendations. The RMNCH fund provided short-term catalytic financing to support country plans to advance the commodity agenda, with activities coded by UNCoLSC recommendation. Our network of technical resource teams identified, addressed, and monitored progress against cross-cutting commodity-related challenges that needed coordinated global action. Findings: In 2014 and 2015, child and maternal health commodities had fewer bottlenecks than reproductive and neonatal commodities. Common bottlenecks included regulatory challenges (ten of 12 countries); poor quality assurance (11 of 12 countries); insufficient staff training (more than half of facilities on average); and weak supply chains systems (11 of 12 countries), with stock-outs of priority commodities in about 40% of facilities on average. The RMNCH fund committed US$175·7 million to 19 countries to support strategies addressing crucial gaps. $68·2 million (39·0%) of the funds supported systems-strengthening interventions with the remainder split across reproductive, maternal, newborn, and child health. Health worker training ($88·6 million, 50·4%), supply chain ($53·3 million, 30·0%), and demand generation ($21·1 million, 12·0%) were the major topics of focus. All priority commodities are now listed in the WHO Essential Medicines List; appropriate price reductions were secured; quality manufacturing was improved; a fast-track registration mechanism for prequalified products was established; and methods were developed for advocacy, quantifi- cation, demand generation, supply chain, and provider training. Slower progress was evident around regulatory harmonisation and quality assurance. Interpretation: Much work is needed to achieve full implementation of the UNCoLSC recommendations. Coordinated efforts to secure price reductions beyond the 13 commodities and improve regulatory effi- ciency, quality, and supply chains are still needed alongside broader disseminat…","author":[{"dropping-particle":"","family":"Pronyk","given":"Paul","non-dropping-particle":"","parse-names":false,"suffix":""},{"dropping-particle":"","family":"Nemser","given":"Benneth","non-dropping-particle":"","parse-names":false,"suffix":""},{"dropping-particle":"","family":"Maliqi","given":"Blerta","non-dropping-particle":"","parse-names":false,"suffix":""},{"dropping-particle":"","family":"Springstubb","given":"Nora","non-dropping-particle":"","parse-names":false,"suffix":""},{"dropping-particle":"","family":"Sera","given":"Diana","non-dropping-particle":"","parse-names":false,"suffix":""},{"dropping-particle":"","family":"Karimov","given":"Rouslan","non-dropping-particle":"","parse-names":false,"suffix":""},{"dropping-particle":"","family":"Katwan","given":"Elizabeth","non-dropping-particle":"","parse-names":false,"suffix":""},{"dropping-particle":"","family":"Walter","given":"Benedicte","non-dropping-particle":"","parse-names":false,"suffix":""},{"dropping-particle":"","family":"Bijleveld","given":"Pascal","non-dropping-particle":"","parse-names":false,"suffix":""}],"container-title":"Lancet Global Health","id":"ITEM-7","issue":"4","issued":{"date-parts":[["2016"]]},"language":"English","page":"e276-e286","title":"The UN Commission on Life Saving Commodities 3 years on: Global progress update and results of a multicountry assessment. TT -","type":"article-journal","volume":"4"},"uris":["http://www.mendeley.com/documents/?uuid=1ebdf555-aa8a-45a1-b66d-8e71d219811f"]},{"id":"ITEM-8","itemData":{"author":[{"dropping-particle":"","family":"Andersson","given":"S","non-dropping-particle":"","parse-names":false,"suffix":""},{"dropping-particle":"","family":"Chandani","given":"Y","non-dropping-particle":"","parse-names":false,"suffix":""},{"dropping-particle":"","family":"Felling","given":"B","non-dropping-particle":"","parse-names":false,"suffix":""},{"dropping-particle":"","family":"Heaton","given":"A","non-dropping-particle":"","parse-names":false,"suffix":""},{"dropping-particle":"","family":"Noel","given":"M","non-dropping-particle":"","parse-names":false,"suffix":""},{"dropping-particle":"","family":"Pahl","given":"M","non-dropping-particle":"","parse-names":false,"suffix":""},{"dropping-particle":"","family":"Roche","given":"G","non-dropping-particle":"","parse-names":false,"suffix":""},{"dropping-particle":"","family":"Williams","given":"T","non-dropping-particle":"","parse-names":false,"suffix":""}],"container-title":"American Journal of Tropical Medicine and Hygiene","id":"ITEM-8","issue":"5","issued":{"date-parts":[["2010"]]},"note":"59th Annual Meeting of the American Society of Tropical Medicine and Hygiene, ASTMH 2010. Atlanta, GA United States","page":"31","title":"Using a theory of change model to improve supply chains for community case management in resource limited settings","type":"article-journal","volume":"83"},"uris":["http://www.mendeley.com/documents/?uuid=d93339fd-ce23-4374-a6d8-9d90c4d01bfd"]},{"id":"ITEM-9","itemData":{"DOI":"10.1111/tmi.12314","ISSN":"13653156","PMID":"24724617","abstract":"To assess the relationship between health system factors and facility-level EHP stock-outs in Mozambique. Service provisions were assessed in 26 health facilities and 13 district warehouses in Sofala Province, Mozambique, from July to August in 2011-2013. Generalised estimating equations were used to model factors associated with facility-level availability of essential drugs, supplies and equipment. Stock-out rates for drugs ranged from 1.3% for oral rehydration solution to 20.5% for Depo-Provera and condoms, with a mean stock-out rate of 9.1%; mean stock-out rates were 15.4% for supplies and 4.1% for equipment. Stock-outs at the district level accounted for 27.1% (29/107) of facility-level drug stock-outs and 44.0% (37/84) of supply stock-outs. Each 10-km increase in the distance from district distribution warehouses was associated with a 31% (CI: 22-42%), 28% (CI: 17-40%) or 27% (CI: 7-50%) increase in rates of drug, supply or equipment stock-outs, respectively. The number of heath facility staff was consistently negatively associated with the occurrence of stock-outs. Facility-level stock-outs of EHPs in Mozambique are common and appear to disproportionately affect those living far from district capitals and near facilities with few health staff. The majority of facility-level EHP stock-outs in Mozambique occur when stock exists at the district distribution centre. Innovative methods are urgently needed to improve EHP supply chains, requesting and ordering of drugs, facility and district communication, and forecasting of future EHP needs in Mozambique. Increased investments in public-sector human resources for health could potentially decrease the occurrence of EHP stock-outs. © 2014 John Wiley &amp; Sons Ltd.","author":[{"dropping-particle":"","family":"Wagenaar","given":"Bradley H.","non-dropping-particle":"","parse-names":false,"suffix":""},{"dropping-particle":"","family":"Gimbel","given":"Sarah","non-dropping-particle":"","parse-names":false,"suffix":""},{"dropping-particle":"","family":"Hoek","given":"Roxanne","non-dropping-particle":"","parse-names":false,"suffix":""},{"dropping-particle":"","family":"Pfeiffer","given":"James","non-dropping-particle":"","parse-names":false,"suffix":""},{"dropping-particle":"","family":"Michel","given":"Cathy","non-dropping-particle":"","parse-names":false,"suffix":""},{"dropping-particle":"","family":"Manuel","given":"João Luis","non-dropping-particle":"","parse-names":false,"suffix":""},{"dropping-particle":"","family":"Cuembelo","given":"Fatima","non-dropping-particle":"","parse-names":false,"suffix":""},{"dropping-particle":"","family":"Quembo","given":"Titos","non-dropping-particle":"","parse-names":false,"suffix":""},{"dropping-particle":"","family":"Afonso","given":"Pires","non-dropping-particle":"","parse-names":false,"suffix":""},{"dropping-particle":"","family":"Gloyd","given":"Stephen","non-dropping-particle":"","parse-names":false,"suffix":""},{"dropping-particle":"","family":"Sherr","given":"Kenneth","non-dropping-particle":"","parse-names":false,"suffix":""}],"container-title":"Tropical medicine &amp; international health : TM &amp; IH","id":"ITEM-9","issue":"7","issued":{"date-parts":[["2014"]]},"page":"791-801","publisher":"Trop Med Int Health","title":"Stock-outs of essential health products in Mozambique - longitudinal analyses from 2011 to 2013.","type":"article-journal","volume":"19"},"uris":["http://www.mendeley.com/documents/?uuid=6d1ec21d-5649-3384-b5b7-28d9ca56278d"]},{"id":"ITEM-10","itemData":{"author":[{"dropping-particle":"","family":"Andersson","given":"S","non-dropping-particle":"","parse-names":false,"suffix":""},{"dropping-particle":"","family":"Chandani","given":"Y","non-dropping-particle":"","parse-names":false,"suffix":""},{"dropping-particle":"","family":"Misomali","given":"A","non-dropping-particle":"","parse-names":false,"suffix":""},{"dropping-particle":"","family":"Chimphanga","given":"B","non-dropping-particle":"","parse-names":false,"suffix":""},{"dropping-particle":"","family":"Shieshia","given":"M","non-dropping-particle":"","parse-names":false,"suffix":""},{"dropping-particle":"","family":"Noel","given":"M","non-dropping-particle":"","parse-names":false,"suffix":""},{"dropping-particle":"","family":"Felling","given":"B","non-dropping-particle":"","parse-names":false,"suffix":""}],"container-title":"American Journal of Tropical Medicine and Hygiene","id":"ITEM-10","issue":"5","issued":{"date-parts":[["2013"]]},"note":"62nd Annual Meeting of the American Society of Tropical Medicine and Hygiene, ASTMH 2012. Washington, DC United States","page":"26","title":"Cstock-a simple, affordable mhealth solution for improving visibility of community health logistics data","type":"article-journal","volume":"89"},"uris":["http://www.mendeley.com/documents/?uuid=d110c9b3-7104-46e8-b8fb-44cf857b4468"]},{"id":"ITEM-11","itemData":{"DOI":"10.4269/ajtmh.14-0094","ISBN":"0002-9637 (Print)\r0002-9637","PMID":"24957538","abstract":"A systematic literature review was conducted to assess the effectiveness of strategies to improve community case management (CCM) of malaria. Forty-three studies were included; most (38) reported indicators of community health worker (CHW) performance, 14 reported on malaria CCM integrated with other child health interventions, 16 reported on health system capacity, and 13 reported on referral. The CHWs are able to provide good quality malaria care, including performing procedures such as rapid diagnostic tests. Appropriate training, clear guidelines, and regular supportive supervision are important facilitating factors. Crucial to sustainable success of CHW programs is strengthening health system capacity to support commodity supply, supervision, and appropriate treatment of referred cases. The little evidence available on referral from community to health facility level suggests that this is an area that needs priority attention. The studies of integrated CCM suggest that additional tasks do not reduce the quality of malaria CCM provided sufficient training and supervision is maintained.","author":[{"dropping-particle":"","family":"Smith Paintain","given":"L","non-dropping-particle":"","parse-names":false,"suffix":""},{"dropping-particle":"","family":"Willey","given":"B","non-dropping-particle":"","parse-names":false,"suffix":""},{"dropping-particle":"","family":"Kedenge","given":"S","non-dropping-particle":"","parse-names":false,"suffix":""},{"dropping-particle":"","family":"Sharkey","given":"A","non-dropping-particle":"","parse-names":false,"suffix":""},{"dropping-particle":"","family":"Kim","given":"J","non-dropping-particle":"","parse-names":false,"suffix":""},{"dropping-particle":"","family":"Buj","given":"V","non-dropping-particle":"","parse-names":false,"suffix":""},{"dropping-particle":"","family":"Webster","given":"J","non-dropping-particle":"","parse-names":false,"suffix":""},{"dropping-particle":"","family":"Schellenberg","given":"D","non-dropping-particle":"","parse-names":false,"suffix":""},{"dropping-particle":"","family":"Ngongo","given":"N","non-dropping-particle":"","parse-names":false,"suffix":""}],"container-title":"Am J Trop Med Hyg","edition":"2014/06/25","id":"ITEM-11","issue":"3","issued":{"date-parts":[["2014"]]},"language":"eng","note":"1476-1645\nSmith Paintain, Lucy\nWilley, Barbara\nKedenge, Sarah\nSharkey, Alyssa\nKim, Julia\nBuj, Valentina\nWebster, Jayne\nSchellenberg, David\nNgongo, Ngashi\nMR/K012126/1/Medical Research Council/United Kingdom\nJournal Article\nResearch Support, Non-U.S. Gov't\nReview\nSystematic Review\nAm J Trop Med Hyg. 2014 Sep;91(3):461-470. doi: 10.4269/ajtmh.14-0094. Epub 2014 Jun 23.","page":"461-470","title":"Community health workers and stand-alone or integrated case management of malaria: a systematic literature review","type":"article-journal","volume":"91"},"uris":["http://www.mendeley.com/documents/?uuid=49074e2f-e05f-4d5f-ac92-5d85da4f9462"]},{"id":"ITEM-12","itemData":{"author":[{"dropping-particle":"","family":"World Health Organization","given":"","non-dropping-particle":"","parse-names":false,"suffix":""}],"container-title":"WHO Evaluation Office,","id":"ITEM-12","issue":"May","issued":{"date-parts":[["2018"]]},"number-of-pages":"1- 157","title":"Summative evaluation of the WHO Rapid Access Expansion Initiative Volume 3 : Country Briefs","type":"report","volume":"3"},"uris":["http://www.mendeley.com/documents/?uuid=4bf4f451-b078-38e8-b60a-69b39e08b04e"]},{"id":"ITEM-13","itemData":{"author":[{"dropping-particle":"","family":"Village Reach","given":"","non-dropping-particle":"","parse-names":false,"suffix":""}],"id":"ITEM-13","issue":"October","issued":{"date-parts":[["2015"]]},"number-of-pages":"1-59","title":"Exploring New Distribution Models for Vaccines and other Health Commodities Adapted to the on the Ground Realities of the Equateur and Tshuapa Provinces , Democratic Republic of Congo","type":"report"},"uris":["http://www.mendeley.com/documents/?uuid=54537a97-5da5-3cc2-9f22-6bfb239fc036"]},{"id":"ITEM-14","itemData":{"author":[{"dropping-particle":"","family":"Umulisa","given":"N","non-dropping-particle":"","parse-names":false,"suffix":""},{"dropping-particle":"","family":"Uwimana","given":"A","non-dropping-particle":"","parse-names":false,"suffix":""},{"dropping-particle":"","family":"Mugeni","given":"C","non-dropping-particle":"","parse-names":false,"suffix":""},{"dropping-particle":"","family":"Mukarugwiro","given":"B","non-dropping-particle":"","parse-names":false,"suffix":""},{"dropping-particle":"","family":"Mutwiwa","given":"S","non-dropping-particle":"","parse-names":false,"suffix":""},{"dropping-particle":"","family":"Brieger","given":"W R","non-dropping-particle":"","parse-names":false,"suffix":""},{"dropping-particle":"","family":"Munguti","given":"K","non-dropping-particle":"","parse-names":false,"suffix":""},{"dropping-particle":"","family":"Mbituyumuremyi","given":"A","non-dropping-particle":"","parse-names":false,"suffix":""}],"container-title":"American Journal of Tropical Medicine and Hygiene","id":"ITEM-14","issued":{"date-parts":[["2018"]]},"note":"67th Annual Meeting of the American Society of Tropical Medicine and Hygiene, ASTMH 2018. United States","page":"32","title":"Performance of community health workers in providing integrated community case management services (ICCM) in eight districts of Rwanda","type":"article-journal","volume":"99 (4 Supp"},"uris":["http://www.mendeley.com/documents/?uuid=ed3443e5-569b-4db8-a3c2-eb69a49f4258"]},{"id":"ITEM-15","itemData":{"author":[{"dropping-particle":"","family":"Chandani","given":"Y","non-dropping-particle":"","parse-names":false,"suffix":""},{"dropping-particle":"","family":"Noel","given":"M","non-dropping-particle":"","parse-names":false,"suffix":""},{"dropping-particle":"","family":"Andersson","given":"S","non-dropping-particle":"","parse-names":false,"suffix":""},{"dropping-particle":"","family":"Ombeva","given":"A","non-dropping-particle":"","parse-names":false,"suffix":""},{"dropping-particle":"","family":"Shieshia","given":"M","non-dropping-particle":"","parse-names":false,"suffix":""},{"dropping-particle":"","family":"Heaton","given":"A","non-dropping-particle":"","parse-names":false,"suffix":""},{"dropping-particle":"","family":"Felling","given":"B","non-dropping-particle":"","parse-names":false,"suffix":""}],"container-title":"American Journal of Tropical Medicine and Hygiene","id":"ITEM-15","issue":"5","issued":{"date-parts":[["2013"]]},"note":"62nd Annual Meeting of the American Society of Tropical Medicine and Hygiene, ASTMH 2012. Washington, DC United States","page":"327-328","title":"Improving community level supply chain performance using team-led, data driven solutions in Malawi and Rwanda","type":"article-journal","volume":"89"},"uris":["http://www.mendeley.com/documents/?uuid=46e35ddf-8110-443c-ab9a-dec379125df5"]},{"id":"ITEM-16","itemData":{"author":[{"dropping-particle":"","family":"Shieshia","given":"M","non-dropping-particle":"","parse-names":false,"suffix":""},{"dropping-particle":"","family":"Noel","given":"M","non-dropping-particle":"","parse-names":false,"suffix":""},{"dropping-particle":"","family":"Andersson","given":"S","non-dropping-particle":"","parse-names":false,"suffix":""},{"dropping-particle":"","family":"Felling","given":"B","non-dropping-particle":"","parse-names":false,"suffix":""},{"dropping-particle":"","family":"Alva","given":"S","non-dropping-particle":"","parse-names":false,"suffix":""},{"dropping-particle":"","family":"Agarwal","given":"S","non-dropping-particle":"","parse-names":false,"suffix":""},{"dropping-particle":"","family":"Lefevre","given":"A","non-dropping-particle":"","parse-names":false,"suffix":""},{"dropping-particle":"","family":"Misomali","given":"A","non-dropping-particle":"","parse-names":false,"suffix":""},{"dropping-particle":"","family":"Chimphanga","given":"B","non-dropping-particle":"","parse-names":false,"suffix":""},{"dropping-particle":"","family":"Nsona","given":"H","non-dropping-particle":"","parse-names":false,"suffix":""},{"dropping-particle":"","family":"Chandani","given":"Y","non-dropping-particle":"","parse-names":false,"suffix":""}],"container-title":"Journal of Global Health","id":"ITEM-16","issue":"2","issued":{"date-parts":[["2014"]]},"note":"Using Smart Source Parsing\n020406. 15 ref","title":"Strengthening community health supply chain performance through an integrated approach: using mHealth technology and multilevel teams in Malawi. (Themed Issue: Current scientific evidence for integrated community case management (iCCM) in Africa: findings","type":"article-journal","volume":"4"},"uris":["http://www.mendeley.com/documents/?uuid=2e878905-6bf0-4e20-9e5a-4cb6e89d96f2"]},{"id":"ITEM-17","itemData":{"DOI":"10.1002/14651858.CD012012.pub2","ISBN":"1361-6137","PMID":"32803893","abstract":"BACKGROUND: A well-functioning routine health information system (RHIS) can provide the information needed for health system management, for governance, accountability, planning, policy making, surveillance and quality improvement, but poor information support has been identified as a major obstacle for improving health system management. OBJECTIVES: To assess the effects of interventions to improve routine health information systems in terms of RHIS performance, and also, in terms of improved health system management performance, and improved patient and population health outcomes. SEARCH METHODS: We searched the Cochrane Central Register of Controlled Trials (CENTRAL) in the Cochrane Library, MEDLINE Ovid and Embase Ovid in May 2019. We searched Global Health, Ovid and PsycInfo in April 2016. In January 2020 we searched for grey literature in the Grey Literature Report and in OpenGrey, and for ongoing trials using the International Clinical Trials Registry Platform (ICTRP) and ClinicalTrials.gov. In October 2019 we also did a cited reference search using Web of Science, and a 'similar articles' search in PubMed. SELECTION CRITERIA: Randomised and non-randomised trials, controlled before-after studies and time-series studies comparing routine health information system interventions, with controls, in primary, hospital or community health care settings. Participants included clinical staff and management, district management and community health workers using routine information systems. DATA COLLECTION AND ANALYSIS: Two authors independently reviewed records to identify studies for inclusion, extracted data from the included studies and assessed the risk of bias. Interventions and outcomes were too varied across studies to allow for pooled risk analysis. We present a 'Summary of findings' table for each intervention comparisons broadly categorised into Technical and Organisational (or a combination), and report outcomes on data quality and service quality. We used the GRADE approach to assess the certainty of the evidence. MAIN RESULTS: We included six studies: four cluster randomised trials and two controlled before-after studies, from Africa and South America. Three studies evaluated technical interventions, one study evaluated an organisational intervention, and two studies evaluated a combination of technical and organisational interventions. Four studies reported on data quality and six studies reported on service quality. In terms of data quality…","author":[{"dropping-particle":"","family":"Leon","given":"N","non-dropping-particle":"","parse-names":false,"suffix":""},{"dropping-particle":"","family":"Balakrishna","given":"Y","non-dropping-particle":"","parse-names":false,"suffix":""},{"dropping-particle":"","family":"Hohlfeld","given":"A","non-dropping-particle":"","parse-names":false,"suffix":""},{"dropping-particle":"","family":"Odendaal","given":"W A","non-dropping-particle":"","parse-names":false,"suffix":""},{"dropping-particle":"","family":"Schmidt","given":"B M","non-dropping-particle":"","parse-names":false,"suffix":""},{"dropping-particle":"","family":"Zweigenthal","given":"V","non-dropping-particle":"","parse-names":false,"suffix":""},{"dropping-particle":"","family":"Anstey Watkins","given":"J","non-dropping-particle":"","parse-names":false,"suffix":""},{"dropping-particle":"","family":"Daniels","given":"K","non-dropping-particle":"","parse-names":false,"suffix":""}],"container-title":"Cochrane Database Syst Rev","edition":"2020/08/18","id":"ITEM-17","issued":{"date-parts":[["2020"]]},"language":"eng","note":"1469-493x\nLeon, Natalie\nBalakrishna, Yusentha\nHohlfeld, Ameer\nOdendaal, Willem A\nSchmidt, Bey-Marrié\nZweigenthal, Virginia\nAnstey Watkins, Jocelyn\nDaniels, Karen\nJournal Article\nResearch Support, Non-U.S. Gov't\nSystematic Review\nEngland\nCochrane Database Syst Rev. 2020 Aug 13;8:CD012012. doi: 10.1002/14651858.CD012012.pub2.","page":"Cd012012","title":"Routine Health Information System (RHIS) improvements for strengthened health system management","type":"article-journal","volume":"8"},"uris":["http://www.mendeley.com/documents/?uuid=0d2830c2-967a-45e9-a326-e3de990e194e"]},{"id":"ITEM-18","itemData":{"author":[{"dropping-particle":"","family":"Chandani","given":"Y","non-dropping-particle":"","parse-names":false,"suffix":""},{"dropping-particle":"","family":"Andersson","given":"S","non-dropping-particle":"","parse-names":false,"suffix":""},{"dropping-particle":"","family":"Heaton","given":"A","non-dropping-particle":"","parse-names":false,"suffix":""},{"dropping-particle":"","family":"Noel","given":"M","non-dropping-particle":"","parse-names":false,"suffix":""},{"dropping-particle":"","family":"Shieshia","given":"M","non-dropping-particle":"","parse-names":false,"suffix":""},{"dropping-particle":"","family":"Mwirotsi","given":"A","non-dropping-particle":"","parse-names":false,"suffix":""},{"dropping-particle":"","family":"Krudwig","given":"K","non-dropping-particle":"","parse-names":false,"suffix":""},{"dropping-particle":"","family":"Nsona","given":"H","non-dropping-particle":"","parse-names":false,"suffix":""},{"dropping-particle":"","family":"Felling","given":"B","non-dropping-particle":"","parse-names":false,"suffix":""}],"container-title":"Journal of Global Health","id":"ITEM-18","issue":"2","issued":{"date-parts":[["2014"]]},"note":"Using Smart Source Parsing\n020405. 17 ref","title":"Making products available among community health workers: evidence for improving community health supply chains from Ethiopia, Malawi, and Rwanda. (Themed Issue: Current scientific evidence for integrated community case management (iCCM) in Africa: findin","type":"article-journal","volume":"4"},"uris":["http://www.mendeley.com/documents/?uuid=1b8dc49f-28b6-4a76-882e-910b7cf4a0b5"]},{"id":"ITEM-19","itemData":{"author":[{"dropping-particle":"","family":"Printz","given":"N","non-dropping-particle":"","parse-names":false,"suffix":""}],"container-title":"American Journal of Tropical Medicine and Hygiene","id":"ITEM-19","issued":{"date-parts":[["2015"]]},"note":"64th Annual Meeting of the American Society of Tropical Medicine and Hygiene, ASTMH 2015. United States","page":"294","title":"Availability of malaria products at the last mile: An analysis of facility-and community-level logistics data","type":"article-journal","volume":"93 (4 Supp"},"uris":["http://www.mendeley.com/documents/?uuid=ac089638-8a04-4c74-8633-36eab21bda80"]},{"id":"ITEM-20","itemData":{"author":[{"dropping-particle":"","family":"Global Fund","given":"","non-dropping-particle":"","parse-names":false,"suffix":""},{"dropping-particle":"","family":"WHO","given":"","non-dropping-particle":"","parse-names":false,"suffix":""},{"dropping-particle":"","family":"UNICEF","given":"","non-dropping-particle":"","parse-names":false,"suffix":""}],"id":"ITEM-20","issued":{"date-parts":[["2018"]]},"title":"Integrated Community Case Management (iCCM) in Sub-Saharan Africa: Successes &amp; Challenges with Access, Speed &amp; Quality Thematic review report","type":"report"},"uris":["http://www.mendeley.com/documents/?uuid=cdd8cc09-fda0-3226-b6c3-baca7bae910b"]},{"id":"ITEM-21","itemData":{"ISBN":"9781920618315","author":[{"dropping-particle":"","family":"Doherty","given":"Tanya","non-dropping-particle":"","parse-names":false,"suffix":""},{"dropping-particle":"","family":"Besada","given":"D","non-dropping-particle":"","parse-names":false,"suffix":""},{"dropping-particle":"","family":"Zembe","given":"W","non-dropping-particle":"","parse-names":false,"suffix":""},{"dropping-particle":"","family":"Daniels","given":"K","non-dropping-particle":"","parse-names":false,"suffix":""},{"dropping-particle":"","family":"Kinney","given":"M","non-dropping-particle":"","parse-names":false,"suffix":""},{"dropping-particle":"","family":"Kerber","given":"K","non-dropping-particle":"","parse-names":false,"suffix":""},{"dropping-particle":"","family":"Daviaud","given":"E","non-dropping-particle":"","parse-names":false,"suffix":""},{"dropping-particle":"","family":"Rohde","given":"S","non-dropping-particle":"","parse-names":false,"suffix":""},{"dropping-particle":"","family":"Ngandu","given":"N","non-dropping-particle":"","parse-names":false,"suffix":""},{"dropping-particle":"","family":"Jackson","given":"D","non-dropping-particle":"","parse-names":false,"suffix":""}],"id":"ITEM-21","issued":{"date-parts":[["2014"]]},"title":"Report on the summative external evaluation of the Integrated Health System Strengthening programme in Ethiopia, Mali, Mozambique, Ghana, Malawi and Niger","type":"report"},"uris":["http://www.mendeley.com/documents/?uuid=94986425-7399-348b-95f8-c3ff8107c94a"]}],"mendeley":{"formattedCitation":"(26,28,29,31,32,34,35,41–43,49,52,53,57,59,65,67,74–77)","plainTextFormattedCitation":"(26,28,29,31,32,34,35,41–43,49,52,53,57,59,65,67,74–77)","previouslyFormattedCitation":"(26,28,29,31,32,34,35,41–43,49,52,53,57,59,65,67,74–77)"},"properties":{"noteIndex":0},"schema":"https://github.com/citation-style-language/schema/raw/master/csl-citation.json"}</w:instrText>
            </w:r>
            <w:r w:rsidRPr="00DA7609">
              <w:rPr>
                <w:sz w:val="24"/>
                <w:szCs w:val="24"/>
              </w:rPr>
              <w:fldChar w:fldCharType="separate"/>
            </w:r>
            <w:r w:rsidRPr="00DA7609">
              <w:rPr>
                <w:noProof/>
                <w:sz w:val="24"/>
                <w:szCs w:val="24"/>
              </w:rPr>
              <w:t>(26,28,29,31,32,34,35,41–43,49,52,53,57,59,65,67,74–77)</w:t>
            </w:r>
            <w:r w:rsidRPr="00DA7609">
              <w:rPr>
                <w:sz w:val="24"/>
                <w:szCs w:val="24"/>
              </w:rPr>
              <w:fldChar w:fldCharType="end"/>
            </w:r>
          </w:p>
        </w:tc>
      </w:tr>
      <w:tr w:rsidR="00DA7609" w:rsidRPr="00DA7609" w14:paraId="1FE08111" w14:textId="77777777" w:rsidTr="00FE1ADC">
        <w:trPr>
          <w:cnfStyle w:val="000000100000" w:firstRow="0" w:lastRow="0" w:firstColumn="0" w:lastColumn="0" w:oddVBand="0" w:evenVBand="0" w:oddHBand="1" w:evenHBand="0" w:firstRowFirstColumn="0" w:firstRowLastColumn="0" w:lastRowFirstColumn="0" w:lastRowLastColumn="0"/>
          <w:cantSplit/>
          <w:trHeight w:val="800"/>
        </w:trPr>
        <w:tc>
          <w:tcPr>
            <w:cnfStyle w:val="001000000000" w:firstRow="0" w:lastRow="0" w:firstColumn="1" w:lastColumn="0" w:oddVBand="0" w:evenVBand="0" w:oddHBand="0" w:evenHBand="0" w:firstRowFirstColumn="0" w:firstRowLastColumn="0" w:lastRowFirstColumn="0" w:lastRowLastColumn="0"/>
            <w:tcW w:w="3369" w:type="dxa"/>
          </w:tcPr>
          <w:p w14:paraId="1A8B724A" w14:textId="77777777" w:rsidR="00DA7609" w:rsidRPr="00DA7609" w:rsidRDefault="00DA7609" w:rsidP="00DA7609">
            <w:pPr>
              <w:spacing w:before="60" w:after="60"/>
              <w:ind w:hanging="2"/>
              <w:rPr>
                <w:noProof/>
                <w:sz w:val="24"/>
                <w:szCs w:val="24"/>
                <w:u w:val="single"/>
              </w:rPr>
            </w:pPr>
          </w:p>
        </w:tc>
        <w:tc>
          <w:tcPr>
            <w:tcW w:w="2143" w:type="dxa"/>
          </w:tcPr>
          <w:p w14:paraId="72AC4BE2"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sz w:val="24"/>
                <w:szCs w:val="24"/>
              </w:rPr>
            </w:pPr>
          </w:p>
        </w:tc>
        <w:tc>
          <w:tcPr>
            <w:tcW w:w="2834" w:type="dxa"/>
          </w:tcPr>
          <w:p w14:paraId="56E8167C"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sz w:val="24"/>
                <w:szCs w:val="24"/>
                <w:u w:color="000000"/>
              </w:rPr>
            </w:pPr>
            <w:r w:rsidRPr="00DA7609">
              <w:rPr>
                <w:i/>
                <w:iCs/>
                <w:sz w:val="24"/>
                <w:szCs w:val="24"/>
                <w:u w:color="000000"/>
              </w:rPr>
              <w:t>Logistic management</w:t>
            </w:r>
          </w:p>
        </w:tc>
        <w:tc>
          <w:tcPr>
            <w:tcW w:w="3514" w:type="dxa"/>
          </w:tcPr>
          <w:p w14:paraId="20B376C7"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sz w:val="24"/>
                <w:szCs w:val="24"/>
                <w:u w:color="000000"/>
              </w:rPr>
            </w:pPr>
            <w:r w:rsidRPr="00DA7609">
              <w:rPr>
                <w:sz w:val="24"/>
                <w:szCs w:val="24"/>
                <w:u w:color="000000"/>
              </w:rPr>
              <w:fldChar w:fldCharType="begin" w:fldLock="1"/>
            </w:r>
            <w:r w:rsidRPr="00DA7609">
              <w:rPr>
                <w:sz w:val="24"/>
                <w:szCs w:val="24"/>
                <w:u w:color="000000"/>
              </w:rPr>
              <w:instrText>ADDIN CSL_CITATION {"citationItems":[{"id":"ITEM-1","itemData":{"author":[{"dropping-particle":"","family":"Village Reach","given":"","non-dropping-particle":"","parse-names":false,"suffix":""}],"id":"ITEM-1","issue":"October","issued":{"date-parts":[["2015"]]},"number-of-pages":"1-59","title":"Exploring New Distribution Models for Vaccines and other Health Commodities Adapted to the on the Ground Realities of the Equateur and Tshuapa Provinces , Democratic Republic of Congo","type":"report"},"uris":["http://www.mendeley.com/documents/?uuid=54537a97-5da5-3cc2-9f22-6bfb239fc036"]},{"id":"ITEM-2","itemData":{"author":[{"dropping-particle":"","family":"Chandani","given":"Y","non-dropping-particle":"","parse-names":false,"suffix":""},{"dropping-particle":"","family":"Noel","given":"M","non-dropping-particle":"","parse-names":false,"suffix":""},{"dropping-particle":"","family":"Andersson","given":"S","non-dropping-particle":"","parse-names":false,"suffix":""},{"dropping-particle":"","family":"Ombeva","given":"A","non-dropping-particle":"","parse-names":false,"suffix":""},{"dropping-particle":"","family":"Shieshia","given":"M","non-dropping-particle":"","parse-names":false,"suffix":""},{"dropping-particle":"","family":"Heaton","given":"A","non-dropping-particle":"","parse-names":false,"suffix":""},{"dropping-particle":"","family":"Felling","given":"B","non-dropping-particle":"","parse-names":false,"suffix":""}],"container-title":"American Journal of Tropical Medicine and Hygiene","id":"ITEM-2","issue":"5","issued":{"date-parts":[["2013"]]},"note":"62nd Annual Meeting of the American Society of Tropical Medicine and Hygiene, ASTMH 2012. Washington, DC United States","page":"327-328","title":"Improving community level supply chain performance using team-led, data driven solutions in Malawi and Rwanda","type":"article-journal","volume":"89"},"uris":["http://www.mendeley.com/documents/?uuid=46e35ddf-8110-443c-ab9a-dec379125df5"]},{"id":"ITEM-3","itemData":{"author":[{"dropping-particle":"","family":"Chandani","given":"Y","non-dropping-particle":"","parse-names":false,"suffix":""},{"dropping-particle":"","family":"Andersson","given":"S","non-dropping-particle":"","parse-names":false,"suffix":""},{"dropping-particle":"","family":"Heaton","given":"A","non-dropping-particle":"","parse-names":false,"suffix":""},{"dropping-particle":"","family":"Noel","given":"M","non-dropping-particle":"","parse-names":false,"suffix":""},{"dropping-particle":"","family":"Shieshia","given":"M","non-dropping-particle":"","parse-names":false,"suffix":""},{"dropping-particle":"","family":"Mwirotsi","given":"A","non-dropping-particle":"","parse-names":false,"suffix":""},{"dropping-particle":"","family":"Krudwig","given":"K","non-dropping-particle":"","parse-names":false,"suffix":""},{"dropping-particle":"","family":"Nsona","given":"H","non-dropping-particle":"","parse-names":false,"suffix":""},{"dropping-particle":"","family":"Felling","given":"B","non-dropping-particle":"","parse-names":false,"suffix":""}],"container-title":"Journal of Global Health","id":"ITEM-3","issue":"2","issued":{"date-parts":[["2014"]]},"note":"Using Smart Source Parsing\n020405. 17 ref","title":"Making products available among community health workers: evidence for improving community health supply chains from Ethiopia, Malawi, and Rwanda. (Themed Issue: Current scientific evidence for integrated community case management (iCCM) in Africa: findin","type":"article-journal","volume":"4"},"uris":["http://www.mendeley.com/documents/?uuid=1b8dc49f-28b6-4a76-882e-910b7cf4a0b5"]},{"id":"ITEM-4","itemData":{"author":[{"dropping-particle":"","family":"Project","given":"Deliver","non-dropping-particle":"","parse-names":false,"suffix":""}],"id":"ITEM-4","issued":{"date-parts":[["0"]]},"title":"Mozambique: Strengthening the Community Health Worker Supply Chain. Final Report, May 2014","type":"report"},"uris":["http://www.mendeley.com/documents/?uuid=47cad0d7-4598-36d0-94cc-6fc67ba55212"]},{"id":"ITEM-5","itemData":{"author":[{"dropping-particle":"","family":"Global Fund","given":"","non-dropping-particle":"","parse-names":false,"suffix":""},{"dropping-particle":"","family":"WHO","given":"","non-dropping-particle":"","parse-names":false,"suffix":""},{"dropping-particle":"","family":"UNICEF","given":"","non-dropping-particle":"","parse-names":false,"suffix":""}],"id":"ITEM-5","issued":{"date-parts":[["2018"]]},"title":"Integrated Community Case Management (iCCM) in Sub-Saharan Africa: Successes &amp; Challenges with Access, Speed &amp; Quality Thematic review report","type":"report"},"uris":["http://www.mendeley.com/documents/?uuid=cdd8cc09-fda0-3226-b6c3-baca7bae910b"]},{"id":"ITEM-6","itemData":{"author":[{"dropping-particle":"","family":"Miller","given":"N P","non-dropping-particle":"","parse-names":false,"suffix":""},{"dropping-particle":"","family":"Zunong","given":"N","non-dropping-particle":"","parse-names":false,"suffix":""},{"dropping-particle":"","family":"Al-Sorouri","given":"T A A","non-dropping-particle":"","parse-names":false,"suffix":""},{"dropping-particle":"","family":"Alqadasi","given":"Y M","non-dropping-particle":"","parse-names":false,"suffix":""},{"dropping-particle":"","family":"Ashraf","given":"S","non-dropping-particle":"","parse-names":false,"suffix":""},{"dropping-particle":"","family":"Siameja","given":"C","non-dropping-particle":"","parse-names":false,"suffix":""}],"container-title":"Journal of Global Health","id":"ITEM-6","issue":"2","issued":{"date-parts":[["2020"]]},"note":"Using Smart Source Parsing\n24 ref","title":"Implementing integrated community case management during conflict in Yemen. (Research Theme: Community health in emergencies.)","type":"article-journal","volume":"10"},"uris":["http://www.mendeley.com/documents/?uuid=43c222ef-9049-43aa-a753-2d4b57b7c828"]},{"id":"ITEM-7","itemData":{"DOI":"10.3402/gha.v8.25772","ISBN":"1654-9880","abstract":"Background: Routine immunization (RI) is a key child survival intervention. Ensuring acceptable standards of RI service delivery is critical for optimal outcomes. Accumulated evidences suggest that 'supportive supervision' improves the quality of health care services in general. During 2009-2010, the Government of Odisha and UNICEF jointly piloted this strategy in four districts to improve RI program outcomes. The present study aims to assess the effect of this strategy on improvement of skills and practices at immunization session sites. Design: Aquasi-experimental 'post-test only' study design was adopted to compare the opinion and practices of frontline health workers and their supervisors in four intervention districts (IDs) with two control districts (CDs). Altogether, we interviewed 111 supervisor-supervisee (health worker) pairs using semi-structured interview schedules and case vignettes. We also directly observed health workers' practices during immunization sessions at 111 sites. Data were analyzed with SPSS version 16.0. Results: The mean knowledge score of supervisors in CDs was significantly higher than in intervention groups. Variegated responses were obtained on case vignettes. The control group performed better in solving certain hypothetically asked problems, whereas the intervention group scored better in others. Health workers in IDs gave a lower rating to their respective supervisors' knowledge, skill, and frequency of supervision. Logistics and vaccine availability were better in CDs. Conclusion: Notwithstanding other limitations, supportive supervision may not have independent effects on improving the quality of immunization services. Addressing systemic issues, such as the availability of essential logistics, supply chain management, timely indenting, and financial resources, could complement the supportive supervision strategy in improving immunization service delivery.","author":[{"dropping-particle":"","family":"Panda","given":"B","non-dropping-particle":"","parse-names":false,"suffix":""},{"dropping-particle":"","family":"Pati","given":"S","non-dropping-particle":"","parse-names":false,"suffix":""},{"dropping-particle":"","family":"Nallala","given":"S","non-dropping-particle":"","parse-names":false,"suffix":""},{"dropping-particle":"","family":"Chauhan","given":"A S","non-dropping-particle":"","parse-names":false,"suffix":""},{"dropping-particle":"","family":"Anasuya","given":"A","non-dropping-particle":"","parse-names":false,"suffix":""},{"dropping-particle":"","family":"Som","given":"M","non-dropping-particle":"","parse-names":false,"suffix":""},{"dropping-particle":"","family":"Zodpey","given":"S","non-dropping-particle":"","parse-names":false,"suffix":""}],"container-title":"Global Health Action","id":"ITEM-7","issued":{"date-parts":[["2015"]]},"note":"Panda, Bhuputra Pati, Sanghamitra Nallala, Srinivas Chauhan, Abhimanyu S. Anasuya, Anita Som, Meena Zodpey, Sanjay\nPati, Sanghamitra/0000-0002-7717-5592; Panda, Bhuputra/0000-0001-9024-3126","title":"How supportive supervision influences immunization session site practices: a quasi-experimental study in Odisha, India","type":"article-journal","volume":"8"},"uris":["http://www.mendeley.com/documents/?uuid=80ef74c4-48d0-4a23-afe2-388aab4cad8b"]},{"id":"ITEM-8","itemData":{"DOI":"10.1080/16549716.2017.1327256","ISSN":"16549880","PMID":"28581379","abstract":"Background: Poor quality of care and access to effective and affordable interventions have been attributed to constraints and bottlenecks within and outside the health system. However, there is limited understanding of health system barriers to utilization and delivery of appropriate, highimpact, and cost-effective interventions at the point of service delivery in districts and sub-districts in low-income countries. In this study we illustrate the use of the bottleneck analysis approach, which could be used to identify bottlenecks in service delivery within the district health system. Methods: A modified Tanahashi model with six determinants for effective coverage was used to determine bottlenecks in service provision for maternal and newborn care. The following interventions provided during antenatal care were used as tracer interventions: use of iron and folic acid, intermittent presumptive treatment for malaria, HIV counseling and testing, and syphilis testing. Data from cross-sectional household and health facility surveys in Mayuge and Namayingo districts in Uganda were used in this study. Results: Effective coverage and human resource gaps were identified as the biggest bottlenecks in both districts, with coverage ranging from 0% to 66% for effective coverage and from 46% to 58% for availability of health facility staff. Our findings revealed a similar pattern in bottlenecks in both districts for particular interventions although the districts are functionally independent. Conclusion: The modified Tanahashi model is an analysis tool that can be used to identify bottlenecks to effective coverage within the district health system, for instance, the effective coverage for maternal and newborn care interventions. However, the analysis is highly dependent on the availability of data to populate all six determinants and could benefit from further validation analysis for the causes of bottlenecks identified.","author":[{"dropping-particle":"","family":"Henriksson","given":"Dorcus Kiwanuka","non-dropping-particle":"","parse-names":false,"suffix":""},{"dropping-particle":"","family":"Fredriksson","given":"Mio","non-dropping-particle":"","parse-names":false,"suffix":""},{"dropping-particle":"","family":"Waiswa","given":"Peter","non-dropping-particle":"","parse-names":false,"suffix":""},{"dropping-particle":"","family":"Selling","given":"Katarina","non-dropping-particle":"","parse-names":false,"suffix":""},{"dropping-particle":"","family":"Peterson","given":"Stefan Swartling","non-dropping-particle":"","parse-names":false,"suffix":""}],"container-title":"Global Health Action","id":"ITEM-8","issue":"1","issued":{"date-parts":[["2017"]]},"publisher":"Glob Health Action","title":"Bottleneck analysis at district level to illustrate gaps within the district health system in Uganda","type":"article-journal","volume":"10"},"uris":["http://www.mendeley.com/documents/?uuid=0d058283-1a35-31d3-ab97-8046ada65316"]},{"id":"ITEM-9","itemData":{"DOI":"10.1186/s12889-015-2525-4","ISSN":"14712458","PMID":"26608029","abstract":"Background: The integrated Community Case Management (iCCM) of childhood illnesses strategy has been adopted world over to reduce child related ill health and mortality. Community Health workers (CHWs) who implement this strategy need a regular supply of drugs to effectively treat children under 5 years with malaria, pneumonia and diarrhea. In this paper, we report the prevalence and factors influencing availability of medicines for managing malaria, pneumonia and diarrhea in communities in central Uganda. Methods: A cross sectional study was conducted among 303 CHWs in Wakiso district in central Uganda. Eligible CHWs from two randomly selected Health Sub Districts (HSDs) were interviewed. Questionnaires, check lists, record reviews were used to collect information on CHW background characteristics, CHW's prescription behaviors, health system support factors and availability of iCCM drugs. Multivariable logistic regression analysis was done to assess factors associated with availability of iCCM drugs. Results: Out of 300 CHWs, 239 (79.9 %) were females and mean age was 42.1 (standard deviation =11.1 years). The prevalence of iCCM drug availability was 8.3 % and 33 respondents (11 %) had no drugs at all. Factors associated with iCCM drug availability were; being supervised within the last month (adjusted OR = 3.70, 95 % CI 1.22-11.24), appropriate drug prescriptions (adjusted OR = 3.71, 95 % CI 1.38-9.96), regular submission of drug reports (adjusted OR = 4.02, 95 % CI 1.62-10.10) and having a respiratory timer as a diagnostic tool (adjusted OR =3.11, 95 % CI 1.08-9.00). Conclusions: The low medicine stocks for the community management of childhood illnesses calls for strengthening of CHW supervision, medicine prescription and reporting, and increasing availability of functional diagnostic tools.","author":[{"dropping-particle":"","family":"Bagonza","given":"James","non-dropping-particle":"","parse-names":false,"suffix":""},{"dropping-particle":"","family":"Rutebemberwa","given":"Elizeus","non-dropping-particle":"","parse-names":false,"suffix":""},{"dropping-particle":"","family":"Eckmanns","given":"Tim","non-dropping-particle":"","parse-names":false,"suffix":""},{"dropping-particle":"","family":"Ekirapa-Kiracho","given":"Elizabeth","non-dropping-particle":"","parse-names":false,"suffix":""}],"container-title":"BMC Public Health","id":"ITEM-9","issue":"1","issued":{"date-parts":[["2015","11","25"]]},"page":"1180","publisher":"BioMed Central Ltd.","title":"What influences availability of medicines for the community management of childhood illnesses in central Uganda? Implications for scaling up the integrated community case management programme Health policies, systems and management in low and middle-income countries","type":"article-journal","volume":"15"},"uris":["http://www.mendeley.com/documents/?uuid=e4fd350c-8976-36c1-b521-7f6349bd5696"]},{"id":"ITEM-10","itemData":{"DOI":"10.1186/1475-2875-12-95","ISSN":"14752875","abstract":"BACKGROUND: Health workers in sub-Saharan Africa can now diagnose and treat malaria in the field, using rapid diagnostic tests and artemisinin-based combination therapy in areas without microscopy and widespread resistance to previously effective drugs.\\n\\nOBJECTIVE: This study evaluates communities' perceptions of a new community case management of malaria programme in the district of Saraya, south-eastern Senegal, the effectiveness of lay health worker trainings, and the availability of rapid diagnostic tests and artemisinin-based combination therapy in the field.\\n\\nMETHODS: The study employed qualitative and quantitative methods including focus groups with villagers, and pre- and post-training questionnaires with lay health workers.\\n\\nRESULTS: Communities approved of the community case management programme, but expressed concern about other general barriers to care, particularly transportation challenges. Most lay health workers acquired important skills, but a sizeable minority did not understand the rapid diagnostic test algorithm and were not able to correctly prescribe arteminisin-based combination therapy soon after the training. Further, few women lay health workers participated in the programme. Finally, the study identified stock-outs of rapid tests and anti-malaria medication products in over half of the programme sites two months after the start of the programme, thought due to a regional shortage.\\n\\nCONCLUSION: This study identified barriers to implementation of the community case management of malaria programme in Saraya that include lay health worker training, low numbers of women participants, and generalized stock-outs. These barriers warrant investigation into possible solutions of relevance to community case management generally.","author":[{"dropping-particle":"","family":"Blanas","given":"Demetri A.","non-dropping-particle":"","parse-names":false,"suffix":""},{"dropping-particle":"","family":"Ndiaye","given":"Youssoupha","non-dropping-particle":"","parse-names":false,"suffix":""},{"dropping-particle":"","family":"Nichols","given":"Kim","non-dropping-particle":"","parse-names":false,"suffix":""},{"dropping-particle":"","family":"Jensen","given":"Andrew","non-dropping-particle":"","parse-names":false,"suffix":""},{"dropping-particle":"","family":"Siddiqui","given":"Ammar","non-dropping-particle":"","parse-names":false,"suffix":""},{"dropping-particle":"","family":"Hennig","given":"Nils","non-dropping-particle":"","parse-names":false,"suffix":""}],"container-title":"Malaria Journal","id":"ITEM-10","issue":"1","issued":{"date-parts":[["2013"]]},"title":"Barriers to community case management of malaria in Saraya, Senegal: Training, and supply-chains","type":"article-journal","volume":"12"},"uris":["http://www.mendeley.com/documents/?uuid=7f56aaba-97ed-32a2-9d1e-e2ae1c41390f"]},{"id":"ITEM-11","itemData":{"DOI":"10.3402/gha.v8.24271","ISSN":"16549880","PMID":"25843496","abstract":"Background: In Uganda maternal and neonatal mortality remains high due to a number of factors, including poor quality of care at health facilities. Objective: This paper describes the experience of building capacity for maternal and newborn care at a district hospital and lower-level health facilities in eastern Uganda within the existing system parameters and a robust community outreach programme. Design: This health system strengthening study, part of the Uganda Newborn Study (UNEST), aimed to increase frontline health worker capacity through district-led training, support supervision, and mentoring at one district hospital and 19 lower-level facilities. A once-off supply of essential medicines and equipment was provided to address immediate critical gaps. Health workers were empowered to requisition subsequent supplies through use of district resources. Minimal infrastructure adjustments were provided. Quantitative data collection was done within routine process monitoring and qualitative data were collected during support supervision visits. We use the World Health Organization Health System Building Blocks to describe the process of district-led health facility strengthening. Results: Seventy two per cent of eligible health workers were trained. The mean post-training knowledge score was 68% compared to 32% in the pre-training test, and 80% 1 year later. Health worker skills and competencies in care of high-risk babies improved following support supervision and mentoring. Health facility deliveries increased from 3,151 to 4,115 (a 30% increase) in 2 years. Of 547 preterm babies admitted to the newly introduced kangaroo mother care (KMC) unit, 85% were discharged alive to continue KMC at home. There was a non-significant declining trend for in-hospital neonatal deaths across the 2-year study period. While equipment levels remained high after initial improvement efforts, maintaining supply of even the most basic medications was a challenge, with less than 40% of health facilities reporting no stock-outs. Conclusion: Health system strengthening for care at birth and the newborn period is possible even in lowresource settings and can be associated with improved utilisation and outcomes. Through a participatory process with wide engagement, training, and improvements to support supervision and logistics, health workers were able to change behaviours and practices for maternal and newborn care. Local solutions are needed to ensure sustainability of medic…","author":[{"dropping-particle":"","family":"Namazzi","given":"Gertrude","non-dropping-particle":"","parse-names":false,"suffix":""},{"dropping-particle":"","family":"Waiswa","given":"Peter","non-dropping-particle":"","parse-names":false,"suffix":""},{"dropping-particle":"","family":"Nakakeeto","given":"Margaret","non-dropping-particle":"","parse-names":false,"suffix":""},{"dropping-particle":"","family":"Nakibuuka","given":"Victoria K.","non-dropping-particle":"","parse-names":false,"suffix":""},{"dropping-particle":"","family":"Namutamba","given":"Sarah","non-dropping-particle":"","parse-names":false,"suffix":""},{"dropping-particle":"","family":"Najjemba","given":"Maria","non-dropping-particle":"","parse-names":false,"suffix":""},{"dropping-particle":"","family":"Namusaabi","given":"Ruth","non-dropping-particle":"","parse-names":false,"suffix":""},{"dropping-particle":"","family":"Tagoola","given":"Abner","non-dropping-particle":"","parse-names":false,"suffix":""},{"dropping-particle":"","family":"Nakate","given":"Grace","non-dropping-particle":"","parse-names":false,"suffix":""},{"dropping-particle":"","family":"Ajeani","given":"Judith","non-dropping-particle":"","parse-names":false,"suffix":""},{"dropping-particle":"","family":"Peterson","given":"Stefan","non-dropping-particle":"","parse-names":false,"suffix":""},{"dropping-particle":"","family":"Byaruhanga","given":"Romano N.","non-dropping-particle":"","parse-names":false,"suffix":""}],"container-title":"Global Health Action","id":"ITEM-11","issue":"1","issued":{"date-parts":[["2015"]]},"publisher":"Co-Action Publishing","title":"Strengthening health facilities for maternal and newborn care: Experiences from rural eastern Uganda","type":"article-journal","volume":"8"},"uris":["http://www.mendeley.com/documents/?uuid=1fe540b1-651a-3b6a-aada-a5584bca99af"]},{"id":"ITEM-12","itemData":{"author":[{"dropping-particle":"","family":"Village Reach","given":"","non-dropping-particle":"","parse-names":false,"suffix":""}],"id":"ITEM-12","issued":{"date-parts":[["2016"]]},"number-of-pages":"1-11","title":"Outsourcing Transport to Improve Health at the Last Mile : A Case Study The Long Road to Health","type":"report"},"uris":["http://www.mendeley.com/documents/?uuid=3870ba4f-09ab-4296-83a3-2cc02fb13f53"]}],"mendeley":{"formattedCitation":"(27,28,68,70,31,39,40,44,54,57,58,67)","plainTextFormattedCitation":"(27,28,68,70,31,39,40,44,54,57,58,67)"},"properties":{"noteIndex":0},"schema":"https://github.com/citation-style-language/schema/raw/master/csl-citation.json"}</w:instrText>
            </w:r>
            <w:r w:rsidRPr="00DA7609">
              <w:rPr>
                <w:sz w:val="24"/>
                <w:szCs w:val="24"/>
                <w:u w:color="000000"/>
              </w:rPr>
              <w:fldChar w:fldCharType="separate"/>
            </w:r>
            <w:r w:rsidRPr="00DA7609">
              <w:rPr>
                <w:noProof/>
                <w:sz w:val="24"/>
                <w:szCs w:val="24"/>
                <w:u w:color="000000"/>
              </w:rPr>
              <w:t>(27,28,68,70,31,39,40,44,54,57,58,67)</w:t>
            </w:r>
            <w:r w:rsidRPr="00DA7609">
              <w:rPr>
                <w:sz w:val="24"/>
                <w:szCs w:val="24"/>
                <w:u w:color="000000"/>
              </w:rPr>
              <w:fldChar w:fldCharType="end"/>
            </w:r>
          </w:p>
        </w:tc>
      </w:tr>
      <w:tr w:rsidR="00DA7609" w:rsidRPr="00DA7609" w14:paraId="15E5A71A" w14:textId="77777777" w:rsidTr="00FE1ADC">
        <w:trPr>
          <w:cantSplit/>
          <w:trHeight w:val="395"/>
        </w:trPr>
        <w:tc>
          <w:tcPr>
            <w:cnfStyle w:val="001000000000" w:firstRow="0" w:lastRow="0" w:firstColumn="1" w:lastColumn="0" w:oddVBand="0" w:evenVBand="0" w:oddHBand="0" w:evenHBand="0" w:firstRowFirstColumn="0" w:firstRowLastColumn="0" w:lastRowFirstColumn="0" w:lastRowLastColumn="0"/>
            <w:tcW w:w="3369" w:type="dxa"/>
          </w:tcPr>
          <w:p w14:paraId="02C43BAD" w14:textId="77777777" w:rsidR="00DA7609" w:rsidRPr="00DA7609" w:rsidRDefault="00DA7609" w:rsidP="00DA7609">
            <w:pPr>
              <w:spacing w:before="60" w:after="60"/>
              <w:ind w:hanging="2"/>
              <w:rPr>
                <w:noProof/>
                <w:u w:val="single"/>
              </w:rPr>
            </w:pPr>
            <w:bookmarkStart w:id="49" w:name="_Hlk72084356"/>
            <w:bookmarkEnd w:id="47"/>
            <w:r w:rsidRPr="00DA7609">
              <w:rPr>
                <w:noProof/>
                <w:u w:val="single"/>
              </w:rPr>
              <w:t>Consequences of stock-out on stakeholders</w:t>
            </w:r>
          </w:p>
        </w:tc>
        <w:tc>
          <w:tcPr>
            <w:tcW w:w="2143" w:type="dxa"/>
          </w:tcPr>
          <w:p w14:paraId="3D320ECD"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b/>
                <w:bCs/>
                <w:noProof/>
              </w:rPr>
            </w:pPr>
            <w:r w:rsidRPr="00DA7609">
              <w:rPr>
                <w:b/>
                <w:bCs/>
              </w:rPr>
              <w:t>Program (5)</w:t>
            </w:r>
          </w:p>
        </w:tc>
        <w:tc>
          <w:tcPr>
            <w:tcW w:w="2834" w:type="dxa"/>
          </w:tcPr>
          <w:p w14:paraId="446E95BB"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i/>
                <w:iCs/>
                <w:noProof/>
              </w:rPr>
            </w:pPr>
            <w:r w:rsidRPr="00DA7609">
              <w:rPr>
                <w:i/>
                <w:iCs/>
                <w:noProof/>
              </w:rPr>
              <w:t>Poor performance</w:t>
            </w:r>
          </w:p>
        </w:tc>
        <w:tc>
          <w:tcPr>
            <w:tcW w:w="3514" w:type="dxa"/>
          </w:tcPr>
          <w:p w14:paraId="61730DCF"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noProof/>
              </w:rPr>
            </w:pPr>
            <w:r w:rsidRPr="00DA7609">
              <w:rPr>
                <w:b/>
                <w:bCs/>
              </w:rPr>
              <w:fldChar w:fldCharType="begin" w:fldLock="1"/>
            </w:r>
            <w:r w:rsidRPr="00DA7609">
              <w:instrText>ADDIN CSL_CITATION {"citationItems":[{"id":"ITEM-1","itemData":{"author":[{"dropping-particle":"","family":"Ndou","given":"T","non-dropping-particle":"","parse-names":false,"suffix":""},{"dropping-particle":"van","family":"Zyl","given":"G","non-dropping-particle":"","parse-names":false,"suffix":""},{"dropping-particle":"","family":"Hlahane","given":"S","non-dropping-particle":"","parse-names":false,"suffix":""},{"dropping-particle":"","family":"Goudge","given":"J","non-dropping-particle":"","parse-names":false,"suffix":""}],"container-title":"Global Health Action","id":"ITEM-1","issue":"19228","issued":{"date-parts":[["2013"]]},"note":"Using Smart Source Parsing\n15 ref","title":"A rapid assessment of a community health worker pilot programme to improve the management of hypertension and diabetes in Emfuleni sub-district of Gauteng Province, South Africa. (Special Issue: Building new knowledge.)","type":"article-journal","volume":"6"},"uris":["http://www.mendeley.com/documents/?uuid=0dddc598-c1f5-4a20-95a1-645eb3ee79fe"]},{"id":"ITEM-2","itemData":{"DOI":"10.1186/s12913-017-2723-0","ISBN":"1472-6963","PMID":"29183312","abstract":"BACKGROUND: Integrated community case management (iCCM) strategies aim to reach poor communities by providing timely access to treatment for malaria, pneumonia and diarrhoea for children under 5 years of age. Community health workers, known as Village Health Teams (VHTs) in Uganda, have been shown to be effective in hard-to-reach, underserved areas, but there is little evidence to support iCCM as an appropriate strategy in non-rural contexts. This study aimed to inform future iCCM implementation by exploring caregiver and VHT member perceptions of the value and effectiveness of iCCM in peri-urban settings in Uganda. METHODS: A qualitative evaluation was conducted in seven villages in Wakiso district, a rapidly urbanising area in central Uganda. Villages were purposively selected, spanning a range of peri-urban settlements experiencing rapid population change. In each village, rapid appraisal activities were undertaken separately with purposively selected caregivers (n = 85) and all iCCM-trained VHT members (n = 14), providing platforms for group discussions. Fifteen key informant interviews were also conducted with community leaders and VHT members. Thematic analysis was based on the 'Health Access Livelihoods Framework'. RESULTS: iCCM was perceived to facilitate timely treatment access and improve child health in peri-urban settings, often supplanting private clinics and traditional healers as first point of care. Relative to other health service providers, caregivers valued VHTs' free, proximal services, caring attitudes, perceived treatment quality, perceived competency and protocol use, and follow-up and referral services. VHT effectiveness was perceived to be restricted by inadequate diagnostics, limited newborn care, drug stockouts and VHT member absence - factors which drove utilisation of alternative providers. Low community engagement in VHT selection, lack of referral transport and poor availability of referral services also diminished perceived effectiveness. The iCCM strategy was widely perceived to result in economic savings and other livelihood benefits. CONCLUSIONS: In peri-urban areas, iCCM was perceived as an effective, well-utilised strategy, reflecting both VHT attributes and gaps in existing health services. Depending on health system resources and organisation, iCCM may be a useful transitional service delivery approach. Implementation in peri-urban areas should consider tailored community engagement strategies, adapted selection cr…","author":[{"dropping-particle":"","family":"Altaras","given":"R","non-dropping-particle":"","parse-names":false,"suffix":""},{"dropping-particle":"","family":"Montague","given":"M","non-dropping-particle":"","parse-names":false,"suffix":""},{"dropping-particle":"","family":"Graham","given":"K","non-dropping-particle":"","parse-names":false,"suffix":""},{"dropping-particle":"","family":"Strachan","given":"C E","non-dropping-particle":"","parse-names":false,"suffix":""},{"dropping-particle":"","family":"Senyonjo","given":"L","non-dropping-particle":"","parse-names":false,"suffix":""},{"dropping-particle":"","family":"King","given":"R","non-dropping-particle":"","parse-names":false,"suffix":""},{"dropping-particle":"","family":"Counihan","given":"H","non-dropping-particle":"","parse-names":false,"suffix":""},{"dropping-particle":"","family":"Mubiru","given":"D","non-dropping-particle":"","parse-names":false,"suffix":""},{"dropping-particle":"","family":"Källander","given":"K","non-dropping-particle":"","parse-names":false,"suffix":""},{"dropping-particle":"","family":"Meek","given":"S","non-dropping-particle":"","parse-names":false,"suffix":""},{"dropping-particle":"","family":"Tibenderana","given":"J","non-dropping-particle":"","parse-names":false,"suffix":""}],"container-title":"BMC Health Serv Res","edition":"2017/12/01","id":"ITEM-2","issue":"1","issued":{"date-parts":[["2017"]]},"language":"eng","note":"1472-6963\nAltaras, Robin\nMontague, Mark\nGraham, Kirstie\nStrachan, Clare E\nSenyonjo, Laura\nKing, Rebecca\nCounihan, Helen\nMubiru, Denis\nKällander, Karin\nMeek, Sylvia\nTibenderana, James\nComdis hsd/dfid/\nProgramme Partnership Arrangement/DFID/\nJournal Article\nBMC Health Serv Res. 2017 Nov 28;17(1):785. doi: 10.1186/s12913-017-2723-0.","page":"785","title":"Integrated community case management in a peri-urban setting: a qualitative evaluation in Wakiso District, Uganda","type":"article-journal","volume":"17"},"uris":["http://www.mendeley.com/documents/?uuid=bad45289-3c18-4eec-a183-47c5451246cd"]},{"id":"ITEM-3","itemData":{"DOI":"10.4269/ajtmh.14-0094","ISBN":"0002-9637 (Print)\r0002-9637","PMID":"24957538","abstract":"A systematic literature review was conducted to assess the effectiveness of strategies to improve community case management (CCM) of malaria. Forty-three studies were included; most (38) reported indicators of community health worker (CHW) performance, 14 reported on malaria CCM integrated with other child health interventions, 16 reported on health system capacity, and 13 reported on referral. The CHWs are able to provide good quality malaria care, including performing procedures such as rapid diagnostic tests. Appropriate training, clear guidelines, and regular supportive supervision are important facilitating factors. Crucial to sustainable success of CHW programs is strengthening health system capacity to support commodity supply, supervision, and appropriate treatment of referred cases. The little evidence available on referral from community to health facility level suggests that this is an area that needs priority attention. The studies of integrated CCM suggest that additional tasks do not reduce the quality of malaria CCM provided sufficient training and supervision is maintained.","author":[{"dropping-particle":"","family":"Smith Paintain","given":"L","non-dropping-particle":"","parse-names":false,"suffix":""},{"dropping-particle":"","family":"Willey","given":"B","non-dropping-particle":"","parse-names":false,"suffix":""},{"dropping-particle":"","family":"Kedenge","given":"S","non-dropping-particle":"","parse-names":false,"suffix":""},{"dropping-particle":"","family":"Sharkey","given":"A","non-dropping-particle":"","parse-names":false,"suffix":""},{"dropping-particle":"","family":"Kim","given":"J","non-dropping-particle":"","parse-names":false,"suffix":""},{"dropping-particle":"","family":"Buj","given":"V","non-dropping-particle":"","parse-names":false,"suffix":""},{"dropping-particle":"","family":"Webster","given":"J","non-dropping-particle":"","parse-names":false,"suffix":""},{"dropping-particle":"","family":"Schellenberg","given":"D","non-dropping-particle":"","parse-names":false,"suffix":""},{"dropping-particle":"","family":"Ngongo","given":"N","non-dropping-particle":"","parse-names":false,"suffix":""}],"container-title":"Am J Trop Med Hyg","edition":"2014/06/25","id":"ITEM-3","issue":"3","issued":{"date-parts":[["2014"]]},"language":"eng","note":"1476-1645\nSmith Paintain, Lucy\nWilley, Barbara\nKedenge, Sarah\nSharkey, Alyssa\nKim, Julia\nBuj, Valentina\nWebster, Jayne\nSchellenberg, David\nNgongo, Ngashi\nMR/K012126/1/Medical Research Council/United Kingdom\nJournal Article\nResearch Support, Non-U.S. Gov't\nReview\nSystematic Review\nAm J Trop Med Hyg. 2014 Sep;91(3):461-470. doi: 10.4269/ajtmh.14-0094. Epub 2014 Jun 23.","page":"461-470","title":"Community health workers and stand-alone or integrated case management of malaria: a systematic literature review","type":"article-journal","volume":"91"},"uris":["http://www.mendeley.com/documents/?uuid=49074e2f-e05f-4d5f-ac92-5d85da4f9462"]},{"id":"ITEM-4","itemData":{"DOI":"10.4269/ajtmh.15-0585","ISSN":"00029637","PMID":"26787147","abstract":"We conducted a prospective evaluation of the \"Rapid Scale-Up\" (RSU) program in Burkina Faso, focusing on the integrated community case management (iCCM) component of the program. We used a quasi-experimental design in which nine RSU districts were compared with seven districts without the program. The evaluation included documentation of program implementation, assessments of implementation and quality of care, baseline and endline coverage surveys, and estimation of mortality changes using the Lives Saved Tool. Although the program trained large numbers of community health workers, there were implementation shortcomings related to training, supervision, and drug stockouts. The quality of care provided to sick children was poor, and utilization of community health workers was low. Changes in intervention coverage were comparable in RSU and comparison areas. Estimated under-five mortality declined by 6.2% (from 110 to 103 deaths per 1,000 live births) in the RSU area and 4.2% (from 114 to 109 per 1,000 live births) in the comparison area. The RSU did not result in coverage increases or mortality reductions in Burkina Faso, but we cannot draw conclusions about the effectiveness of the iCCM strategy, given implementation shortcomings. The evaluation results highlight the need for greater attention to implementation of iCCM programs.","author":[{"dropping-particle":"","family":"Munos","given":"Melinda","non-dropping-particle":"","parse-names":false,"suffix":""},{"dropping-particle":"","family":"Guiella","given":"Georges","non-dropping-particle":"","parse-names":false,"suffix":""},{"dropping-particle":"","family":"Roberton","given":"Timothy","non-dropping-particle":"","parse-names":false,"suffix":""},{"dropping-particle":"","family":"Maïga","given":"Abdoulaye","non-dropping-particle":"","parse-names":false,"suffix":""},{"dropping-particle":"","family":"Tiendrebeogo","given":"Adama","non-dropping-particle":"","parse-names":false,"suffix":""},{"dropping-particle":"","family":"Tam","given":"Yvonne","non-dropping-particle":"","parse-names":false,"suffix":""},{"dropping-particle":"","family":"Bryce","given":"Jennifer","non-dropping-particle":"","parse-names":false,"suffix":""},{"dropping-particle":"","family":"Baya","given":"Banza","non-dropping-particle":"","parse-names":false,"suffix":""}],"container-title":"American Journal of Tropical Medicine and Hygiene","id":"ITEM-4","issue":"3","issued":{"date-parts":[["2016","3","1"]]},"page":"584-595","publisher":"American Society of Tropical Medicine and Hygiene","title":"Independent evaluation of the rapid scale-up program to reduce under-five mortality in Burkina Faso","type":"article-journal","volume":"94"},"uris":["http://www.mendeley.com/documents/?uuid=50cbc1cc-ab23-3f8b-a1d4-710f70f05e22"]},{"id":"ITEM-5","itemData":{"author":[{"dropping-particle":"","family":"Global Fund","given":"","non-dropping-particle":"","parse-names":false,"suffix":""},{"dropping-particle":"","family":"WHO","given":"","non-dropping-particle":"","parse-names":false,"suffix":""},{"dropping-particle":"","family":"UNICEF","given":"","non-dropping-particle":"","parse-names":false,"suffix":""}],"id":"ITEM-5","issued":{"date-parts":[["2018"]]},"title":"Integrated Community Case Management (iCCM) in Sub-Saharan Africa: Successes &amp; Challenges with Access, Speed &amp; Quality Thematic review report","type":"report"},"uris":["http://www.mendeley.com/documents/?uuid=cdd8cc09-fda0-3226-b6c3-baca7bae910b"]}],"mendeley":{"formattedCitation":"(28,33,69,75,78)","plainTextFormattedCitation":"(28,33,69,75,78)","previouslyFormattedCitation":"(28,33,69,75,78)"},"properties":{"noteIndex":0},"schema":"https://github.com/citation-style-language/schema/raw/master/csl-citation.json"}</w:instrText>
            </w:r>
            <w:r w:rsidRPr="00DA7609">
              <w:rPr>
                <w:b/>
                <w:bCs/>
              </w:rPr>
              <w:fldChar w:fldCharType="separate"/>
            </w:r>
            <w:r w:rsidRPr="00DA7609">
              <w:rPr>
                <w:noProof/>
              </w:rPr>
              <w:t>(28,33,69,75,78)</w:t>
            </w:r>
            <w:r w:rsidRPr="00DA7609">
              <w:rPr>
                <w:b/>
                <w:bCs/>
              </w:rPr>
              <w:fldChar w:fldCharType="end"/>
            </w:r>
          </w:p>
        </w:tc>
      </w:tr>
      <w:tr w:rsidR="00DA7609" w:rsidRPr="00DA7609" w14:paraId="77A79675" w14:textId="77777777" w:rsidTr="00FE1ADC">
        <w:trPr>
          <w:cnfStyle w:val="000000100000" w:firstRow="0" w:lastRow="0" w:firstColumn="0" w:lastColumn="0" w:oddVBand="0" w:evenVBand="0" w:oddHBand="1" w:evenHBand="0" w:firstRowFirstColumn="0" w:firstRowLastColumn="0" w:lastRowFirstColumn="0" w:lastRowLastColumn="0"/>
          <w:cantSplit/>
          <w:trHeight w:val="440"/>
        </w:trPr>
        <w:tc>
          <w:tcPr>
            <w:cnfStyle w:val="001000000000" w:firstRow="0" w:lastRow="0" w:firstColumn="1" w:lastColumn="0" w:oddVBand="0" w:evenVBand="0" w:oddHBand="0" w:evenHBand="0" w:firstRowFirstColumn="0" w:firstRowLastColumn="0" w:lastRowFirstColumn="0" w:lastRowLastColumn="0"/>
            <w:tcW w:w="3369" w:type="dxa"/>
          </w:tcPr>
          <w:p w14:paraId="26484F50" w14:textId="77777777" w:rsidR="00DA7609" w:rsidRPr="00DA7609" w:rsidRDefault="00DA7609" w:rsidP="00DA7609">
            <w:pPr>
              <w:spacing w:before="60" w:after="60"/>
              <w:ind w:hanging="2"/>
              <w:rPr>
                <w:noProof/>
                <w:u w:val="single"/>
              </w:rPr>
            </w:pPr>
          </w:p>
        </w:tc>
        <w:tc>
          <w:tcPr>
            <w:tcW w:w="2143" w:type="dxa"/>
          </w:tcPr>
          <w:p w14:paraId="3F1772C0"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rPr>
            </w:pPr>
          </w:p>
        </w:tc>
        <w:tc>
          <w:tcPr>
            <w:tcW w:w="2834" w:type="dxa"/>
          </w:tcPr>
          <w:p w14:paraId="0199FC8E"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noProof/>
              </w:rPr>
            </w:pPr>
            <w:r w:rsidRPr="00DA7609">
              <w:rPr>
                <w:i/>
                <w:iCs/>
                <w:noProof/>
              </w:rPr>
              <w:t>Reduced acceptability</w:t>
            </w:r>
          </w:p>
        </w:tc>
        <w:tc>
          <w:tcPr>
            <w:tcW w:w="3514" w:type="dxa"/>
          </w:tcPr>
          <w:p w14:paraId="0B7A8E09"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rPr>
            </w:pPr>
            <w:r w:rsidRPr="00DA7609">
              <w:fldChar w:fldCharType="begin" w:fldLock="1"/>
            </w:r>
            <w:r w:rsidRPr="00DA7609">
              <w:instrText>ADDIN CSL_CITATION {"citationItems":[{"id":"ITEM-1","itemData":{"DOI":"10.1186/s12913-017-2723-0","ISBN":"1472-6963","PMID":"29183312","abstract":"BACKGROUND: Integrated community case management (iCCM) strategies aim to reach poor communities by providing timely access to treatment for malaria, pneumonia and diarrhoea for children under 5 years of age. Community health workers, known as Village Health Teams (VHTs) in Uganda, have been shown to be effective in hard-to-reach, underserved areas, but there is little evidence to support iCCM as an appropriate strategy in non-rural contexts. This study aimed to inform future iCCM implementation by exploring caregiver and VHT member perceptions of the value and effectiveness of iCCM in peri-urban settings in Uganda. METHODS: A qualitative evaluation was conducted in seven villages in Wakiso district, a rapidly urbanising area in central Uganda. Villages were purposively selected, spanning a range of peri-urban settlements experiencing rapid population change. In each village, rapid appraisal activities were undertaken separately with purposively selected caregivers (n = 85) and all iCCM-trained VHT members (n = 14), providing platforms for group discussions. Fifteen key informant interviews were also conducted with community leaders and VHT members. Thematic analysis was based on the 'Health Access Livelihoods Framework'. RESULTS: iCCM was perceived to facilitate timely treatment access and improve child health in peri-urban settings, often supplanting private clinics and traditional healers as first point of care. Relative to other health service providers, caregivers valued VHTs' free, proximal services, caring attitudes, perceived treatment quality, perceived competency and protocol use, and follow-up and referral services. VHT effectiveness was perceived to be restricted by inadequate diagnostics, limited newborn care, drug stockouts and VHT member absence - factors which drove utilisation of alternative providers. Low community engagement in VHT selection, lack of referral transport and poor availability of referral services also diminished perceived effectiveness. The iCCM strategy was widely perceived to result in economic savings and other livelihood benefits. CONCLUSIONS: In peri-urban areas, iCCM was perceived as an effective, well-utilised strategy, reflecting both VHT attributes and gaps in existing health services. Depending on health system resources and organisation, iCCM may be a useful transitional service delivery approach. Implementation in peri-urban areas should consider tailored community engagement strategies, adapted selection cr…","author":[{"dropping-particle":"","family":"Altaras","given":"R","non-dropping-particle":"","parse-names":false,"suffix":""},{"dropping-particle":"","family":"Montague","given":"M","non-dropping-particle":"","parse-names":false,"suffix":""},{"dropping-particle":"","family":"Graham","given":"K","non-dropping-particle":"","parse-names":false,"suffix":""},{"dropping-particle":"","family":"Strachan","given":"C E","non-dropping-particle":"","parse-names":false,"suffix":""},{"dropping-particle":"","family":"Senyonjo","given":"L","non-dropping-particle":"","parse-names":false,"suffix":""},{"dropping-particle":"","family":"King","given":"R","non-dropping-particle":"","parse-names":false,"suffix":""},{"dropping-particle":"","family":"Counihan","given":"H","non-dropping-particle":"","parse-names":false,"suffix":""},{"dropping-particle":"","family":"Mubiru","given":"D","non-dropping-particle":"","parse-names":false,"suffix":""},{"dropping-particle":"","family":"Källander","given":"K","non-dropping-particle":"","parse-names":false,"suffix":""},{"dropping-particle":"","family":"Meek","given":"S","non-dropping-particle":"","parse-names":false,"suffix":""},{"dropping-particle":"","family":"Tibenderana","given":"J","non-dropping-particle":"","parse-names":false,"suffix":""}],"container-title":"BMC Health Serv Res","edition":"2017/12/01","id":"ITEM-1","issue":"1","issued":{"date-parts":[["2017"]]},"language":"eng","note":"1472-6963\nAltaras, Robin\nMontague, Mark\nGraham, Kirstie\nStrachan, Clare E\nSenyonjo, Laura\nKing, Rebecca\nCounihan, Helen\nMubiru, Denis\nKällander, Karin\nMeek, Sylvia\nTibenderana, James\nComdis hsd/dfid/\nProgramme Partnership Arrangement/DFID/\nJournal Article\nBMC Health Serv Res. 2017 Nov 28;17(1):785. doi: 10.1186/s12913-017-2723-0.","page":"785","title":"Integrated community case management in a peri-urban setting: a qualitative evaluation in Wakiso District, Uganda","type":"article-journal","volume":"17"},"uris":["http://www.mendeley.com/documents/?uuid=bad45289-3c18-4eec-a183-47c5451246cd"]}],"mendeley":{"formattedCitation":"(69)","plainTextFormattedCitation":"(69)","previouslyFormattedCitation":"(69)"},"properties":{"noteIndex":0},"schema":"https://github.com/citation-style-language/schema/raw/master/csl-citation.json"}</w:instrText>
            </w:r>
            <w:r w:rsidRPr="00DA7609">
              <w:fldChar w:fldCharType="separate"/>
            </w:r>
            <w:r w:rsidRPr="00DA7609">
              <w:rPr>
                <w:noProof/>
              </w:rPr>
              <w:t>(69)</w:t>
            </w:r>
            <w:r w:rsidRPr="00DA7609">
              <w:fldChar w:fldCharType="end"/>
            </w:r>
          </w:p>
        </w:tc>
      </w:tr>
      <w:tr w:rsidR="00DA7609" w:rsidRPr="00DA7609" w14:paraId="674ADD97" w14:textId="77777777" w:rsidTr="00FE1ADC">
        <w:trPr>
          <w:cantSplit/>
          <w:trHeight w:val="620"/>
        </w:trPr>
        <w:tc>
          <w:tcPr>
            <w:cnfStyle w:val="001000000000" w:firstRow="0" w:lastRow="0" w:firstColumn="1" w:lastColumn="0" w:oddVBand="0" w:evenVBand="0" w:oddHBand="0" w:evenHBand="0" w:firstRowFirstColumn="0" w:firstRowLastColumn="0" w:lastRowFirstColumn="0" w:lastRowLastColumn="0"/>
            <w:tcW w:w="3369" w:type="dxa"/>
          </w:tcPr>
          <w:p w14:paraId="7343EBC4" w14:textId="77777777" w:rsidR="00DA7609" w:rsidRPr="00DA7609" w:rsidRDefault="00DA7609" w:rsidP="00DA7609">
            <w:pPr>
              <w:spacing w:before="60" w:after="60"/>
              <w:ind w:hanging="2"/>
              <w:rPr>
                <w:noProof/>
                <w:u w:val="single"/>
              </w:rPr>
            </w:pPr>
            <w:bookmarkStart w:id="50" w:name="_Hlk72084393"/>
            <w:bookmarkEnd w:id="49"/>
          </w:p>
        </w:tc>
        <w:tc>
          <w:tcPr>
            <w:tcW w:w="2143" w:type="dxa"/>
          </w:tcPr>
          <w:p w14:paraId="0FB8BDF6"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noProof/>
              </w:rPr>
            </w:pPr>
            <w:r w:rsidRPr="00DA7609">
              <w:rPr>
                <w:b/>
                <w:bCs/>
                <w:u w:color="000000"/>
              </w:rPr>
              <w:t>Health center (7)</w:t>
            </w:r>
          </w:p>
        </w:tc>
        <w:tc>
          <w:tcPr>
            <w:tcW w:w="2834" w:type="dxa"/>
          </w:tcPr>
          <w:p w14:paraId="3D5C2E4E"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i/>
                <w:iCs/>
                <w:noProof/>
              </w:rPr>
            </w:pPr>
            <w:r w:rsidRPr="00DA7609">
              <w:rPr>
                <w:i/>
                <w:iCs/>
                <w:noProof/>
              </w:rPr>
              <w:t>Increased workload from CHW referrals</w:t>
            </w:r>
          </w:p>
        </w:tc>
        <w:tc>
          <w:tcPr>
            <w:tcW w:w="3514" w:type="dxa"/>
          </w:tcPr>
          <w:p w14:paraId="1469390F" w14:textId="77777777" w:rsidR="00DA7609" w:rsidRPr="00DA7609" w:rsidRDefault="00DA7609" w:rsidP="00DA7609">
            <w:pPr>
              <w:spacing w:line="276" w:lineRule="auto"/>
              <w:ind w:hanging="2"/>
              <w:jc w:val="both"/>
              <w:cnfStyle w:val="000000000000" w:firstRow="0" w:lastRow="0" w:firstColumn="0" w:lastColumn="0" w:oddVBand="0" w:evenVBand="0" w:oddHBand="0"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{"citationItems":[{"id":"ITEM-1","itemData":{"author":[{"dropping-particle":"","family":"Global Fund","given":"","non-dropping-particle":"","parse-names":false,"suffix":""},{"dropping-particle":"","family":"WHO","given":"","non-dropping-particle":"","parse-names":false,"suffix":""},{"dropping-particle":"","family":"UNICEF","given":"","non-dropping-particle":"","parse-names":false,"suffix":""}],"id":"ITEM-1","issued":{"date-parts":[["2018"]]},"title":"Integrated Community Case Management (iCCM) in Sub-Saharan Africa: Successes &amp; Challenges with Access, Speed &amp; Quality Thematic review report","type":"report"},"uris":["http://www.mendeley.com/documents/?uuid=cdd8cc09-fda0-3226-b6c3-baca7bae910b"]},{"id":"ITEM-2","itemData":{"author":[{"dropping-particle":"","family":"Strachan","given":"C","non-dropping-particle":"","parse-names":false,"suffix":""},{"dropping-particle":"","family":"Wharton-Smith","given":"A","non-dropping-particle":"","parse-names":false,"suffix":""},{"dropping-particle":"","family":"Sinyangwe","given":"C","non-dropping-particle":"","parse-names":false,"suffix":""},{"dropping-particle":"","family":"Mubiru","given":"D","non-dropping-particle":"","parse-names":false,"suffix":""},{"dropping-particle":"","family":"Ssekitooleko","given":"J","non-dropping-particle":"","parse-names":false,"suffix":""},{"dropping-particle":"","family":"Meier","given":"J","non-dropping-particle":"","parse-names":false,"suffix":""},{"dropping-particle":"","family":"Gbanya","given":"M","non-dropping-particle":"","parse-names":false,"suffix":""},{"dropping-particle":"","family":"Tibenderana","given":"J K","non-dropping-particle":"","parse-names":false,"suffix":""},{"dropping-particle":"","family":"Counihan","given":"H","non-dropping-particle":"","parse-names":false,"suffix":""}],"container-title":"Journal of Global Health","id":"ITEM-2","issue":"2","issued":{"date-parts":[["2014"]]},"note":"Using Smart Source Parsing\n020404. 19 ref","title":"Integrated community case management of malaria, pneumonia and diarrhoea across three African countries: a qualitative study exploring lessons learnt and implications for further scale up. (Themed Issue: Current scientific evidence for integrated communit","type":"article-journal","volume":"4"},"uris":["http://www.mendeley.com/documents/?uuid=403cfebb-623e-4cf9-95dc-ddf76714c7f3"]},{"id":"ITEM-3","itemData":{"author":[{"dropping-particle":"","family":"World Health Organization","given":"","non-dropping-particle":"","parse-names":false,"suffix":""}],"container-title":"WHO Evaluation Office,","id":"ITEM-3","issue":"May","issued":{"date-parts":[["2018"]]},"number-of-pages":"1- 157","title":"Summative evaluation of the WHO Rapid Access Expansion Initiative Volume 3 : Country Briefs","type":"report","volume":"3"},"uris":["http://www.mendeley.com/documents/?uuid=4bf4f451-b078-38e8-b60a-69b39e08b04e"]}],"mendeley":{"formattedCitation":"(28,29,50)","plainTextFormattedCitation":"(28,29,50)","previouslyFormattedCitation":"(28,29,50)"},"properties":{"noteIndex":0},"schema":"https://github.com/citation-style-language/schema/raw/master/csl-citation.json"}</w:instrText>
            </w:r>
            <w:r w:rsidRPr="00DA7609">
              <w:rPr>
                <w:u w:color="000000"/>
              </w:rPr>
              <w:fldChar w:fldCharType="separate"/>
            </w:r>
            <w:r w:rsidRPr="00DA7609">
              <w:rPr>
                <w:noProof/>
                <w:u w:color="000000"/>
              </w:rPr>
              <w:t>(28,29,50)</w:t>
            </w:r>
            <w:r w:rsidRPr="00DA7609">
              <w:rPr>
                <w:u w:color="000000"/>
              </w:rPr>
              <w:fldChar w:fldCharType="end"/>
            </w:r>
            <w:r w:rsidRPr="00DA7609">
              <w:rPr>
                <w:u w:color="000000"/>
              </w:rPr>
              <w:t xml:space="preserve"> </w:t>
            </w:r>
          </w:p>
          <w:p w14:paraId="23BEBC4F"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noProof/>
              </w:rPr>
            </w:pPr>
          </w:p>
        </w:tc>
      </w:tr>
      <w:tr w:rsidR="00DA7609" w:rsidRPr="00DA7609" w14:paraId="720F33DD" w14:textId="77777777" w:rsidTr="00FE1ADC">
        <w:trPr>
          <w:cnfStyle w:val="000000100000" w:firstRow="0" w:lastRow="0" w:firstColumn="0" w:lastColumn="0" w:oddVBand="0" w:evenVBand="0" w:oddHBand="1" w:evenHBand="0" w:firstRowFirstColumn="0" w:firstRowLastColumn="0" w:lastRowFirstColumn="0" w:lastRowLastColumn="0"/>
          <w:cantSplit/>
          <w:trHeight w:val="440"/>
        </w:trPr>
        <w:tc>
          <w:tcPr>
            <w:cnfStyle w:val="001000000000" w:firstRow="0" w:lastRow="0" w:firstColumn="1" w:lastColumn="0" w:oddVBand="0" w:evenVBand="0" w:oddHBand="0" w:evenHBand="0" w:firstRowFirstColumn="0" w:firstRowLastColumn="0" w:lastRowFirstColumn="0" w:lastRowLastColumn="0"/>
            <w:tcW w:w="3369" w:type="dxa"/>
          </w:tcPr>
          <w:p w14:paraId="3E23E137" w14:textId="77777777" w:rsidR="00DA7609" w:rsidRPr="00DA7609" w:rsidRDefault="00DA7609" w:rsidP="00DA7609">
            <w:pPr>
              <w:spacing w:before="60" w:after="60"/>
              <w:ind w:hanging="2"/>
              <w:rPr>
                <w:noProof/>
                <w:u w:val="single"/>
              </w:rPr>
            </w:pPr>
          </w:p>
        </w:tc>
        <w:tc>
          <w:tcPr>
            <w:tcW w:w="2143" w:type="dxa"/>
          </w:tcPr>
          <w:p w14:paraId="0183E263"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b/>
                <w:bCs/>
                <w:u w:color="000000"/>
              </w:rPr>
            </w:pPr>
          </w:p>
        </w:tc>
        <w:tc>
          <w:tcPr>
            <w:tcW w:w="2834" w:type="dxa"/>
          </w:tcPr>
          <w:p w14:paraId="3B90968E"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noProof/>
              </w:rPr>
            </w:pPr>
            <w:r w:rsidRPr="00DA7609">
              <w:rPr>
                <w:i/>
                <w:iCs/>
                <w:noProof/>
              </w:rPr>
              <w:t>Poor performance</w:t>
            </w:r>
          </w:p>
        </w:tc>
        <w:tc>
          <w:tcPr>
            <w:tcW w:w="3514" w:type="dxa"/>
          </w:tcPr>
          <w:p w14:paraId="34EC8DF8" w14:textId="77777777" w:rsidR="00DA7609" w:rsidRPr="00DA7609" w:rsidRDefault="00DA7609" w:rsidP="00DA7609">
            <w:pPr>
              <w:spacing w:line="276" w:lineRule="auto"/>
              <w:ind w:hanging="2"/>
              <w:jc w:val="both"/>
              <w:cnfStyle w:val="000000100000" w:firstRow="0" w:lastRow="0" w:firstColumn="0" w:lastColumn="0" w:oddVBand="0" w:evenVBand="0" w:oddHBand="1"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author":[{"dropping-particle":"","family":"Adyya","given":"Gupta","non-dropping-particle":"","parse-names":false,"suffix":""},{"dropping-particle":"","family":"Fledderjohann","given":"J","non-dropping-particle":"","parse-names":false,"suffix":""},{"dropping-particle":"","family":"Reddy","given":"H","non-dropping-particle":"","parse-names":false,"suffix":""},{"dropping-particle":"","family":"Raman","given":"V R","non-dropping-particle":"","parse-names":false,"suffix":""},{"dropping-particle":"","family":"Stuckler","given":"D","non-dropping-particle":"","parse-names":false,"suffix":""},{"dropping-particle":"","family":"Vellakkal","given":"S","non-dropping-particle":"","parse-names":false,"suffix":""}],"container-title":"BMC Health Services Research","id":"ITEM-1","issue":"40","issued":{"date-parts":[["2018"]]},"note":"Using Smart Source Parsing\n(25 January 2018). 45 ref","title":"Barriers and prospects of India's conditional cash transfer program to promote institutional delivery care: a qualitative analysis of the supply-side perspectives","type":"article-journal","volume":"18"},"uris":["http://www.mendeley.com/documents/?uuid=20fd46c1-991a-4b92-b507-9f81a7e324d2"]},{"id":"ITEM-2","itemData":{"DOI":"10.1080/16549716.2017.1327256","ISSN":"16549880","PMID":"28581379","abstract":"Background: Poor quality of care and access to effective and affordable interventions have been attributed to constraints and bottlenecks within and outside the health system. However, there is limited understanding of health system barriers to utilization and delivery of appropriate, highimpact, and cost-effective interventions at the point of service delivery in districts and sub-districts in low-income countries. In this study we illustrate the use of the bottleneck analysis approach, which could be used to identify bottlenecks in service delivery within the district health system. Methods: A modified Tanahashi model with six determinants for effective coverage was used to determine bottlenecks in service provision for maternal and newborn care. The following interventions provided during antenatal care were used as tracer interventions: use of iron and folic acid, intermittent presumptive treatment for malaria, HIV counseling and testing, and syphilis testing. Data from cross-sectional household and health facility surveys in Mayuge and Namayingo districts in Uganda were used in this study. Results: Effective coverage and human resource gaps were identified as the biggest bottlenecks in both districts, with coverage ranging from 0% to 66% for effective coverage and from 46% to 58% for availability of health facility staff. Our findings revealed a similar pattern in bottlenecks in both districts for particular interventions although the districts are functionally independent. Conclusion: The modified Tanahashi model is an analysis tool that can be used to identify bottlenecks to effective coverage within the district health system, for instance, the effective coverage for maternal and newborn care interventions. However, the analysis is highly dependent on the availability of data to populate all six determinants and could benefit from further validation analysis for the causes of bottlenecks identified.","author":[{"dropping-particle":"","family":"Henriksson","given":"Dorcus Kiwanuka","non-dropping-particle":"","parse-names":false,"suffix":""},{"dropping-particle":"","family":"Fredriksson","given":"Mio","non-dropping-particle":"","parse-names":false,"suffix":""},{"dropping-particle":"","family":"Waiswa","given":"Peter","non-dropping-particle":"","parse-names":false,"suffix":""},{"dropping-particle":"","family":"Selling","given":"Katarina","non-dropping-particle":"","parse-names":false,"suffix":""},{"dropping-particle":"","family":"Peterson","given":"Stefan Swartling","non-dropping-particle":"","parse-names":false,"suffix":""}],"container-title":"Global Health Action","id":"ITEM-2","issue":"1","issued":{"date-parts":[["2017"]]},"publisher":"Glob Health Action","title":"Bottleneck analysis at district level to illustrate gaps within the district health system in Uganda","type":"article-journal","volume":"10"},"uris":["http://www.mendeley.com/documents/?uuid=0d058283-1a35-31d3-ab97-8046ada65316"]},{"id":"ITEM-3","itemData":{"author":[{"dropping-particle":"","family":"Nabugoomu","given":"J","non-dropping-particle":"","parse-names":false,"suffix":""},{"dropping-particle":"","family":"Seruwagi","given":"G K","non-dropping-particle":"","parse-names":false,"suffix":""},{"dropping-particle":"","family":"Corbett","given":"K","non-dropping-particle":"","parse-names":false,"suffix":""},{"dropping-particle":"","family":"Horton","given":"S","non-dropping-particle":"","parse-names":false,"suffix":""},{"dropping-particle":"","family":"Hanning","given":"R","non-dropping-particle":"","parse-names":false,"suffix":""}],"container-title":"African Journal of Reproductive Health","id":"ITEM-3","issue":"3","issued":{"date-parts":[["2020"]]},"note":"Using Smart Source Parsing\n64 ref","page":"88-100","title":"Perceived opportunities and challenges of family and community members in supporting teen mothers in rural Eastern Uganda","type":"article-journal","volume":"24"},"uris":["http://www.mendeley.com/documents/?uuid=7861c759-b92f-443a-a7f4-a640a269d657"]}],"mendeley":{"formattedCitation":"(44,55,60)","plainTextFormattedCitation":"(44,55,60)","previouslyFormattedCitation":"(44,55,60)"},"properties":{"noteIndex":0},"schema":"https://github.com/citation-style-language/schema/raw/master/csl-citation.json"}</w:instrText>
            </w:r>
            <w:r w:rsidRPr="00DA7609">
              <w:rPr>
                <w:u w:color="000000"/>
              </w:rPr>
              <w:fldChar w:fldCharType="separate"/>
            </w:r>
            <w:r w:rsidRPr="00DA7609">
              <w:rPr>
                <w:noProof/>
                <w:u w:color="000000"/>
              </w:rPr>
              <w:t>(44,55,60)</w:t>
            </w:r>
            <w:r w:rsidRPr="00DA7609">
              <w:rPr>
                <w:u w:color="000000"/>
              </w:rPr>
              <w:fldChar w:fldCharType="end"/>
            </w:r>
          </w:p>
        </w:tc>
      </w:tr>
      <w:tr w:rsidR="00DA7609" w:rsidRPr="00DA7609" w14:paraId="0A9F92CB" w14:textId="77777777" w:rsidTr="00FE1ADC">
        <w:trPr>
          <w:cantSplit/>
          <w:trHeight w:val="350"/>
        </w:trPr>
        <w:tc>
          <w:tcPr>
            <w:cnfStyle w:val="001000000000" w:firstRow="0" w:lastRow="0" w:firstColumn="1" w:lastColumn="0" w:oddVBand="0" w:evenVBand="0" w:oddHBand="0" w:evenHBand="0" w:firstRowFirstColumn="0" w:firstRowLastColumn="0" w:lastRowFirstColumn="0" w:lastRowLastColumn="0"/>
            <w:tcW w:w="3369" w:type="dxa"/>
          </w:tcPr>
          <w:p w14:paraId="4C459E25" w14:textId="77777777" w:rsidR="00DA7609" w:rsidRPr="00DA7609" w:rsidRDefault="00DA7609" w:rsidP="00DA7609">
            <w:pPr>
              <w:spacing w:before="60" w:after="60"/>
              <w:ind w:hanging="2"/>
              <w:rPr>
                <w:noProof/>
                <w:u w:val="single"/>
              </w:rPr>
            </w:pPr>
          </w:p>
        </w:tc>
        <w:tc>
          <w:tcPr>
            <w:tcW w:w="2143" w:type="dxa"/>
          </w:tcPr>
          <w:p w14:paraId="25D0CAD5"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b/>
                <w:bCs/>
                <w:u w:color="000000"/>
              </w:rPr>
            </w:pPr>
          </w:p>
        </w:tc>
        <w:tc>
          <w:tcPr>
            <w:tcW w:w="2834" w:type="dxa"/>
          </w:tcPr>
          <w:p w14:paraId="56021B9A"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i/>
                <w:iCs/>
                <w:noProof/>
              </w:rPr>
            </w:pPr>
            <w:r w:rsidRPr="00DA7609">
              <w:rPr>
                <w:i/>
                <w:iCs/>
                <w:noProof/>
              </w:rPr>
              <w:t>Accusation of theft</w:t>
            </w:r>
          </w:p>
        </w:tc>
        <w:tc>
          <w:tcPr>
            <w:tcW w:w="3514" w:type="dxa"/>
          </w:tcPr>
          <w:p w14:paraId="29E9D510" w14:textId="77777777" w:rsidR="00DA7609" w:rsidRPr="00DA7609" w:rsidRDefault="00DA7609" w:rsidP="00DA7609">
            <w:pPr>
              <w:spacing w:line="276" w:lineRule="auto"/>
              <w:ind w:hanging="2"/>
              <w:jc w:val="both"/>
              <w:cnfStyle w:val="000000000000" w:firstRow="0" w:lastRow="0" w:firstColumn="0" w:lastColumn="0" w:oddVBand="0" w:evenVBand="0" w:oddHBand="0"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{"citationItems":[{"id":"ITEM-1","itemData":{"author":[{"dropping-particle":"","family":"Nabugoomu","given":"J","non-dropping-particle":"","parse-names":false,"suffix":""},{"dropping-particle":"","family":"Seruwagi","given":"G K","non-dropping-particle":"","parse-names":false,"suffix":""},{"dropping-particle":"","family":"Corbett","given":"K","non-dropping-particle":"","parse-names":false,"suffix":""},{"dropping-particle":"","family":"Horton","given":"S","non-dropping-particle":"","parse-names":false,"suffix":""},{"dropping-particle":"","family":"Hanning","given":"R","non-dropping-particle":"","parse-names":false,"suffix":""}],"container-title":"African Journal of Reproductive Health","id":"ITEM-1","issue":"3","issued":{"date-parts":[["2020"]]},"note":"Using Smart Source Parsing\n64 ref","page":"88-100","title":"Perceived opportunities and challenges of family and community members in supporting teen mothers in rural Eastern Uganda","type":"article-journal","volume":"24"},"uris":["http://www.mendeley.com/documents/?uuid=7861c759-b92f-443a-a7f4-a640a269d657"]}],"mendeley":{"formattedCitation":"(55)","plainTextFormattedCitation":"(55)","previouslyFormattedCitation":"(55)"},"properties":{"noteIndex":0},"schema":"https://github.com/citation-style-language/schema/raw/master/csl-citation.json"}</w:instrText>
            </w:r>
            <w:r w:rsidRPr="00DA7609">
              <w:rPr>
                <w:u w:color="000000"/>
              </w:rPr>
              <w:fldChar w:fldCharType="separate"/>
            </w:r>
            <w:r w:rsidRPr="00DA7609">
              <w:rPr>
                <w:noProof/>
                <w:u w:color="000000"/>
              </w:rPr>
              <w:t>(55)</w:t>
            </w:r>
            <w:r w:rsidRPr="00DA7609">
              <w:rPr>
                <w:u w:color="000000"/>
              </w:rPr>
              <w:fldChar w:fldCharType="end"/>
            </w:r>
          </w:p>
        </w:tc>
      </w:tr>
      <w:tr w:rsidR="00DA7609" w:rsidRPr="00DA7609" w14:paraId="33BCD9CA" w14:textId="77777777" w:rsidTr="00FE1ADC">
        <w:trPr>
          <w:cnfStyle w:val="000000100000" w:firstRow="0" w:lastRow="0" w:firstColumn="0" w:lastColumn="0" w:oddVBand="0" w:evenVBand="0" w:oddHBand="1" w:evenHBand="0" w:firstRowFirstColumn="0" w:firstRowLastColumn="0" w:lastRowFirstColumn="0" w:lastRowLastColumn="0"/>
          <w:cantSplit/>
          <w:trHeight w:val="665"/>
        </w:trPr>
        <w:tc>
          <w:tcPr>
            <w:cnfStyle w:val="001000000000" w:firstRow="0" w:lastRow="0" w:firstColumn="1" w:lastColumn="0" w:oddVBand="0" w:evenVBand="0" w:oddHBand="0" w:evenHBand="0" w:firstRowFirstColumn="0" w:firstRowLastColumn="0" w:lastRowFirstColumn="0" w:lastRowLastColumn="0"/>
            <w:tcW w:w="3369" w:type="dxa"/>
          </w:tcPr>
          <w:p w14:paraId="26CF3044" w14:textId="77777777" w:rsidR="00DA7609" w:rsidRPr="00DA7609" w:rsidRDefault="00DA7609" w:rsidP="00DA7609">
            <w:pPr>
              <w:spacing w:before="60" w:after="60"/>
              <w:ind w:hanging="2"/>
              <w:rPr>
                <w:noProof/>
                <w:u w:val="single"/>
              </w:rPr>
            </w:pPr>
          </w:p>
        </w:tc>
        <w:tc>
          <w:tcPr>
            <w:tcW w:w="2143" w:type="dxa"/>
          </w:tcPr>
          <w:p w14:paraId="757B7538"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rPr>
            </w:pPr>
          </w:p>
        </w:tc>
        <w:tc>
          <w:tcPr>
            <w:tcW w:w="2834" w:type="dxa"/>
          </w:tcPr>
          <w:p w14:paraId="1C4CE15A"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noProof/>
              </w:rPr>
            </w:pPr>
            <w:r w:rsidRPr="00DA7609">
              <w:rPr>
                <w:i/>
                <w:iCs/>
                <w:u w:color="000000"/>
              </w:rPr>
              <w:t>Improvise with other (non-ideal) materials</w:t>
            </w:r>
          </w:p>
        </w:tc>
        <w:tc>
          <w:tcPr>
            <w:tcW w:w="3514" w:type="dxa"/>
          </w:tcPr>
          <w:p w14:paraId="4C6E04D9"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rPr>
            </w:pPr>
            <w:r w:rsidRPr="00DA7609">
              <w:rPr>
                <w:u w:color="000000"/>
              </w:rPr>
              <w:fldChar w:fldCharType="begin" w:fldLock="1"/>
            </w:r>
            <w:r w:rsidRPr="00DA7609">
              <w:rPr>
                <w:u w:color="000000"/>
              </w:rPr>
              <w:instrText>ADDIN CSL_CITATION {"citationItems":[{"id":"ITEM-1","itemData":{"author":[{"dropping-particle":"","family":"Sumankuuro","given":"J","non-dropping-particle":"","parse-names":false,"suffix":""},{"dropping-particle":"","family":"Crockett","given":"J","non-dropping-particle":"","parse-names":false,"suffix":""},{"dropping-particle":"","family":"Wang","given":"ShaoYu","non-dropping-particle":"","parse-names":false,"suffix":""}],"container-title":"BMJ Open","id":"ITEM-1","issue":"11","issued":{"date-parts":[["2018"]]},"note":"Using Smart Source Parsing\ne021223. 48 ref","title":"Perceived barriers to maternal and newborn health services delivery: a qualitative study of health workers and community members in low and middle-income settings","type":"article-journal","volume":"8"},"uris":["http://www.mendeley.com/documents/?uuid=eead3761-17db-4ed9-bebf-8cb325e7e3ab"]}],"mendeley":{"formattedCitation":"(45)","plainTextFormattedCitation":"(45)","previouslyFormattedCitation":"(45)"},"properties":{"noteIndex":0},"schema":"https://github.com/citation-style-language/schema/raw/master/csl-citation.json"}</w:instrText>
            </w:r>
            <w:r w:rsidRPr="00DA7609">
              <w:rPr>
                <w:u w:color="000000"/>
              </w:rPr>
              <w:fldChar w:fldCharType="separate"/>
            </w:r>
            <w:r w:rsidRPr="00DA7609">
              <w:rPr>
                <w:noProof/>
                <w:u w:color="000000"/>
              </w:rPr>
              <w:t>(45)</w:t>
            </w:r>
            <w:r w:rsidRPr="00DA7609">
              <w:rPr>
                <w:u w:color="000000"/>
              </w:rPr>
              <w:fldChar w:fldCharType="end"/>
            </w:r>
            <w:r w:rsidRPr="00DA7609">
              <w:rPr>
                <w:u w:color="000000"/>
              </w:rPr>
              <w:t>.</w:t>
            </w:r>
          </w:p>
        </w:tc>
      </w:tr>
      <w:tr w:rsidR="00DA7609" w:rsidRPr="00DA7609" w14:paraId="28BC225A" w14:textId="77777777" w:rsidTr="00FE1ADC">
        <w:trPr>
          <w:cantSplit/>
          <w:trHeight w:val="440"/>
        </w:trPr>
        <w:tc>
          <w:tcPr>
            <w:cnfStyle w:val="001000000000" w:firstRow="0" w:lastRow="0" w:firstColumn="1" w:lastColumn="0" w:oddVBand="0" w:evenVBand="0" w:oddHBand="0" w:evenHBand="0" w:firstRowFirstColumn="0" w:firstRowLastColumn="0" w:lastRowFirstColumn="0" w:lastRowLastColumn="0"/>
            <w:tcW w:w="3369" w:type="dxa"/>
          </w:tcPr>
          <w:p w14:paraId="6EFBF5DE" w14:textId="77777777" w:rsidR="00DA7609" w:rsidRPr="00DA7609" w:rsidRDefault="00DA7609" w:rsidP="00DA7609">
            <w:pPr>
              <w:spacing w:before="60" w:after="60"/>
              <w:ind w:hanging="2"/>
              <w:rPr>
                <w:noProof/>
                <w:u w:val="single"/>
              </w:rPr>
            </w:pPr>
            <w:bookmarkStart w:id="51" w:name="_Hlk72084437"/>
            <w:bookmarkEnd w:id="50"/>
          </w:p>
        </w:tc>
        <w:tc>
          <w:tcPr>
            <w:tcW w:w="2143" w:type="dxa"/>
          </w:tcPr>
          <w:p w14:paraId="53143D88"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noProof/>
              </w:rPr>
            </w:pPr>
            <w:r w:rsidRPr="00DA7609">
              <w:rPr>
                <w:b/>
                <w:bCs/>
                <w:u w:color="000000"/>
              </w:rPr>
              <w:t>CHWs (15)</w:t>
            </w:r>
          </w:p>
        </w:tc>
        <w:tc>
          <w:tcPr>
            <w:tcW w:w="2834" w:type="dxa"/>
          </w:tcPr>
          <w:p w14:paraId="4A897C39"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i/>
                <w:iCs/>
                <w:noProof/>
              </w:rPr>
            </w:pPr>
            <w:r w:rsidRPr="00DA7609">
              <w:rPr>
                <w:i/>
                <w:iCs/>
                <w:noProof/>
              </w:rPr>
              <w:t>Demotivation</w:t>
            </w:r>
          </w:p>
        </w:tc>
        <w:tc>
          <w:tcPr>
            <w:tcW w:w="3514" w:type="dxa"/>
          </w:tcPr>
          <w:p w14:paraId="176F6D2D" w14:textId="77777777" w:rsidR="00DA7609" w:rsidRPr="00DA7609" w:rsidRDefault="00DA7609" w:rsidP="00DA7609">
            <w:pPr>
              <w:spacing w:line="276" w:lineRule="auto"/>
              <w:ind w:hanging="2"/>
              <w:jc w:val="both"/>
              <w:cnfStyle w:val="000000000000" w:firstRow="0" w:lastRow="0" w:firstColumn="0" w:lastColumn="0" w:oddVBand="0" w:evenVBand="0" w:oddHBand="0"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{"citationItems":[{"id":"ITEM-1","itemData":{"DOI":"12.2015/JCPSP.897899","ISSN":"1681-7168","abstract":"Parotid fistula is a rare complication of surgical or non-surgical trauma on or in the vicinity of parotid gland. Many pharmacological agents and surgical methods are used to treat it with their own merits, demerits and patient preferences. Injection of hypertonic hot saline along with compression dressing is an economical, patient-preferred and almost complication-free method to deal parotid fistula with promising results.; ","author":[{"dropping-particle":"","family":"Aisha","given":"","non-dropping-particle":"","parse-names":false,"suffix":""},{"dropping-particle":"","family":"Fatima","given":"Saira","non-dropping-particle":"","parse-names":false,"suffix":""},{"dropping-particle":"","family":"Memon","given":"Aijaz Ahmed","non-dropping-particle":"","parse-names":false,"suffix":""}],"container-title":"Journal Of The College Of Physicians And Surgeons--Pakistan: JCPSP","id":"ITEM-1","issue":"12","issued":{"date-parts":[["2015","12"]]},"note":"Accession Number: 26691366. Language: English. Date Revised: 20161230. Date Created: 20151222. Date Completed: 20161031. Update Code: 20170103. Publication Type: Case Reports. Journal ID: 9606447. Publication Model: Print. Cited Medium: Internet. NLM ISO Abbr: J Coll Physicians Surg Pak. Linking ISSN: 1022386X. Subset: IM; Date of Electronic Publication: 20151201. ; Original Imprints: Publication: Karachi : College of Physicians and Surgeons Pakistan,","page":"897-899","publisher":"College of Physicians and Surgeons Pakistan","publisher-place":"Department of Surgery, Shaheed Mohatarma Benazir Bhutto (SMBB) Medical University, Larkana.","title":"Combination of Hot-Hypertonic Saline and Pressure Dressing in the Management of Parotid Fistula.","type":"article-journal","volume":"25"},"uris":["http://www.mendeley.com/documents/?uuid=51767e25-dd8c-4566-86f9-84ef9824e412"]},{"id":"ITEM-2","itemData":{"author":[{"dropping-particle":"","family":"Shaista","given":"Bahar","non-dropping-particle":"","parse-names":false,"suffix":""},{"dropping-particle":"","family":"Rozina","given":"Khalid","non-dropping-particle":"","parse-names":false,"suffix":""},{"dropping-particle":"","family":"Khan","given":"S A","non-dropping-particle":"","parse-names":false,"suffix":""},{"dropping-particle":"","family":"Naseemullah","given":"","non-dropping-particle":"","parse-names":false,"suffix":""},{"dropping-particle":"","family":"Nazish","given":"Batool","non-dropping-particle":"","parse-names":false,"suffix":""}],"container-title":"Pakistan Journal of Public Health","id":"ITEM-2","issue":"2","issued":{"date-parts":[["2017"]]},"note":"Using Smart Source Parsing\n16 ref","page":"75-78","title":"Challenges and experiences of Lady Health Workers working in polio campaigns in District Nowshera, Khyber Pakhtunkhwa, Pakistan","type":"article-journal","volume":"7"},"uris":["http://www.mendeley.com/documents/?uuid=e616f637-6f8b-49e4-aa45-87106d3fcf1d"]},{"id":"ITEM-3","itemData":{"DOI":"10.1186/s12913-017-2723-0","ISBN":"1472-6963","PMID":"29183312","abstract":"BACKGROUND: Integrated community case management (iCCM) strategies aim to reach poor communities by providing timely access to treatment for malaria, pneumonia and diarrhoea for children under 5 years of age. Community health workers, known as Village Health Teams (VHTs) in Uganda, have been shown to be effective in hard-to-reach, underserved areas, but there is little evidence to support iCCM as an appropriate strategy in non-rural contexts. This study aimed to inform future iCCM implementation by exploring caregiver and VHT member perceptions of the value and effectiveness of iCCM in peri-urban settings in Uganda. METHODS: A qualitative evaluation was conducted in seven villages in Wakiso district, a rapidly urbanising area in central Uganda. Villages were purposively selected, spanning a range of peri-urban settlements experiencing rapid population change. In each village, rapid appraisal activities were undertaken separately with purposively selected caregivers (n = 85) and all iCCM-trained VHT members (n = 14), providing platforms for group discussions. Fifteen key informant interviews were also conducted with community leaders and VHT members. Thematic analysis was based on the 'Health Access Livelihoods Framework'. RESULTS: iCCM was perceived to facilitate timely treatment access and improve child health in peri-urban settings, often supplanting private clinics and traditional healers as first point of care. Relative to other health service providers, caregivers valued VHTs' free, proximal services, caring attitudes, perceived treatment quality, perceived competency and protocol use, and follow-up and referral services. VHT effectiveness was perceived to be restricted by inadequate diagnostics, limited newborn care, drug stockouts and VHT member absence - factors which drove utilisation of alternative providers. Low community engagement in VHT selection, lack of referral transport and poor availability of referral services also diminished perceived effectiveness. The iCCM strategy was widely perceived to result in economic savings and other livelihood benefits. CONCLUSIONS: In peri-urban areas, iCCM was perceived as an effective, well-utilised strategy, reflecting both VHT attributes and gaps in existing health services. Depending on health system resources and organisation, iCCM may be a useful transitional service delivery approach. Implementation in peri-urban areas should consider tailored community engagement strategies, adapted selection cr…","author":[{"dropping-particle":"","family":"Altaras","given":"R","non-dropping-particle":"","parse-names":false,"suffix":""},{"dropping-particle":"","family":"Montague","given":"M","non-dropping-particle":"","parse-names":false,"suffix":""},{"dropping-particle":"","family":"Graham","given":"K","non-dropping-particle":"","parse-names":false,"suffix":""},{"dropping-particle":"","family":"Strachan","given":"C E","non-dropping-particle":"","parse-names":false,"suffix":""},{"dropping-particle":"","family":"Senyonjo","given":"L","non-dropping-particle":"","parse-names":false,"suffix":""},{"dropping-particle":"","family":"King","given":"R","non-dropping-particle":"","parse-names":false,"suffix":""},{"dropping-particle":"","family":"Counihan","given":"H","non-dropping-particle":"","parse-names":false,"suffix":""},{"dropping-particle":"","family":"Mubiru","given":"D","non-dropping-particle":"","parse-names":false,"suffix":""},{"dropping-particle":"","family":"Källander","given":"K","non-dropping-particle":"","parse-names":false,"suffix":""},{"dropping-particle":"","family":"Meek","given":"S","non-dropping-particle":"","parse-names":false,"suffix":""},{"dropping-particle":"","family":"Tibenderana","given":"J","non-dropping-particle":"","parse-names":false,"suffix":""}],"container-title":"BMC Health Serv Res","edition":"2017/12/01","id":"ITEM-3","issue":"1","issued":{"date-parts":[["2017"]]},"language":"eng","note":"1472-6963\nAltaras, Robin\nMontague, Mark\nGraham, Kirstie\nStrachan, Clare E\nSenyonjo, Laura\nKing, Rebecca\nCounihan, Helen\nMubiru, Denis\nKällander, Karin\nMeek, Sylvia\nTibenderana, James\nComdis hsd/dfid/\nProgramme Partnership Arrangement/DFID/\nJournal Article\nBMC Health Serv Res. 2017 Nov 28;17(1):785. doi: 10.1186/s12913-017-2723-0.","page":"785","title":"Integrated community case management in a peri-urban setting: a qualitative evaluation in Wakiso District, Uganda","type":"article-journal","volume":"17"},"uris":["http://www.mendeley.com/documents/?uuid=bad45289-3c18-4eec-a183-47c5451246cd"]},{"id":"ITEM-4","itemData":{"DOI":"10.15212/fmch.2016.0102","ISBN":"2305-6983","abstract":"Background: Developing countries have the potential to reach vulnerable and underserved populations marginalized by the country's health care systems by way of community health workers (CHWs). It is imperative that health care systems focus on improving access to quality continuous primary care through the use of CHWs while paying attention to the factors that impact on CHWs and their effectiveness. Objective: To explore the possible opportunities and challenges of integrating CHWs into the health care systems of developing countries. Methods: Six databases were examined for quantitative, qualitative, and mixed-methods studies that included the integration of CHWs, their motivation and supervision, and CHW policy making and implementation in developing countries. Thirty-three studies met the inclusion criteria and were double read to extract data relevant to the context of CHW programs. Thematic coding was conducted and evidence on the main categories of contextual factors influencing integration of CHWs into the health system was synthesized. Results: CHWs are an effective and appropriate element of a health care team and can assist in addressing health disparities and social determinants of health. Important facilitators of integration of CHWs into health care teams are support from other health workers and inclusion of CHWs in case management meetings. Sustainable integration of CHWs into the health care system requires the formulation and implementation of polices that support their work, as well as financial and nonfinancial incentives, motivation, collaborative and supportive supervision, and a manageable workload. Conclusions: For sustainable integration of CHWs into health care systems, high-performing health systems with sound governance, adequate financing, well-organized service delivery, and adequate supplies and equipment are essential. Similarly, competent communities could contribute to better CHW performance through sound governance of community resources, promotion of inclusiveness and cohesion, engagement in participatory decision making, and mobilization of local resources for community welfare.","author":[{"dropping-particle":"","family":"Asweto","given":"C O","non-dropping-particle":"","parse-names":false,"suffix":""},{"dropping-particle":"","family":"Alzain","given":"M A","non-dropping-particle":"","parse-names":false,"suffix":""},{"dropping-particle":"","family":"Andrea","given":"S","non-dropping-particle":"","parse-names":false,"suffix":""},{"dropping-particle":"","family":"Alexander","given":"R","non-dropping-particle":"","parse-names":false,"suffix":""},{"dropping-particle":"","family":"Wang","given":"W","non-dropping-particle":"","parse-names":false,"suffix":""}],"container-title":"Family Medicine and Community Health","id":"ITEM-4","issue":"1","issued":{"date-parts":[["2016"]]},"note":"Asweto, Collins Otieno Alzain, Mohamed Ali Andrea, Sebastian Alexander, Rachel Wang, Wei\nAlzain, Mohamed Ali/AAF-5957-2019\nAlzain, Mohamed Ali/0000-0002-0085-5805\n2009-8774","page":"37-45","title":"Integration of community health workers into health systems in developing countries: Opportunities and challenges","type":"article-journal","volume":"4"},"uris":["http://www.mendeley.com/documents/?uuid=47e2f20a-0a86-4df1-8e09-459a30556bd9"]},{"id":"ITEM-5","itemData":{"DOI":"10.1136/bmjopen-2020-040350","ISBN":"2044-6055","abstract":"Background/objective The increasing burden of non-communicable diseases (NCDs) in Nepal underscores the importance of strengthening primary healthcare systems to deliver efficient care. In this study, we examined the barriers and facilitators to engaging community health workers (CHWs) for NCDs prevention and control in Nepal. Design We used multiple approaches including (a) review of relevant literature, (b) key personnel and stakeholders' consultation meetings and (c) qualitative data collection using semistructured interviews. A grounded theory approach was used for qualitative data collection and the data were analysed thematically. Setting Data were collected from health facilities across four districts in Nepal and two stakeholder consultative meetings were conducted at central level. Participants We conducted in-depth interviews with CHWs (Health Assistants, Auxiliary Health Workers, Auxiliary Nurse Midwife) (n=5); key informant interviews with health policymakers/managers (n=3) and focus group discussions (FGDs) with CHWs (four FGDs; total n=27). Participants in two stakeholder consultative meetings included members from the government (n=8), non-government organisations (n=7), private sector (n=3) and universities (n=6). Results The CHWs were engaged in a wide range of public health programmes and they also deliver NCDs specific programmes such as common NCDs screening, provisional diagnosis, primary care, health education and counselling, basic medication and referral and so on. These NCD prevention and control services are concentrated in those districts, where the WHO, Package for prevention and control of NCDs) program is being implemented. Some challenges and barriers were identified, including inadequate NCD training, high workload, poor system-level support, inadequate remuneration, inadequate supply of logistics and drugs. The facilitating factors included government priority, formation of NCD-related policies, community support systems, social prestige and staff motivation. Conclusion Engaging CHWs has been considered as key driver to delivering NCDs related services in Nepal. Effective integration of CHWs within the primary care system is essential for CHW's capacity buildings, necessary supervisory arrangements, supply of logistics and medications and setting up effective recording and reporting systems for prevention and control of NCDs in Nepal.","author":[{"dropping-particle":"","family":"Rawal","given":"L B","non-dropping-particle":"","parse-names":false,"suffix":""},{"dropping-particle":"","family":"Kharel","given":"C","non-dropping-particle":"","parse-names":false,"suffix":""},{"dropping-particle":"","family":"Yadav","given":"U N","non-dropping-particle":"","parse-names":false,"suffix":""},{"dropping-particle":"","family":"Kanda","given":"K","non-dropping-particle":"","parse-names":false,"suffix":""},{"dropping-particle":"","family":"Biswas","given":"T","non-dropping-particle":"","parse-names":false,"suffix":""},{"dropping-particle":"","family":"Vandelanotte","given":"C","non-dropping-particle":"","parse-names":false,"suffix":""},{"dropping-particle":"","family":"Baral","given":"S","non-dropping-particle":"","parse-names":false,"suffix":""},{"dropping-particle":"","family":"Abdullah","given":"A","non-dropping-particle":"","parse-names":false,"suffix":""}],"container-title":"BMJ Open","id":"ITEM-5","issue":"12","issued":{"date-parts":[["2020"]]},"note":"Rawal, Lal B. Kharel, Chandani Yadav, Uday Narayan Kanda, Kie Biswas, Tuhin Vandelanotte, Corneel Baral, Sushil Abdullah, Abu S.\nYadav, Uday N/ABD-1547-2020\nYadav, Uday N/0000-0002-6626-1604; Rawal, Lal/0000-0003-1106-0108","title":"Community health workers for non-communicable disease prevention and control in Nepal: a qualitative study","type":"article-journal","volume":"10"},"uris":["http://www.mendeley.com/documents/?uuid=6875556d-9d16-4e4b-b4b0-e0db61f60ed6"]}],"mendeley":{"formattedCitation":"(46,56,69,79,80)","plainTextFormattedCitation":"(46,56,69,79,80)","previouslyFormattedCitation":"(46,56,69,79,80)"},"properties":{"noteIndex":0},"schema":"https://github.com/citation-style-language/schema/raw/master/csl-citation.json"}</w:instrText>
            </w:r>
            <w:r w:rsidRPr="00DA7609">
              <w:rPr>
                <w:u w:color="000000"/>
              </w:rPr>
              <w:fldChar w:fldCharType="separate"/>
            </w:r>
            <w:r w:rsidRPr="00DA7609">
              <w:rPr>
                <w:noProof/>
                <w:u w:color="000000"/>
              </w:rPr>
              <w:t>(46,56,69,79,80)</w:t>
            </w:r>
            <w:r w:rsidRPr="00DA7609">
              <w:rPr>
                <w:u w:color="000000"/>
              </w:rPr>
              <w:fldChar w:fldCharType="end"/>
            </w:r>
            <w:r w:rsidRPr="00DA7609">
              <w:rPr>
                <w:u w:color="000000"/>
              </w:rPr>
              <w:t xml:space="preserve"> </w:t>
            </w:r>
          </w:p>
        </w:tc>
      </w:tr>
      <w:tr w:rsidR="00DA7609" w:rsidRPr="00DA7609" w14:paraId="673CFEF7" w14:textId="77777777" w:rsidTr="00FE1ADC">
        <w:trPr>
          <w:cnfStyle w:val="000000100000" w:firstRow="0" w:lastRow="0" w:firstColumn="0" w:lastColumn="0" w:oddVBand="0" w:evenVBand="0" w:oddHBand="1" w:evenHBand="0" w:firstRowFirstColumn="0" w:firstRowLastColumn="0" w:lastRowFirstColumn="0" w:lastRowLastColumn="0"/>
          <w:cantSplit/>
          <w:trHeight w:val="872"/>
        </w:trPr>
        <w:tc>
          <w:tcPr>
            <w:cnfStyle w:val="001000000000" w:firstRow="0" w:lastRow="0" w:firstColumn="1" w:lastColumn="0" w:oddVBand="0" w:evenVBand="0" w:oddHBand="0" w:evenHBand="0" w:firstRowFirstColumn="0" w:firstRowLastColumn="0" w:lastRowFirstColumn="0" w:lastRowLastColumn="0"/>
            <w:tcW w:w="3369" w:type="dxa"/>
          </w:tcPr>
          <w:p w14:paraId="547EA9B7" w14:textId="77777777" w:rsidR="00DA7609" w:rsidRPr="00DA7609" w:rsidRDefault="00DA7609" w:rsidP="00DA7609">
            <w:pPr>
              <w:spacing w:before="60" w:after="60"/>
              <w:ind w:hanging="2"/>
              <w:rPr>
                <w:noProof/>
                <w:u w:val="single"/>
              </w:rPr>
            </w:pPr>
          </w:p>
        </w:tc>
        <w:tc>
          <w:tcPr>
            <w:tcW w:w="2143" w:type="dxa"/>
          </w:tcPr>
          <w:p w14:paraId="1A41B536"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b/>
                <w:bCs/>
                <w:u w:color="000000"/>
              </w:rPr>
            </w:pPr>
          </w:p>
        </w:tc>
        <w:tc>
          <w:tcPr>
            <w:tcW w:w="2834" w:type="dxa"/>
          </w:tcPr>
          <w:p w14:paraId="65D1A963"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noProof/>
              </w:rPr>
            </w:pPr>
            <w:r w:rsidRPr="00DA7609">
              <w:rPr>
                <w:i/>
                <w:iCs/>
                <w:noProof/>
              </w:rPr>
              <w:t>Poor performance and depreciation in competency</w:t>
            </w:r>
          </w:p>
        </w:tc>
        <w:tc>
          <w:tcPr>
            <w:tcW w:w="3514" w:type="dxa"/>
          </w:tcPr>
          <w:p w14:paraId="375C33D3" w14:textId="77777777" w:rsidR="00DA7609" w:rsidRPr="00DA7609" w:rsidRDefault="00DA7609" w:rsidP="00DA7609">
            <w:pPr>
              <w:spacing w:line="276" w:lineRule="auto"/>
              <w:ind w:hanging="2"/>
              <w:jc w:val="both"/>
              <w:cnfStyle w:val="000000100000" w:firstRow="0" w:lastRow="0" w:firstColumn="0" w:lastColumn="0" w:oddVBand="0" w:evenVBand="0" w:oddHBand="1"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{"citationItems":[{"id":"ITEM-1","itemData":{"DOI":"10.1186/1472-6963-13-55","ISBN":"1472-6963 (Electronic)\\r1472-6963 (Linking)","ISSN":"1472-6963","PMID":"23394591","abstract":"ABSTRACT: BACKGROUND: National community-based health worker (CBHW) programs often face challenges in ensuring that these remote workers are adequately trained, equipped and supervised. As governments increasingly deploy CBHWs to improve access to primary health care, there is an urgent need to assess how well health systems are supporting CBHWs to provide high quality care. METHODS: This paper presents the results of a mixed-methods assessment of selected health systems supports (supervision, drug supply, and job aids) for a national community case management (CCM) program for childhood illness in Malawi during the first year of implementation. We collected data on the types and levels of drug supply and supervision through a cross-sectional survey of a random sample of Health Surveillance Assistants (HSAs) providing CCM services in six districts. We then conducted in-depth interviews and focus group discussions with program managers and HSAs, respectively, to gain an understanding of the barriers and facilitating factors for delivering health systems supports for CCM. RESULTS: Although the CCM training and job aid were well received by stakeholders, HSAs who participated in the first CCM training sessions often waited up to 4 months before receiving their initial supply of drugs and first supervision visits. One year after training began, 69 % of HSAs had all essential CCM drugs in stock and only 38 % of HSAs reported a CCM supervision visit in the 3 months prior to the survey. Results of the qualitative assessment indicated that drug supply was constrained by travel distance and stock outs at health facilities, and that the initial supervision system relied on clinicians who were able to spend only limited time away from clinical duties. Proactive district managers trained and enrolled HSAs' routine supervisors to provide CCM supervision. CONCLUSIONS: Malawi's CCM program is promising, but health systems supports must be improved to ensure consistent coverage and quality. Mixed-methods implementation research provided the Ministry of Health with actionable feedback that it is using to adapt program policies and improve performance.","author":[{"dropping-particle":"","family":"Callaghan-Koru","given":"Jennifer a","non-dropping-particle":"","parse-names":false,"suffix":""},{"dropping-particle":"","family":"Gilroy","given":"Kate","non-dropping-particle":"","parse-names":false,"suffix":""},{"dropping-particle":"","family":"Hyder","given":"Adnan a","non-dropping-particle":"","parse-names":false,"suffix":""},{"dropping-particle":"","family":"George","given":"Asha","non-dropping-particle":"","parse-names":false,"suffix":""},{"dropping-particle":"","family":"Nsona","given":"Humphreys","non-dropping-particle":"","parse-names":false,"suffix":""},{"dropping-particle":"","family":"Mtimuni","given":"Angella","non-dropping-particle":"","parse-names":false,"suffix":""},{"dropping-particle":"","family":"Zakeyo","given":"Bernie","non-dropping-particle":"","parse-names":false,"suffix":""},{"dropping-particle":"","family":"Mayani","given":"Josiah","non-dropping-particle":"","parse-names":false,"suffix":""},{"dropping-particle":"","family":"Cardemil","given":"Cristina","non-dropping-particle":"","parse-names":false,"suffix":""},{"dropping-particle":"","family":"Bryce","given":"Jennifer","non-dropping-particle":"","parse-names":false,"suffix":""}],"container-title":"BMC health services research","id":"ITEM-1","issue":"1","issued":{"date-parts":[["2013"]]},"page":"55","title":"Health systems supports for community case management of childhood illness: lessons from an assessment of early implementation in Malawi.","type":"article-journal","volume":"13"},"uris":["http://www.mendeley.com/documents/?uuid=365c7ead-25b1-4b3a-b3fe-1e61a83ab885"]},{"id":"ITEM-2","itemData":{"DOI":"10.1016/S0168-8510(02)00207-5","ISSN":"01688510","PMID":"12849910","abstract":"Objective: To determine the factors contributing to low performance of community health workers in Kalabo District, Zambia. Methods: In a cross-sectional descriptive study, 86 community members, 27 community health workers and nine rural health centre staff were interviewed using semi-structured questionnaires. Other methods were focus group discussions and checklists. Data analysis was done manually. Results: The low performance of community health workers is a real problem for Kalabo District. The two most important factors are the irregular and unreliable supply of drugs and selection of the wrong people to be trained for community health workers. Conclusion: Though initially implemented as such, the comprehensive approach of the primary health care project is no longer functioning in Kalabo. Community health workers are mainly valued because of their curative services. Communities do not properly follow the official criteria for selection of people to be trained, but have other considerations. Strategies will have to be formulated to rehabilitate the programme, mainly focussing on these two findings. Other factors, like inadequate community support and inadequate supervision, were mentioned by many contributors. © 2002 Elsevier Science Ireland Ltd. All rights reserved.","author":[{"dropping-particle":"","family":"Stekelenburg","given":"Jelle","non-dropping-particle":"","parse-names":false,"suffix":""},{"dropping-particle":"","family":"Kyanamina","given":"Sindele Simasiku","non-dropping-particle":"","parse-names":false,"suffix":""},{"dropping-particle":"","family":"Wolffers","given":"Ivan","non-dropping-particle":"","parse-names":false,"suffix":""}],"container-title":"Health Policy","id":"ITEM-2","issue":"2","issued":{"date-parts":[["2003","8","1"]]},"page":"109-118","publisher":"Elsevier","title":"Poor performance of community health workers in Kalabo District, Zambia","type":"article-journal","volume":"65"},"uris":["http://www.mendeley.com/documents/?uuid=4c3bb5c1-2564-3813-b5d0-c11bf9edfe3a"]},{"id":"ITEM-3","itemData":{"DOI":"10.1186/1475-2875-13-367","ISBN":"1475-2875","PMID":"25231247","abstract":"BACKGROUND: Lay community health workers (CHWs) have been widely used to provide curative interventions in communities that have traditionally lacked access to health care. Optimal performance of CHWs managing children with malaria, pneumonia and diarrhoea in communities is desired if a reduction in childhood morbidity and mortality is to be achieved. This study assessed factors influencing performance of CHWs managing malaria, pneumonia and diarrhoea under the Integrated Community Case Management (iCCM) programme in Wakiso district, central Uganda. METHODS: A cross sectional study was conducted among 336 CHWs. Data was collected using interviews and record reviews. Performance was measured using composite scores based on the core activities of CHWs under the iCCM programme. These core activities included: treating children under five years, referring severely sick children including newborns, home visits, counseling caregivers on home care, record keeping and community sensitization. Descriptive and inferential statistics using odds ratios were done to determine factors influencing performance of CHWs. RESULTS: Of the 336 respondents, 242 (72%) were females and the overall level of good performance was 21.7% (95% CI, 17.3-26.1%). Factors significantly associated with performance were: sex (females) (AOR 2.65; 95% CI, 1.29 -5.43), community support (AOR 2.29; 95% CI, 1.27-4.14), receiving feedback from health facilities (AOR 4.90; 95% CI, 2.52-9.51) and having drugs in the previous three months (AOR 2.99; 95% CI, 1.64-5.42). CONCLUSION: Only one in every five CHWs performed optimally under the iCCM programme. Strategies to improve drug supply, community support and feedback provision from the formal health system are necessary to improve the performance of CHWs.","author":[{"dropping-particle":"","family":"Bagonza","given":"J","non-dropping-particle":"","parse-names":false,"suffix":""},{"dropping-particle":"","family":"Kibira","given":"S P","non-dropping-particle":"","parse-names":false,"suffix":""},{"dropping-particle":"","family":"Rutebemberwa","given":"E","non-dropping-particle":"","parse-names":false,"suffix":""}],"container-title":"Malar J","edition":"2014/09/19","id":"ITEM-3","issued":{"date-parts":[["2014"]]},"language":"eng","note":"1475-2875\nBagonza, James\nKibira, Simon P S\nRutebemberwa, Elizeus\nJournal Article\nResearch Support, Non-U.S. Gov't\nMalar J. 2014 Sep 18;13:367. doi: 10.1186/1475-2875-13-367.","page":"367","title":"Performance of community health workers managing malaria, pneumonia and diarrhoea under the community case management programme in central Uganda: a cross sectional study","type":"article-journal","volume":"13"},"uris":["http://www.mendeley.com/documents/?uuid=0505d04e-96b2-485c-b357-4d5c459152cb"]},{"id":"ITEM-4","itemData":{"DOI":"10.4269/ajtmh.15-0585","ISSN":"00029637","PMID":"26787147","abstract":"We conducted a prospective evaluation of the \"Rapid Scale-Up\" (RSU) program in Burkina Faso, focusing on the integrated community case management (iCCM) component of the program. We used a quasi-experimental design in which nine RSU districts were compared with seven districts without the program. The evaluation included documentation of program implementation, assessments of implementation and quality of care, baseline and endline coverage surveys, and estimation of mortality changes using the Lives Saved Tool. Although the program trained large numbers of community health workers, there were implementation shortcomings related to training, supervision, and drug stockouts. The quality of care provided to sick children was poor, and utilization of community health workers was low. Changes in intervention coverage were comparable in RSU and comparison areas. Estimated under-five mortality declined by 6.2% (from 110 to 103 deaths per 1,000 live births) in the RSU area and 4.2% (from 114 to 109 per 1,000 live births) in the comparison area. The RSU did not result in coverage increases or mortality reductions in Burkina Faso, but we cannot draw conclusions about the effectiveness of the iCCM strategy, given implementation shortcomings. The evaluation results highlight the need for greater attention to implementation of iCCM programs.","author":[{"dropping-particle":"","family":"Munos","given":"Melinda","non-dropping-particle":"","parse-names":false,"suffix":""},{"dropping-particle":"","family":"Guiella","given":"Georges","non-dropping-particle":"","parse-names":false,"suffix":""},{"dropping-particle":"","family":"Roberton","given":"Timothy","non-dropping-particle":"","parse-names":false,"suffix":""},{"dropping-particle":"","family":"Maïga","given":"Abdoulaye","non-dropping-particle":"","parse-names":false,"suffix":""},{"dropping-particle":"","family":"Tiendrebeogo","given":"Adama","non-dropping-particle":"","parse-names":false,"suffix":""},{"dropping-particle":"","family":"Tam","given":"Yvonne","non-dropping-particle":"","parse-names":false,"suffix":""},{"dropping-particle":"","family":"Bryce","given":"Jennifer","non-dropping-particle":"","parse-names":false,"suffix":""},{"dropping-particle":"","family":"Baya","given":"Banza","non-dropping-particle":"","parse-names":false,"suffix":""}],"container-title":"American Journal of Tropical Medicine and Hygiene","id":"ITEM-4","issue":"3","issued":{"date-parts":[["2016","3","1"]]},"page":"584-595","publisher":"American Society of Tropical Medicine and Hygiene","title":"Independent evaluation of the rapid scale-up program to reduce under-five mortality in Burkina Faso","type":"article-journal","volume":"94"},"uris":["http://www.mendeley.com/documents/?uuid=50cbc1cc-ab23-3f8b-a1d4-710f70f05e22"]},{"id":"ITEM-5","itemData":{"author":[{"dropping-particle":"","family":"Phiri","given":"S C","non-dropping-particle":"","parse-names":false,"suffix":""},{"dropping-particle":"","family":"Prust","given":"M L","non-dropping-particle":"","parse-names":false,"suffix":""},{"dropping-particle":"","family":"Chibawe","given":"C P","non-dropping-particle":"","parse-names":false,"suffix":""},{"dropping-particle":"","family":"Misapa","given":"R","non-dropping-particle":"","parse-names":false,"suffix":""},{"dropping-particle":"","family":"Broek","given":"J W","non-dropping-particle":"Van Den","parse-names":false,"suffix":""},{"dropping-particle":"","family":"Wilmink","given":"N","non-dropping-particle":"","parse-names":false,"suffix":""}],"container-title":"BMC Proceedings. Conference: 1st International Symposium on Community Health Workers. Uganda.","id":"ITEM-5","issue":"6 Supplement 1","issued":{"date-parts":[["2017"]]},"note":"Using Smart Source Parsing\n( (no pagination), Date of Publication: September 2017","title":"Assessing successes and challenges in the scale-up of a national, public sector community health worker cadre in Zambia: A qualitative study","type":"article-journal","volume":"11"},"uris":["http://www.mendeley.com/documents/?uuid=a3cc4ce0-39a3-4b6a-a286-e677366bcb55"]},{"id":"ITEM-6","itemData":{"author":[{"dropping-particle":"","family":"Sunguya","given":"B F","non-dropping-particle":"","parse-names":false,"suffix":""},{"dropping-particle":"","family":"Mlunde","given":"L B","non-dropping-particle":"","parse-names":false,"suffix":""},{"dropping-particle":"","family":"Rakesh","given":"Ayer","non-dropping-particle":"","parse-names":false,"suffix":""},{"dropping-particle":"","family":"Jimba","given":"M","non-dropping-particle":"","parse-names":false,"suffix":""}],"container-title":"Malaria Journal","id":"ITEM-6","issue":"10","issued":{"date-parts":[["2017"]]},"note":"Using Smart Source Parsing\n(3 January 2017). 78 ref","title":"Towards eliminating malaria in high endemic countries: the roles of community health workers and related cadres and their challenges in integrated community case management for malaria: a systematic review","type":"article-journal","volume":"16"},"uris":["http://www.mendeley.com/documents/?uuid=45213355-41b1-4682-8003-af002180a3ae"]},{"id":"ITEM-7","itemData":{"DOI":"10.15212/fmch.2016.0102","ISBN":"2305-6983","abstract":"Background: Developing countries have the potential to reach vulnerable and underserved populations marginalized by the country's health care systems by way of community health workers (CHWs). It is imperative that health care systems focus on improving access to quality continuous primary care through the use of CHWs while paying attention to the factors that impact on CHWs and their effectiveness. Objective: To explore the possible opportunities and challenges of integrating CHWs into the health care systems of developing countries. Methods: Six databases were examined for quantitative, qualitative, and mixed-methods studies that included the integration of CHWs, their motivation and supervision, and CHW policy making and implementation in developing countries. Thirty-three studies met the inclusion criteria and were double read to extract data relevant to the context of CHW programs. Thematic coding was conducted and evidence on the main categories of contextual factors influencing integration of CHWs into the health system was synthesized. Results: CHWs are an effective and appropriate element of a health care team and can assist in addressing health disparities and social determinants of health. Important facilitators of integration of CHWs into health care teams are support from other health workers and inclusion of CHWs in case management meetings. Sustainable integration of CHWs into the health care system requires the formulation and implementation of polices that support their work, as well as financial and nonfinancial incentives, motivation, collaborative and supportive supervision, and a manageable workload. Conclusions: For sustainable integration of CHWs into health care systems, high-performing health systems with sound governance, adequate financing, well-organized service delivery, and adequate supplies and equipment are essential. Similarly, competent communities could contribute to better CHW performance through sound governance of community resources, promotion of inclusiveness and cohesion, engagement in participatory decision making, and mobilization of local resources for community welfare.","author":[{"dropping-particle":"","family":"Asweto","given":"C O","non-dropping-particle":"","parse-names":false,"suffix":""},{"dropping-particle":"","family":"Alzain","given":"M A","non-dropping-particle":"","parse-names":false,"suffix":""},{"dropping-particle":"","family":"Andrea","given":"S","non-dropping-particle":"","parse-names":false,"suffix":""},{"dropping-particle":"","family":"Alexander","given":"R","non-dropping-particle":"","parse-names":false,"suffix":""},{"dropping-particle":"","family":"Wang","given":"W","non-dropping-particle":"","parse-names":false,"suffix":""}],"container-title":"Family Medicine and Community Health","id":"ITEM-7","issue":"1","issued":{"date-parts":[["2016"]]},"note":"Asweto, Collins Otieno Alzain, Mohamed Ali Andrea, Sebastian Alexander, Rachel Wang, Wei\nAlzain, Mohamed Ali/AAF-5957-2019\nAlzain, Mohamed Ali/0000-0002-0085-5805\n2009-8774","page":"37-45","title":"Integration of community health workers into health systems in developing countries: Opportunities and challenges","type":"article-journal","volume":"4"},"uris":["http://www.mendeley.com/documents/?uuid=47e2f20a-0a86-4df1-8e09-459a30556bd9"]}],"mendeley":{"formattedCitation":"(26,46,51,78,81–83)","plainTextFormattedCitation":"(26,46,51,78,81–83)","previouslyFormattedCitation":"(26,46,51,78,81–83)"},"properties":{"noteIndex":0},"schema":"https://github.com/citation-style-language/schema/raw/master/csl-citation.json"}</w:instrText>
            </w:r>
            <w:r w:rsidRPr="00DA7609">
              <w:rPr>
                <w:u w:color="000000"/>
              </w:rPr>
              <w:fldChar w:fldCharType="separate"/>
            </w:r>
            <w:r w:rsidRPr="00DA7609">
              <w:rPr>
                <w:noProof/>
                <w:u w:color="000000"/>
              </w:rPr>
              <w:t>(26,46,51,78,81–83)</w:t>
            </w:r>
            <w:r w:rsidRPr="00DA7609">
              <w:rPr>
                <w:u w:color="000000"/>
              </w:rPr>
              <w:fldChar w:fldCharType="end"/>
            </w:r>
          </w:p>
        </w:tc>
      </w:tr>
      <w:tr w:rsidR="00DA7609" w:rsidRPr="00DA7609" w14:paraId="6750102D" w14:textId="77777777" w:rsidTr="00FE1ADC">
        <w:trPr>
          <w:cantSplit/>
          <w:trHeight w:val="440"/>
        </w:trPr>
        <w:tc>
          <w:tcPr>
            <w:cnfStyle w:val="001000000000" w:firstRow="0" w:lastRow="0" w:firstColumn="1" w:lastColumn="0" w:oddVBand="0" w:evenVBand="0" w:oddHBand="0" w:evenHBand="0" w:firstRowFirstColumn="0" w:firstRowLastColumn="0" w:lastRowFirstColumn="0" w:lastRowLastColumn="0"/>
            <w:tcW w:w="3369" w:type="dxa"/>
          </w:tcPr>
          <w:p w14:paraId="2A0E375A" w14:textId="77777777" w:rsidR="00DA7609" w:rsidRPr="00DA7609" w:rsidRDefault="00DA7609" w:rsidP="00DA7609">
            <w:pPr>
              <w:spacing w:before="60" w:after="60"/>
              <w:ind w:hanging="2"/>
              <w:rPr>
                <w:noProof/>
                <w:u w:val="single"/>
              </w:rPr>
            </w:pPr>
          </w:p>
        </w:tc>
        <w:tc>
          <w:tcPr>
            <w:tcW w:w="2143" w:type="dxa"/>
          </w:tcPr>
          <w:p w14:paraId="7E6E4791"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b/>
                <w:bCs/>
                <w:u w:color="000000"/>
              </w:rPr>
            </w:pPr>
          </w:p>
        </w:tc>
        <w:tc>
          <w:tcPr>
            <w:tcW w:w="2834" w:type="dxa"/>
          </w:tcPr>
          <w:p w14:paraId="67BC77A4"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i/>
                <w:iCs/>
                <w:noProof/>
              </w:rPr>
            </w:pPr>
            <w:r w:rsidRPr="00DA7609">
              <w:rPr>
                <w:i/>
                <w:iCs/>
                <w:noProof/>
              </w:rPr>
              <w:t>Loss of reputation</w:t>
            </w:r>
          </w:p>
        </w:tc>
        <w:tc>
          <w:tcPr>
            <w:tcW w:w="3514" w:type="dxa"/>
          </w:tcPr>
          <w:p w14:paraId="4446B30F" w14:textId="77777777" w:rsidR="00DA7609" w:rsidRPr="00DA7609" w:rsidRDefault="00DA7609" w:rsidP="00DA7609">
            <w:pPr>
              <w:spacing w:line="276" w:lineRule="auto"/>
              <w:ind w:hanging="2"/>
              <w:jc w:val="both"/>
              <w:cnfStyle w:val="000000000000" w:firstRow="0" w:lastRow="0" w:firstColumn="0" w:lastColumn="0" w:oddVBand="0" w:evenVBand="0" w:oddHBand="0"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{"citationItems":[{"id":"ITEM-1","itemData":{"DOI":"10.1016/S0168-8510(02)00207-5","ISSN":"01688510","PMID":"12849910","abstract":"Objective: To determine the factors contributing to low performance of community health workers in Kalabo District, Zambia. Methods: In a cross-sectional descriptive study, 86 community members, 27 community health workers and nine rural health centre staff were interviewed using semi-structured questionnaires. Other methods were focus group discussions and checklists. Data analysis was done manually. Results: The low performance of community health workers is a real problem for Kalabo District. The two most important factors are the irregular and unreliable supply of drugs and selection of the wrong people to be trained for community health workers. Conclusion: Though initially implemented as such, the comprehensive approach of the primary health care project is no longer functioning in Kalabo. Community health workers are mainly valued because of their curative services. Communities do not properly follow the official criteria for selection of people to be trained, but have other considerations. Strategies will have to be formulated to rehabilitate the programme, mainly focussing on these two findings. Other factors, like inadequate community support and inadequate supervision, were mentioned by many contributors. © 2002 Elsevier Science Ireland Ltd. All rights reserved.","author":[{"dropping-particle":"","family":"Stekelenburg","given":"Jelle","non-dropping-particle":"","parse-names":false,"suffix":""},{"dropping-particle":"","family":"Kyanamina","given":"Sindele Simasiku","non-dropping-particle":"","parse-names":false,"suffix":""},{"dropping-particle":"","family":"Wolffers","given":"Ivan","non-dropping-particle":"","parse-names":false,"suffix":""}],"container-title":"Health Policy","id":"ITEM-1","issue":"2","issued":{"date-parts":[["2003","8","1"]]},"page":"109-118","publisher":"Elsevier","title":"Poor performance of community health workers in Kalabo District, Zambia","type":"article-journal","volume":"65"},"uris":["http://www.mendeley.com/documents/?uuid=4c3bb5c1-2564-3813-b5d0-c11bf9edfe3a"]}],"mendeley":{"formattedCitation":"(81)","plainTextFormattedCitation":"(81)","previouslyFormattedCitation":"(81)"},"properties":{"noteIndex":0},"schema":"https://github.com/citation-style-language/schema/raw/master/csl-citation.json"}</w:instrText>
            </w:r>
            <w:r w:rsidRPr="00DA7609">
              <w:rPr>
                <w:u w:color="000000"/>
              </w:rPr>
              <w:fldChar w:fldCharType="separate"/>
            </w:r>
            <w:r w:rsidRPr="00DA7609">
              <w:rPr>
                <w:noProof/>
                <w:u w:color="000000"/>
              </w:rPr>
              <w:t>(81)</w:t>
            </w:r>
            <w:r w:rsidRPr="00DA7609">
              <w:rPr>
                <w:u w:color="000000"/>
              </w:rPr>
              <w:fldChar w:fldCharType="end"/>
            </w:r>
          </w:p>
        </w:tc>
      </w:tr>
      <w:tr w:rsidR="00DA7609" w:rsidRPr="00DA7609" w14:paraId="48AA00A1" w14:textId="77777777" w:rsidTr="00FE1ADC">
        <w:trPr>
          <w:cnfStyle w:val="000000100000" w:firstRow="0" w:lastRow="0" w:firstColumn="0" w:lastColumn="0" w:oddVBand="0" w:evenVBand="0" w:oddHBand="1" w:evenHBand="0" w:firstRowFirstColumn="0" w:firstRowLastColumn="0" w:lastRowFirstColumn="0" w:lastRowLastColumn="0"/>
          <w:cantSplit/>
          <w:trHeight w:val="638"/>
        </w:trPr>
        <w:tc>
          <w:tcPr>
            <w:cnfStyle w:val="001000000000" w:firstRow="0" w:lastRow="0" w:firstColumn="1" w:lastColumn="0" w:oddVBand="0" w:evenVBand="0" w:oddHBand="0" w:evenHBand="0" w:firstRowFirstColumn="0" w:firstRowLastColumn="0" w:lastRowFirstColumn="0" w:lastRowLastColumn="0"/>
            <w:tcW w:w="3369" w:type="dxa"/>
          </w:tcPr>
          <w:p w14:paraId="0589845D" w14:textId="77777777" w:rsidR="00DA7609" w:rsidRPr="00DA7609" w:rsidRDefault="00DA7609" w:rsidP="00DA7609">
            <w:pPr>
              <w:spacing w:before="60" w:after="60"/>
              <w:ind w:hanging="2"/>
              <w:rPr>
                <w:noProof/>
                <w:u w:val="single"/>
              </w:rPr>
            </w:pPr>
          </w:p>
        </w:tc>
        <w:tc>
          <w:tcPr>
            <w:tcW w:w="2143" w:type="dxa"/>
          </w:tcPr>
          <w:p w14:paraId="07A79A7D"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b/>
                <w:bCs/>
                <w:u w:color="000000"/>
              </w:rPr>
            </w:pPr>
          </w:p>
        </w:tc>
        <w:tc>
          <w:tcPr>
            <w:tcW w:w="2834" w:type="dxa"/>
          </w:tcPr>
          <w:p w14:paraId="43DE5173"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noProof/>
              </w:rPr>
            </w:pPr>
            <w:r w:rsidRPr="00DA7609">
              <w:rPr>
                <w:i/>
                <w:iCs/>
                <w:u w:color="000000"/>
              </w:rPr>
              <w:t>Incur out-of-pocket cost for purchase</w:t>
            </w:r>
          </w:p>
        </w:tc>
        <w:tc>
          <w:tcPr>
            <w:tcW w:w="3514" w:type="dxa"/>
          </w:tcPr>
          <w:p w14:paraId="42E790C7" w14:textId="77777777" w:rsidR="00DA7609" w:rsidRPr="00DA7609" w:rsidRDefault="00DA7609" w:rsidP="00DA7609">
            <w:pPr>
              <w:spacing w:line="276" w:lineRule="auto"/>
              <w:ind w:hanging="2"/>
              <w:jc w:val="both"/>
              <w:cnfStyle w:val="000000100000" w:firstRow="0" w:lastRow="0" w:firstColumn="0" w:lastColumn="0" w:oddVBand="0" w:evenVBand="0" w:oddHBand="1"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{"citationItems":[{"id":"ITEM-1","itemData":{"author":[{"dropping-particle":"","family":"Village Reach","given":"","non-dropping-particle":"","parse-names":false,"suffix":""}],"id":"ITEM-1","issue":"October","issued":{"date-parts":[["2015"]]},"number-of-pages":"1-59","title":"Exploring New Distribution Models for Vaccines and other Health Commodities Adapted to the on the Ground Realities of the Equateur and Tshuapa Provinces , Democratic Republic of Congo","type":"report"},"uris":["http://www.mendeley.com/documents/?uuid=54537a97-5da5-3cc2-9f22-6bfb239fc036"]},{"id":"ITEM-2","itemData":{"DOI":"10.1186/s12978-020-0906-3","ISSN":"17424755","PMID":"32312279","abstract":"Background: Contraceptive services are essential for promoting people's health, and economic and social well-being. Despite increased contraceptive use over the past decades, unmet need is still high in Malawi. As a result of task shifting, health surveillance assistants (HSAs), Malawi's paid community health worker cadre, provide an expanded range of contraceptive services, aimed at increasing access at community level. We conducted a qualitative study to explore enabling and hindering factors of HSAs' roles in the provision of modern contraceptive services in Mangochi district, Malawi. Methods: The study involved HSAs and their supervisors, a variety of community members, health workers and policy makers using 34 interviews and 12 focus group discussions. Data were recorded, transcribed, translated, coded and thematically analysed according to a framework that included community-, HSA- and health system-related factors. Results: HSAs were found to be trusted providers of contraceptive services. At community level, gender norms, decision-making and beliefs about contraceptives were intertwined. They resulted in women using contraceptive services, including those offered by HSAs, in secret. There were misconceptions about contraceptives among both men and women, which were insufficiently addressed by HSAs. Residence and age of HSAs influenced their role in the provision of contraceptive services to (young) community members, whereas sex was not regarded as an enabling or hindering factor. While most community members reported to be satisfied with the quality of HSAs' services, quality was compromised by a lack of contraceptive supplies and other resources, and limited supportive supervision and training. Conclusions: HSAs in Mangochi are important contraceptive service providers. Their ability to ensure male involvement, increase access to services for youth and address misconceptions about contraceptives needs improvement. This requires a thorough understanding of socio-cultural norms and improved behavioural change communication competencies, which need to be incorporated in future training under Malawi's Community Health Strategy.","author":[{"dropping-particle":"","family":"Kok","given":"Maryse","non-dropping-particle":"","parse-names":false,"suffix":""},{"dropping-particle":"","family":"Tolani","given":"Madalitso","non-dropping-particle":"","parse-names":false,"suffix":""},{"dropping-particle":"","family":"Mtonga","given":"Wongani","non-dropping-particle":"","parse-names":false,"suffix":""},{"dropping-particle":"","family":"Salamba","given":"Thom","non-dropping-particle":"","parse-names":false,"suffix":""},{"dropping-particle":"","family":"Mwabungulu","given":"Twambilire","non-dropping-particle":"","parse-names":false,"suffix":""},{"dropping-particle":"","family":"Munthali","given":"Arnold","non-dropping-particle":"","parse-names":false,"suffix":""},{"dropping-particle":"","family":"Smet","given":"Eefje","non-dropping-particle":"","parse-names":false,"suffix":""},{"dropping-particle":"","family":"Chinsakaso","given":"Benedict","non-dropping-particle":"","parse-names":false,"suffix":""}],"container-title":"Reproductive Health","id":"ITEM-2","issue":"1","issued":{"date-parts":[["2020"]]},"page":"1-13","publisher":"Reproductive Health","title":"Enabling and hindering factors of health surveillance assistants' roles in the provision of contraceptive services in Mangochi, Malawi","type":"article-journal","volume":"17"},"uris":["http://www.mendeley.com/documents/?uuid=4278590e-84ad-4816-9553-22da486d25cc"]}],"mendeley":{"formattedCitation":"(31,61)","plainTextFormattedCitation":"(31,61)","previouslyFormattedCitation":"(31,61)"},"properties":{"noteIndex":0},"schema":"https://github.com/citation-style-language/schema/raw/master/csl-citation.json"}</w:instrText>
            </w:r>
            <w:r w:rsidRPr="00DA7609">
              <w:rPr>
                <w:u w:color="000000"/>
              </w:rPr>
              <w:fldChar w:fldCharType="separate"/>
            </w:r>
            <w:r w:rsidRPr="00DA7609">
              <w:rPr>
                <w:noProof/>
                <w:u w:color="000000"/>
              </w:rPr>
              <w:t>(31,61)</w:t>
            </w:r>
            <w:r w:rsidRPr="00DA7609">
              <w:rPr>
                <w:u w:color="000000"/>
              </w:rPr>
              <w:fldChar w:fldCharType="end"/>
            </w:r>
          </w:p>
        </w:tc>
      </w:tr>
      <w:tr w:rsidR="00DA7609" w:rsidRPr="00DA7609" w14:paraId="70F71DDE" w14:textId="77777777" w:rsidTr="00FE1ADC">
        <w:trPr>
          <w:cantSplit/>
          <w:trHeight w:val="395"/>
        </w:trPr>
        <w:tc>
          <w:tcPr>
            <w:cnfStyle w:val="001000000000" w:firstRow="0" w:lastRow="0" w:firstColumn="1" w:lastColumn="0" w:oddVBand="0" w:evenVBand="0" w:oddHBand="0" w:evenHBand="0" w:firstRowFirstColumn="0" w:firstRowLastColumn="0" w:lastRowFirstColumn="0" w:lastRowLastColumn="0"/>
            <w:tcW w:w="3369" w:type="dxa"/>
          </w:tcPr>
          <w:p w14:paraId="3CE6EE44" w14:textId="77777777" w:rsidR="00DA7609" w:rsidRPr="00DA7609" w:rsidRDefault="00DA7609" w:rsidP="00DA7609">
            <w:pPr>
              <w:spacing w:before="60" w:after="60"/>
              <w:ind w:hanging="2"/>
              <w:rPr>
                <w:noProof/>
                <w:u w:val="single"/>
              </w:rPr>
            </w:pPr>
          </w:p>
        </w:tc>
        <w:tc>
          <w:tcPr>
            <w:tcW w:w="2143" w:type="dxa"/>
          </w:tcPr>
          <w:p w14:paraId="024F6F03"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noProof/>
              </w:rPr>
            </w:pPr>
          </w:p>
        </w:tc>
        <w:tc>
          <w:tcPr>
            <w:tcW w:w="2834" w:type="dxa"/>
          </w:tcPr>
          <w:p w14:paraId="3C62846E"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i/>
                <w:iCs/>
                <w:noProof/>
              </w:rPr>
            </w:pPr>
            <w:r w:rsidRPr="00DA7609">
              <w:rPr>
                <w:i/>
                <w:iCs/>
                <w:u w:color="000000"/>
              </w:rPr>
              <w:t>Job attrition</w:t>
            </w:r>
          </w:p>
        </w:tc>
        <w:tc>
          <w:tcPr>
            <w:tcW w:w="3514" w:type="dxa"/>
          </w:tcPr>
          <w:p w14:paraId="2A7F4E99" w14:textId="77777777" w:rsidR="00DA7609" w:rsidRPr="00DA7609" w:rsidRDefault="00DA7609" w:rsidP="00DA7609">
            <w:pPr>
              <w:spacing w:line="276" w:lineRule="auto"/>
              <w:ind w:hanging="2"/>
              <w:jc w:val="both"/>
              <w:cnfStyle w:val="000000000000" w:firstRow="0" w:lastRow="0" w:firstColumn="0" w:lastColumn="0" w:oddVBand="0" w:evenVBand="0" w:oddHBand="0"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author":[{"dropping-particle":"","family":"Strachan","given":"C","non-dropping-particle":"","parse-names":false,"suffix":""},{"dropping-particle":"","family":"Wharton-Smith","given":"A","non-dropping-particle":"","parse-names":false,"suffix":""},{"dropping-particle":"","family":"Sinyangwe","given":"C","non-dropping-particle":"","parse-names":false,"suffix":""},{"dropping-particle":"","family":"Mubiru","given":"D","non-dropping-particle":"","parse-names":false,"suffix":""},{"dropping-particle":"","family":"Ssekitooleko","given":"J","non-dropping-particle":"","parse-names":false,"suffix":""},{"dropping-particle":"","family":"Meier","given":"J","non-dropping-particle":"","parse-names":false,"suffix":""},{"dropping-particle":"","family":"Gbanya","given":"M","non-dropping-particle":"","parse-names":false,"suffix":""},{"dropping-particle":"","family":"Tibenderana","given":"J K","non-dropping-particle":"","parse-names":false,"suffix":""},{"dropping-particle":"","family":"Counihan","given":"H","non-dropping-particle":"","parse-names":false,"suffix":""}],"container-title":"Journal of Global Health","id":"ITEM-1","issue":"2","issued":{"date-parts":[["2014"]]},"note":"Using Smart Source Parsing\n020404. 19 ref","title":"Integrated community case management of malaria, pneumonia and diarrhoea across three African countries: a qualitative study exploring lessons learnt and implications for further scale up. (Themed Issue: Current scientific evidence for integrated communit","type":"article-journal","volume":"4"},"uris":["http://www.mendeley.com/documents/?uuid=403cfebb-623e-4cf9-95dc-ddf76714c7f3"]},{"id":"ITEM-2","itemData":{"author":[{"dropping-particle":"","family":"Global Fund","given":"","non-dropping-particle":"","parse-names":false,"suffix":""},{"dropping-particle":"","family":"WHO","given":"","non-dropping-particle":"","parse-names":false,"suffix":""},{"dropping-particle":"","family":"UNICEF","given":"","non-dropping-particle":"","parse-names":false,"suffix":""}],"id":"ITEM-2","issued":{"date-parts":[["2018"]]},"title":"Integrated Community Case Management (iCCM) in Sub-Saharan Africa: Successes &amp; Challenges with Access, Speed &amp; Quality Thematic review report","type":"report"},"uris":["http://www.mendeley.com/documents/?uuid=cdd8cc09-fda0-3226-b6c3-baca7bae910b"]},{"id":"ITEM-3","itemData":{"DOI":"10.15212/fmch.2016.0102","ISBN":"2305-6983","abstract":"Background: Developing countries have the potential to reach vulnerable and underserved populations marginalized by the country's health care systems by way of community health workers (CHWs). It is imperative that health care systems focus on improving access to quality continuous primary care through the use of CHWs while paying attention to the factors that impact on CHWs and their effectiveness. Objective: To explore the possible opportunities and challenges of integrating CHWs into the health care systems of developing countries. Methods: Six databases were examined for quantitative, qualitative, and mixed-methods studies that included the integration of CHWs, their motivation and supervision, and CHW policy making and implementation in developing countries. Thirty-three studies met the inclusion criteria and were double read to extract data relevant to the context of CHW programs. Thematic coding was conducted and evidence on the main categories of contextual factors influencing integration of CHWs into the health system was synthesized. Results: CHWs are an effective and appropriate element of a health care team and can assist in addressing health disparities and social determinants of health. Important facilitators of integration of CHWs into health care teams are support from other health workers and inclusion of CHWs in case management meetings. Sustainable integration of CHWs into the health care system requires the formulation and implementation of polices that support their work, as well as financial and nonfinancial incentives, motivation, collaborative and supportive supervision, and a manageable workload. Conclusions: For sustainable integration of CHWs into health care systems, high-performing health systems with sound governance, adequate financing, well-organized service delivery, and adequate supplies and equipment are essential. Similarly, competent communities could contribute to better CHW performance through sound governance of community resources, promotion of inclusiveness and cohesion, engagement in participatory decision making, and mobilization of local resources for community welfare.","author":[{"dropping-particle":"","family":"Asweto","given":"C O","non-dropping-particle":"","parse-names":false,"suffix":""},{"dropping-particle":"","family":"Alzain","given":"M A","non-dropping-particle":"","parse-names":false,"suffix":""},{"dropping-particle":"","family":"Andrea","given":"S","non-dropping-particle":"","parse-names":false,"suffix":""},{"dropping-particle":"","family":"Alexander","given":"R","non-dropping-particle":"","parse-names":false,"suffix":""},{"dropping-particle":"","family":"Wang","given":"W","non-dropping-particle":"","parse-names":false,"suffix":""}],"container-title":"Family Medicine and Community Health","id":"ITEM-3","issue":"1","issued":{"date-parts":[["2016"]]},"note":"Asweto, Collins Otieno Alzain, Mohamed Ali Andrea, Sebastian Alexander, Rachel Wang, Wei\nAlzain, Mohamed Ali/AAF-5957-2019\nAlzain, Mohamed Ali/0000-0002-0085-5805\n2009-8774","page":"37-45","title":"Integration of community health workers into health systems in developing countries: Opportunities and challenges","type":"article-journal","volume":"4"},"uris":["http://www.mendeley.com/documents/?uuid=47e2f20a-0a86-4df1-8e09-459a30556bd9"]}],"mendeley":{"formattedCitation":"(28,46,50)","plainTextFormattedCitation":"(28,46,50)","previouslyFormattedCitation":"(28,46,50)"},"properties":{"noteIndex":0},"schema":"https://github.com/citation-style-language/schema/raw/master/csl-citation.json"}</w:instrText>
            </w:r>
            <w:r w:rsidRPr="00DA7609">
              <w:rPr>
                <w:u w:color="000000"/>
              </w:rPr>
              <w:fldChar w:fldCharType="separate"/>
            </w:r>
            <w:r w:rsidRPr="00DA7609">
              <w:rPr>
                <w:noProof/>
                <w:u w:color="000000"/>
              </w:rPr>
              <w:t>(28,46,50)</w:t>
            </w:r>
            <w:r w:rsidRPr="00DA7609">
              <w:rPr>
                <w:u w:color="000000"/>
              </w:rPr>
              <w:fldChar w:fldCharType="end"/>
            </w:r>
          </w:p>
        </w:tc>
      </w:tr>
      <w:tr w:rsidR="00DA7609" w:rsidRPr="00DA7609" w14:paraId="098B1382" w14:textId="77777777" w:rsidTr="00FE1ADC">
        <w:trPr>
          <w:cnfStyle w:val="000000100000" w:firstRow="0" w:lastRow="0" w:firstColumn="0" w:lastColumn="0" w:oddVBand="0" w:evenVBand="0" w:oddHBand="1" w:evenHBand="0" w:firstRowFirstColumn="0" w:firstRowLastColumn="0" w:lastRowFirstColumn="0" w:lastRowLastColumn="0"/>
          <w:cantSplit/>
          <w:trHeight w:val="350"/>
        </w:trPr>
        <w:tc>
          <w:tcPr>
            <w:cnfStyle w:val="001000000000" w:firstRow="0" w:lastRow="0" w:firstColumn="1" w:lastColumn="0" w:oddVBand="0" w:evenVBand="0" w:oddHBand="0" w:evenHBand="0" w:firstRowFirstColumn="0" w:firstRowLastColumn="0" w:lastRowFirstColumn="0" w:lastRowLastColumn="0"/>
            <w:tcW w:w="3369" w:type="dxa"/>
          </w:tcPr>
          <w:p w14:paraId="5341C921" w14:textId="77777777" w:rsidR="00DA7609" w:rsidRPr="00DA7609" w:rsidRDefault="00DA7609" w:rsidP="00DA7609">
            <w:pPr>
              <w:spacing w:before="60" w:after="60"/>
              <w:ind w:hanging="2"/>
              <w:rPr>
                <w:noProof/>
                <w:u w:val="single"/>
              </w:rPr>
            </w:pPr>
            <w:bookmarkStart w:id="52" w:name="_Hlk72084510"/>
            <w:bookmarkEnd w:id="51"/>
          </w:p>
        </w:tc>
        <w:tc>
          <w:tcPr>
            <w:tcW w:w="2143" w:type="dxa"/>
          </w:tcPr>
          <w:p w14:paraId="1DCDDE04"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b/>
                <w:bCs/>
                <w:noProof/>
              </w:rPr>
            </w:pPr>
            <w:r w:rsidRPr="00DA7609">
              <w:rPr>
                <w:b/>
                <w:bCs/>
                <w:noProof/>
              </w:rPr>
              <w:t>End-users (26)</w:t>
            </w:r>
          </w:p>
        </w:tc>
        <w:tc>
          <w:tcPr>
            <w:tcW w:w="2834" w:type="dxa"/>
          </w:tcPr>
          <w:p w14:paraId="7DCB0FEC"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noProof/>
              </w:rPr>
            </w:pPr>
            <w:r w:rsidRPr="00DA7609">
              <w:rPr>
                <w:i/>
                <w:iCs/>
                <w:noProof/>
              </w:rPr>
              <w:t xml:space="preserve">Increased referral and consequent delay in accessing care </w:t>
            </w:r>
          </w:p>
        </w:tc>
        <w:tc>
          <w:tcPr>
            <w:tcW w:w="3514" w:type="dxa"/>
          </w:tcPr>
          <w:p w14:paraId="722ED415" w14:textId="77777777" w:rsidR="00DA7609" w:rsidRPr="00DA7609" w:rsidRDefault="00DA7609" w:rsidP="00DA7609">
            <w:pPr>
              <w:spacing w:line="276" w:lineRule="auto"/>
              <w:ind w:hanging="2"/>
              <w:jc w:val="both"/>
              <w:cnfStyle w:val="000000100000" w:firstRow="0" w:lastRow="0" w:firstColumn="0" w:lastColumn="0" w:oddVBand="0" w:evenVBand="0" w:oddHBand="1"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ISBN":"9781920618315","author":[{"dropping-particle":"","family":"Doherty","given":"Tanya","non-dropping-particle":"","parse-names":false,"suffix":""},{"dropping-particle":"","family":"Besada","given":"D","non-dropping-particle":"","parse-names":false,"suffix":""},{"dropping-particle":"","family":"Zembe","given":"W","non-dropping-particle":"","parse-names":false,"suffix":""},{"dropping-particle":"","family":"Daniels","given":"K","non-dropping-particle":"","parse-names":false,"suffix":""},{"dropping-particle":"","family":"Kinney","given":"M","non-dropping-particle":"","parse-names":false,"suffix":""},{"dropping-particle":"","family":"Kerber","given":"K","non-dropping-particle":"","parse-names":false,"suffix":""},{"dropping-particle":"","family":"Daviaud","given":"E","non-dropping-particle":"","parse-names":false,"suffix":""},{"dropping-particle":"","family":"Rohde","given":"S","non-dropping-particle":"","parse-names":false,"suffix":""},{"dropping-particle":"","family":"Ngandu","given":"N","non-dropping-particle":"","parse-names":false,"suffix":""},{"dropping-particle":"","family":"Jackson","given":"D","non-dropping-particle":"","parse-names":false,"suffix":""}],"id":"ITEM-1","issued":{"date-parts":[["2014"]]},"title":"Report on the summative external evaluation of the Integrated Health System Strengthening programme in Ethiopia, Mali, Mozambique, Ghana, Malawi and Niger","type":"report"},"uris":["http://www.mendeley.com/documents/?uuid=94986425-7399-348b-95f8-c3ff8107c94a"]},{"id":"ITEM-2","itemData":{"author":[{"dropping-particle":"","family":"Global Fund","given":"","non-dropping-particle":"","parse-names":false,"suffix":""},{"dropping-particle":"","family":"WHO","given":"","non-dropping-particle":"","parse-names":false,"suffix":""},{"dropping-particle":"","family":"UNICEF","given":"","non-dropping-particle":"","parse-names":false,"suffix":""}],"id":"ITEM-2","issued":{"date-parts":[["2018"]]},"title":"Integrated Community Case Management (iCCM) in Sub-Saharan Africa: Successes &amp; Challenges with Access, Speed &amp; Quality Thematic review report","type":"report"},"uris":["http://www.mendeley.com/documents/?uuid=cdd8cc09-fda0-3226-b6c3-baca7bae910b"]},{"id":"ITEM-3","itemData":{"author":[{"dropping-particle":"","family":"Chipukuma","given":"H M","non-dropping-particle":"","parse-names":false,"suffix":""},{"dropping-particle":"","family":"Halwiindi","given":"H","non-dropping-particle":"","parse-names":false,"suffix":""},{"dropping-particle":"","family":"Zulu","given":"J M","non-dropping-particle":"","parse-names":false,"suffix":""},{"dropping-particle":"","family":"Azizi","given":"S C","non-dropping-particle":"","parse-names":false,"suffix":""},{"dropping-particle":"","family":"Jacobs","given":"C","non-dropping-particle":"","parse-names":false,"suffix":""}],"container-title":"BMC Health Services Research","id":"ITEM-3","issue":"1","issued":{"date-parts":[["2020"]]},"page":"612","title":"Evaluating fidelity of community health worker roles in malaria prevention and control programs in Livingstone District, Zambia-A bottleneck analysis","type":"article-journal","volume":"20"},"uris":["http://www.mendeley.com/documents/?uuid=204868bd-b78c-4d0f-9acc-7d4e9a2eeaf5"]},{"id":"ITEM-4","itemData":{"DOI":"10.1016/j.contraception.2014.01.005","ISBN":"0010-7824","ISSN":"18790518","PMID":"24565737","abstract":"Objective Sayana?? Press (SP) is a unique injectable contraceptive (depot medroxyprogesterone acetate, or DMPA) administered subcutaneously in the UnijectTM injection system.1 SP simplifies the injection process; it requires no assembly of components and is easily disposable. This new technology appears to be well suited for community-based delivery of injectable contraception. The study objective was to evaluate SP management and administration in low-resource settings, focusing on how the delivery logistics, administration time, storage and waste-management requirements compare to the traditional intramuscular DMPA injectable (DMPA IM). Study design We conducted 58 semistructured interviews with clinic providers and community health workers in Senegal and Uganda to identify the merits, challenges and appeal of SP relative to DMPA IM. Results Providers identified logistical challenges with the management and administration of DMPA IM, including stock outs, transportation, storage constraints, and, in a few instances, waste disposal. Most providers (between 63% and 88%, depending on the logistics issue) do not expect SP to either aggravate or solve those problems. Some envisioned that SP could facilitate supply management (5%), storage (11%) and waste disposal (22%). The all-in-one packaging of SP was perceived to reduce the incidence of mismatched supplies (syringes and vials), and its smaller size was expected to ease space constraints and reduce the frequency of safety box incineration. Conclusion Adding SP to the method mix is unlikely to have a profound impact on clinic operations but may lessen logistical problems related to supply, storage and waste management. Implications Community health workers and clinic providers who administer SP may see some modest improvements in service delivery logistics. Particularly in settings where service delivery logistical challenges are more pronounced, offering SP may facilitate injectable contraceptive delivery. ?? 2014 Elsevier Inc.","author":[{"dropping-particle":"","family":"Cover","given":"Jane","non-dropping-particle":"","parse-names":false,"suffix":""},{"dropping-particle":"","family":"Blanton","given":"Elizabeth","non-dropping-particle":"","parse-names":false,"suffix":""},{"dropping-particle":"","family":"Ndiaye","given":"Dieynaba","non-dropping-particle":"","parse-names":false,"suffix":""},{"dropping-particle":"","family":"Walugembe","given":"Fiona","non-dropping-particle":"","parse-names":false,"suffix":""},{"dropping-particle":"","family":"Lamontagne","given":"D. Scott","non-dropping-particle":"","parse-names":false,"suffix":""}],"container-title":"Contraception","id":"ITEM-4","issue":"5","issued":{"date-parts":[["2014"]]},"page":"374-378","publisher":"Elsevier Inc.","title":"Operational assessments of Sayana?? Press provision in Senegal and Uganda","type":"article-journal","volume":"89"},"uris":["http://www.mendeley.com/documents/?uuid=037bade8-058a-43e6-aeba-1d943fd1aa5b"]},{"id":"ITEM-5","itemData":{"DOI":"10.1521/aeap.2010.22.2.87","ISSN":"08999546","PMID":"20387980","abstract":"While provider-initiated HIV testing and counseling (PITC) programs are being increasingly implemented in antenatal care settings, there is scant information about the specific challenges providers face when offering these services. Through qualitative interviews with 30 HIV antenatal care providers from 10 clinics in central Uganda, we sought to understand specific challenges Ugandan providers face in implementing antenatal PITC programs, including how these challenges impact prevention of mother-to-child HIV transmission programs. Counseling-specific challenges included counseling discordant couples, incomplete follow-up of HIV-infected clients, low rates of both male involvement and HIV serostatus discourse, and inadequate training and support to carry out counseling duties. Health system challenges included lack of adequate space for counseling, frequent \"stock-outs\" of supplies, shortages of both counselors and lab personnel, and inadequate referral services. These challenges must be addressed in order to optimize the success of PITC programs at providing universal access to HIV testing and counseling services. © 2010 The Guilford Press.","author":[{"dropping-particle":"","family":"Medley","given":"Amy M.","non-dropping-particle":"","parse-names":false,"suffix":""},{"dropping-particle":"","family":"Kennedy","given":"Caitlin E.","non-dropping-particle":"","parse-names":false,"suffix":""}],"container-title":"AIDS Education and Prevention","id":"ITEM-5","issue":"2","issued":{"date-parts":[["2010","4","13"]]},"page":"87-99","publisher":" Guilford ","title":"Provider challenges in implementing antenatal provider-initiated hiv testing and counseling programs in Uganda","type":"article-journal","volume":"22"},"uris":["http://www.mendeley.com/documents/?uuid=99a40756-b877-3566-b99e-55ad5b163a4b"]},{"id":"ITEM-6","itemData":{"DOI":"10.15171/ijhpm.2018.63","ISSN":"23225939","PMID":"30709085","abstract":"Background: Community health worker (CHW) interventions to manage childhood illness is a strategy promoted by the global health community which involves training and supporting CHW to assess, classify and treat sick children at home, using an algorithm adapted from the Integrated Management of Childhood Illness (IMCI). To inform CHW policy, the Government of Tanzania launched a program in 2011 to determine if community case management (CCM) of malaria, pneumonia and diarrhea could be implemented by CHW in that country. Methods: This paper reports the results of an observational study on the CCM service delivery quality of a trial cohort of CHW in Tanzania, called WAJA. In 2014, teams of data collectors, employees of the Ministry of Health and Social Welfare trained in IMCI, assessed the IMCI skills rendered by a sample of WAJA on sick children who presented to WAJA with illness signs and symptoms in their communities. The assessment included direct observations of WAJA IMCI episodes and expert re-assessment of the same children seen by WAJA to assess the congruence between the assessment, classification and treatment outcomes of WAJA cases and those from cases conducted by expert re-assessors. Results: In the majority of cases, WAJA correctly assess sick children for CCM-treatable illnesses (malaria, pneumonia, and diarrhea) and general danger signs (90% and 89%, respectively), but too few correctly assess for physical danger signs (39%); on classification in the majority of cases (73%) WAJA correctly classified illness, though more for CCM-treatable illnesses (83%). In majority of cases (78%) WAJA treated children correctly (84% of malaria, 74% pneumonia, and 71% diarrhea cases). Errors were often associated with lapses in health systems support, mainly supervision and logistics. Conclusion: CCM is a feasible strategy for CHW in Tanzania, who, in the majority of cases, implemented the approach as well as IMCI expert re-assessors. Nevertheless, for CCM to be effective, in Tanzania, a strategy to implement it must be coordinated with efforts to strengthen local health systems.","author":[{"dropping-particle":"","family":"Baynes","given":"Colin","non-dropping-particle":"","parse-names":false,"suffix":""},{"dropping-particle":"","family":"Mboya","given":"Dominic","non-dropping-particle":"","parse-names":false,"suffix":""},{"dropping-particle":"","family":"Likasi","given":"Samuel","non-dropping-particle":"","parse-names":false,"suffix":""},{"dropping-particle":"","family":"Maganga","given":"Doroth","non-dropping-particle":"","parse-names":false,"suffix":""},{"dropping-particle":"","family":"Pemba","given":"Senga","non-dropping-particle":"","parse-names":false,"suffix":""},{"dropping-particle":"","family":"Baraka","given":"Jitihada","non-dropping-particle":"","parse-names":false,"suffix":""},{"dropping-particle":"","family":"Ramsey","given":"Kate","non-dropping-particle":"","parse-names":false,"suffix":""},{"dropping-particle":"","family":"Semu","given":"Helen","non-dropping-particle":"","parse-names":false,"suffix":""}],"container-title":"International Journal of Health Policy and Management","id":"ITEM-6","issue":"12","issued":{"date-parts":[["2018","12","1"]]},"page":"1097-1109","publisher":"Kerman University of Medical Sciences","title":"Quality of sick child-care delivered by community health workers in Tanzania","type":"article-journal","volume":"7"},"uris":["http://www.mendeley.com/documents/?uuid=eb0f965b-079d-3049-9f17-97b76c273484"]},{"id":"ITEM-7","itemData":{"DOI":"10.1080/17290376.2008.9724908","ISSN":"1813-4424","PMID":"18979043","abstract":"There are concerns as to whether South Africa's public health system has sufficient resources, human and otherwise, to ensure universal access to antiretroviral treatment (ART). We report on public sector implementation of the Comprehensive Care Management and Treatment (CCMT) programme in the Free State Province, South Africa, in particular whether the primary health care (PHC) infrastructure was able to mobilise the necessary inputs to effectively provide ART, without undermining other services within facilities. A longitudinal study was conducted of the first 16 PHC facilities accredited to provide ART in the province. The facilities were visited on three occasions over 2 years, involving both structured and open-ended interviews with professional and lay staff, and observations of available resources. The resources assessed were staffing, space, essential equipment, drug supplies and laboratory systems. Approximately one-fifth (20%) of professional nurses were allocated to the CCMT programme in the facilities, although the overall number of professional nurses increased by only 14%. This process resulted in some displacement of professional nurses towards the CCMT Programme away from other services in the facilities. However, this could have been partially compensated for by task shifting towards community health workers and the appointment of additional support staff. Staff were largely positive about the programme. Drug supplies, availability of equipment and laboratory systems, although good at the baseline, improved further over the period of observation. The lack of adequate space to accommodate the new programme was a frequently reported problem. Overall, our assessment is that the PHC infrastructure in the Free State's public health system is capable of implementing and benefiting from the CCMT programme. Nevertheless, constraints in the availability of professional staff threaten future implementation of both the CCMT and other PHC programmes.","author":[{"dropping-particle":"","family":"Janse van Rensburg-Bonthuyzen","given":"Ega","non-dropping-particle":"","parse-names":false,"suffix":""},{"dropping-particle":"","family":"Engelbrecht","given":"Michelle","non-dropping-particle":"","parse-names":false,"suffix":""},{"dropping-particle":"","family":"Steyn","given":"Francois","non-dropping-particle":"","parse-names":false,"suffix":""},{"dropping-particle":"","family":"Jacobs","given":"Nandi","non-dropping-particle":"","parse-names":false,"suffix":""},{"dropping-particle":"","family":"Schneider","given":"Helen","non-dropping-particle":"","parse-names":false,"suffix":""},{"dropping-particle":"","family":"Rensburg","given":"Dingie","non-dropping-particle":"van","parse-names":false,"suffix":""}],"container-title":"SAHARA J : journal of Social Aspects of HIV/AIDS Research Alliance / SAHARA , Human Sciences Research Council","id":"ITEM-7","issue":"3","issued":{"date-parts":[["2008"]]},"page":"106-112","title":"Resources and infrastructure for the delivery of antiretroviral therapy at primary health care facilities in the Free State Province, South Africa.","type":"article-journal","volume":"5"},"uris":["http://www.mendeley.com/documents/?uuid=4dcb8e9d-7a4a-4ac8-b321-d87f4497e698"]},{"id":"ITEM-8","itemData":{"author":[{"dropping-particle":"","family":"Moti Tolera","given":"Jalu","non-dropping-particle":"","parse-names":false,"suffix":""},{"dropping-particle":"","family":"Abdurehman","given":"Ahmed","non-dropping-particle":"","parse-names":false,"suffix":""},{"dropping-particle":"","family":"Abdiwahab","given":"Hashi","non-dropping-particle":"","parse-names":false,"suffix":""},{"dropping-particle":"","family":"Alula","given":"Tekilu","non-dropping-particle":"","parse-names":false,"suffix":""}],"container-title":"PLoS One","id":"ITEM-8","issue":"3","issued":{"date-parts":[["2019"]]},"note":"Using Smart Source Parsing\ne0212227. 30 ref","title":"Exploring barriers to reproductive, maternal, child and neonatal (RMNCH) health-seeking behaviors in Somali region, Ethiopia","type":"article-journal","volume":"14"},"uris":["http://www.mendeley.com/documents/?uuid=1a0a4f36-8479-4d81-b28c-8241c0ceaff5"]},{"id":"ITEM-9","itemData":{"DOI":"10.1186/s12913-017-2723-0","ISBN":"1472-6963","PMID":"29183312","abstract":"BACKGROUND: Integrated community case management (iCCM) strategies aim to reach poor communities by providing timely access to treatment for malaria, pneumonia and diarrhoea for children under 5 years of age. Community health workers, known as Village Health Teams (VHTs) in Uganda, have been shown to be effective in hard-to-reach, underserved areas, but there is little evidence to support iCCM as an appropriate strategy in non-rural contexts. This study aimed to inform future iCCM implementation by exploring caregiver and VHT member perceptions of the value and effectiveness of iCCM in peri-urban settings in Uganda. METHODS: A qualitative evaluation was conducted in seven villages in Wakiso district, a rapidly urbanising area in central Uganda. Villages were purposively selected, spanning a range of peri-urban settlements experiencing rapid population change. In each village, rapid appraisal activities were undertaken separately with purposively selected caregivers (n = 85) and all iCCM-trained VHT members (n = 14), providing platforms for group discussions. Fifteen key informant interviews were also conducted with community leaders and VHT members. Thematic analysis was based on the 'Health Access Livelihoods Framework'. RESULTS: iCCM was perceived to facilitate timely treatment access and improve child health in peri-urban settings, often supplanting private clinics and traditional healers as first point of care. Relative to other health service providers, caregivers valued VHTs' free, proximal services, caring attitudes, perceived treatment quality, perceived competency and protocol use, and follow-up and referral services. VHT effectiveness was perceived to be restricted by inadequate diagnostics, limited newborn care, drug stockouts and VHT member absence - factors which drove utilisation of alternative providers. Low community engagement in VHT selection, lack of referral transport and poor availability of referral services also diminished perceived effectiveness. The iCCM strategy was widely perceived to result in economic savings and other livelihood benefits. CONCLUSIONS: In peri-urban areas, iCCM was perceived as an effective, well-utilised strategy, reflecting both VHT attributes and gaps in existing health services. Depending on health system resources and organisation, iCCM may be a useful transitional service delivery approach. Implementation in peri-urban areas should consider tailored community engagement strategies, adapted selection cr…","author":[{"dropping-particle":"","family":"Altaras","given":"R","non-dropping-particle":"","parse-names":false,"suffix":""},{"dropping-particle":"","family":"Montague","given":"M","non-dropping-particle":"","parse-names":false,"suffix":""},{"dropping-particle":"","family":"Graham","given":"K","non-dropping-particle":"","parse-names":false,"suffix":""},{"dropping-particle":"","family":"Strachan","given":"C E","non-dropping-particle":"","parse-names":false,"suffix":""},{"dropping-particle":"","family":"Senyonjo","given":"L","non-dropping-particle":"","parse-names":false,"suffix":""},{"dropping-particle":"","family":"King","given":"R","non-dropping-particle":"","parse-names":false,"suffix":""},{"dropping-particle":"","family":"Counihan","given":"H","non-dropping-particle":"","parse-names":false,"suffix":""},{"dropping-particle":"","family":"Mubiru","given":"D","non-dropping-particle":"","parse-names":false,"suffix":""},{"dropping-particle":"","family":"Källander","given":"K","non-dropping-particle":"","parse-names":false,"suffix":""},{"dropping-particle":"","family":"Meek","given":"S","non-dropping-particle":"","parse-names":false,"suffix":""},{"dropping-particle":"","family":"Tibenderana","given":"J","non-dropping-particle":"","parse-names":false,"suffix":""}],"container-title":"BMC Health Serv Res","edition":"2017/12/01","id":"ITEM-9","issue":"1","issued":{"date-parts":[["2017"]]},"language":"eng","note":"1472-6963\nAltaras, Robin\nMontague, Mark\nGraham, Kirstie\nStrachan, Clare E\nSenyonjo, Laura\nKing, Rebecca\nCounihan, Helen\nMubiru, Denis\nKällander, Karin\nMeek, Sylvia\nTibenderana, James\nComdis hsd/dfid/\nProgramme Partnership Arrangement/DFID/\nJournal Article\nBMC Health Serv Res. 2017 Nov 28;17(1):785. doi: 10.1186/s12913-017-2723-0.","page":"785","title":"Integrated community case management in a peri-urban setting: a qualitative evaluation in Wakiso District, Uganda","type":"article-journal","volume":"17"},"uris":["http://www.mendeley.com/documents/?uuid=bad45289-3c18-4eec-a183-47c5451246cd"]}],"mendeley":{"formattedCitation":"(28,32,66,69,72,84–86,98)","plainTextFormattedCitation":"(28,32,66,69,72,84–86,98)","previouslyFormattedCitation":"(28,32,66,69,72,84–86,98)"},"properties":{"noteIndex":0},"schema":"https://github.com/citation-style-language/schema/raw/master/csl-citation.json"}</w:instrText>
            </w:r>
            <w:r w:rsidRPr="00DA7609">
              <w:rPr>
                <w:u w:color="000000"/>
              </w:rPr>
              <w:fldChar w:fldCharType="separate"/>
            </w:r>
            <w:r w:rsidRPr="00DA7609">
              <w:rPr>
                <w:noProof/>
                <w:u w:color="000000"/>
              </w:rPr>
              <w:t>(28,32,66,69,72,84–86,98)</w:t>
            </w:r>
            <w:r w:rsidRPr="00DA7609">
              <w:rPr>
                <w:u w:color="000000"/>
              </w:rPr>
              <w:fldChar w:fldCharType="end"/>
            </w:r>
          </w:p>
        </w:tc>
      </w:tr>
      <w:tr w:rsidR="00DA7609" w:rsidRPr="00DA7609" w14:paraId="29471073" w14:textId="77777777" w:rsidTr="00FE1ADC">
        <w:trPr>
          <w:cantSplit/>
          <w:trHeight w:val="575"/>
        </w:trPr>
        <w:tc>
          <w:tcPr>
            <w:cnfStyle w:val="001000000000" w:firstRow="0" w:lastRow="0" w:firstColumn="1" w:lastColumn="0" w:oddVBand="0" w:evenVBand="0" w:oddHBand="0" w:evenHBand="0" w:firstRowFirstColumn="0" w:firstRowLastColumn="0" w:lastRowFirstColumn="0" w:lastRowLastColumn="0"/>
            <w:tcW w:w="3369" w:type="dxa"/>
          </w:tcPr>
          <w:p w14:paraId="377808AA" w14:textId="77777777" w:rsidR="00DA7609" w:rsidRPr="00DA7609" w:rsidRDefault="00DA7609" w:rsidP="00DA7609">
            <w:pPr>
              <w:spacing w:before="60" w:after="60"/>
              <w:ind w:hanging="2"/>
              <w:rPr>
                <w:noProof/>
                <w:u w:val="single"/>
              </w:rPr>
            </w:pPr>
          </w:p>
        </w:tc>
        <w:tc>
          <w:tcPr>
            <w:tcW w:w="2143" w:type="dxa"/>
          </w:tcPr>
          <w:p w14:paraId="12F14291"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b/>
                <w:bCs/>
                <w:noProof/>
              </w:rPr>
            </w:pPr>
          </w:p>
        </w:tc>
        <w:tc>
          <w:tcPr>
            <w:tcW w:w="2834" w:type="dxa"/>
          </w:tcPr>
          <w:p w14:paraId="4C93823A"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i/>
                <w:iCs/>
                <w:noProof/>
              </w:rPr>
            </w:pPr>
            <w:r w:rsidRPr="00DA7609">
              <w:rPr>
                <w:i/>
                <w:iCs/>
                <w:u w:color="000000"/>
              </w:rPr>
              <w:t>Change or stoppage of family planning method</w:t>
            </w:r>
          </w:p>
        </w:tc>
        <w:tc>
          <w:tcPr>
            <w:tcW w:w="3514" w:type="dxa"/>
          </w:tcPr>
          <w:p w14:paraId="51F7C4D5" w14:textId="77777777" w:rsidR="00DA7609" w:rsidRPr="00DA7609" w:rsidRDefault="00DA7609" w:rsidP="00DA7609">
            <w:pPr>
              <w:spacing w:line="276" w:lineRule="auto"/>
              <w:ind w:hanging="2"/>
              <w:jc w:val="both"/>
              <w:cnfStyle w:val="000000000000" w:firstRow="0" w:lastRow="0" w:firstColumn="0" w:lastColumn="0" w:oddVBand="0" w:evenVBand="0" w:oddHBand="0"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{"citationItems":[{"id":"ITEM-1","itemData":{"DOI":"10.1016/j.contraception.2014.01.005","ISBN":"0010-7824","ISSN":"18790518","PMID":"24565737","abstract":"Objective Sayana?? Press (SP) is a unique injectable contraceptive (depot medroxyprogesterone acetate, or DMPA) administered subcutaneously in the UnijectTM injection system.1 SP simplifies the injection process; it requires no assembly of components and is easily disposable. This new technology appears to be well suited for community-based delivery of injectable contraception. The study objective was to evaluate SP management and administration in low-resource settings, focusing on how the delivery logistics, administration time, storage and waste-management requirements compare to the traditional intramuscular DMPA injectable (DMPA IM). Study design We conducted 58 semistructured interviews with clinic providers and community health workers in Senegal and Uganda to identify the merits, challenges and appeal of SP relative to DMPA IM. Results Providers identified logistical challenges with the management and administration of DMPA IM, including stock outs, transportation, storage constraints, and, in a few instances, waste disposal. Most providers (between 63% and 88%, depending on the logistics issue) do not expect SP to either aggravate or solve those problems. Some envisioned that SP could facilitate supply management (5%), storage (11%) and waste disposal (22%). The all-in-one packaging of SP was perceived to reduce the incidence of mismatched supplies (syringes and vials), and its smaller size was expected to ease space constraints and reduce the frequency of safety box incineration. Conclusion Adding SP to the method mix is unlikely to have a profound impact on clinic operations but may lessen logistical problems related to supply, storage and waste management. Implications Community health workers and clinic providers who administer SP may see some modest improvements in service delivery logistics. Particularly in settings where service delivery logistical challenges are more pronounced, offering SP may facilitate injectable contraceptive delivery. ?? 2014 Elsevier Inc.","author":[{"dropping-particle":"","family":"Cover","given":"Jane","non-dropping-particle":"","parse-names":false,"suffix":""},{"dropping-particle":"","family":"Blanton","given":"Elizabeth","non-dropping-particle":"","parse-names":false,"suffix":""},{"dropping-particle":"","family":"Ndiaye","given":"Dieynaba","non-dropping-particle":"","parse-names":false,"suffix":""},{"dropping-particle":"","family":"Walugembe","given":"Fiona","non-dropping-particle":"","parse-names":false,"suffix":""},{"dropping-particle":"","family":"Lamontagne","given":"D. Scott","non-dropping-particle":"","parse-names":false,"suffix":""}],"container-title":"Contraception","id":"ITEM-1","issue":"5","issued":{"date-parts":[["2014"]]},"page":"374-378","publisher":"Elsevier Inc.","title":"Operational assessments of Sayana?? Press provision in Senegal and Uganda","type":"article-journal","volume":"89"},"uris":["http://www.mendeley.com/documents/?uuid=037bade8-058a-43e6-aeba-1d943fd1aa5b"]},{"id":"ITEM-2","itemData":{"DOI":"10.1186/s12978-020-0906-3","ISSN":"17424755","PMID":"32312279","abstract":"Background: Contraceptive services are essential for promoting people's health, and economic and social well-being. Despite increased contraceptive use over the past decades, unmet need is still high in Malawi. As a result of task shifting, health surveillance assistants (HSAs), Malawi's paid community health worker cadre, provide an expanded range of contraceptive services, aimed at increasing access at community level. We conducted a qualitative study to explore enabling and hindering factors of HSAs' roles in the provision of modern contraceptive services in Mangochi district, Malawi. Methods: The study involved HSAs and their supervisors, a variety of community members, health workers and policy makers using 34 interviews and 12 focus group discussions. Data were recorded, transcribed, translated, coded and thematically analysed according to a framework that included community-, HSA- and health system-related factors. Results: HSAs were found to be trusted providers of contraceptive services. At community level, gender norms, decision-making and beliefs about contraceptives were intertwined. They resulted in women using contraceptive services, including those offered by HSAs, in secret. There were misconceptions about contraceptives among both men and women, which were insufficiently addressed by HSAs. Residence and age of HSAs influenced their role in the provision of contraceptive services to (young) community members, whereas sex was not regarded as an enabling or hindering factor. While most community members reported to be satisfied with the quality of HSAs' services, quality was compromised by a lack of contraceptive supplies and other resources, and limited supportive supervision and training. Conclusions: HSAs in Mangochi are important contraceptive service providers. Their ability to ensure male involvement, increase access to services for youth and address misconceptions about contraceptives needs improvement. This requires a thorough understanding of socio-cultural norms and improved behavioural change communication competencies, which need to be incorporated in future training under Malawi's Community Health Strategy.","author":[{"dropping-particle":"","family":"Kok","given":"Maryse","non-dropping-particle":"","parse-names":false,"suffix":""},{"dropping-particle":"","family":"Tolani","given":"Madalitso","non-dropping-particle":"","parse-names":false,"suffix":""},{"dropping-particle":"","family":"Mtonga","given":"Wongani","non-dropping-particle":"","parse-names":false,"suffix":""},{"dropping-particle":"","family":"Salamba","given":"Thom","non-dropping-particle":"","parse-names":false,"suffix":""},{"dropping-particle":"","family":"Mwabungulu","given":"Twambilire","non-dropping-particle":"","parse-names":false,"suffix":""},{"dropping-particle":"","family":"Munthali","given":"Arnold","non-dropping-particle":"","parse-names":false,"suffix":""},{"dropping-particle":"","family":"Smet","given":"Eefje","non-dropping-particle":"","parse-names":false,"suffix":""},{"dropping-particle":"","family":"Chinsakaso","given":"Benedict","non-dropping-particle":"","parse-names":false,"suffix":""}],"container-title":"Reproductive Health","id":"ITEM-2","issue":"1","issued":{"date-parts":[["2020"]]},"page":"1-13","publisher":"Reproductive Health","title":"Enabling and hindering factors of health surveillance assistants' roles in the provision of contraceptive services in Mangochi, Malawi","type":"article-journal","volume":"17"},"uris":["http://www.mendeley.com/documents/?uuid=4278590e-84ad-4816-9553-22da486d25cc"]}],"mendeley":{"formattedCitation":"(61,66)","plainTextFormattedCitation":"(61,66)","previouslyFormattedCitation":"(61,66)"},"properties":{"noteIndex":0},"schema":"https://github.com/citation-style-language/schema/raw/master/csl-citation.json"}</w:instrText>
            </w:r>
            <w:r w:rsidRPr="00DA7609">
              <w:rPr>
                <w:u w:color="000000"/>
              </w:rPr>
              <w:fldChar w:fldCharType="separate"/>
            </w:r>
            <w:r w:rsidRPr="00DA7609">
              <w:rPr>
                <w:noProof/>
                <w:u w:color="000000"/>
              </w:rPr>
              <w:t>(61,66)</w:t>
            </w:r>
            <w:r w:rsidRPr="00DA7609">
              <w:rPr>
                <w:u w:color="000000"/>
              </w:rPr>
              <w:fldChar w:fldCharType="end"/>
            </w:r>
          </w:p>
        </w:tc>
      </w:tr>
      <w:tr w:rsidR="00DA7609" w:rsidRPr="00DA7609" w14:paraId="7AFAD2D7" w14:textId="77777777" w:rsidTr="00FE1ADC">
        <w:trPr>
          <w:cnfStyle w:val="000000100000" w:firstRow="0" w:lastRow="0" w:firstColumn="0" w:lastColumn="0" w:oddVBand="0" w:evenVBand="0" w:oddHBand="1" w:evenHBand="0" w:firstRowFirstColumn="0" w:firstRowLastColumn="0" w:lastRowFirstColumn="0" w:lastRowLastColumn="0"/>
          <w:cantSplit/>
          <w:trHeight w:val="665"/>
        </w:trPr>
        <w:tc>
          <w:tcPr>
            <w:cnfStyle w:val="001000000000" w:firstRow="0" w:lastRow="0" w:firstColumn="1" w:lastColumn="0" w:oddVBand="0" w:evenVBand="0" w:oddHBand="0" w:evenHBand="0" w:firstRowFirstColumn="0" w:firstRowLastColumn="0" w:lastRowFirstColumn="0" w:lastRowLastColumn="0"/>
            <w:tcW w:w="3369" w:type="dxa"/>
          </w:tcPr>
          <w:p w14:paraId="264EC2ED" w14:textId="77777777" w:rsidR="00DA7609" w:rsidRPr="00DA7609" w:rsidRDefault="00DA7609" w:rsidP="00DA7609">
            <w:pPr>
              <w:spacing w:before="60" w:after="60"/>
              <w:ind w:hanging="2"/>
              <w:rPr>
                <w:noProof/>
                <w:u w:val="single"/>
              </w:rPr>
            </w:pPr>
          </w:p>
        </w:tc>
        <w:tc>
          <w:tcPr>
            <w:tcW w:w="2143" w:type="dxa"/>
          </w:tcPr>
          <w:p w14:paraId="3698CBF3"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b/>
                <w:bCs/>
                <w:noProof/>
              </w:rPr>
            </w:pPr>
          </w:p>
        </w:tc>
        <w:tc>
          <w:tcPr>
            <w:tcW w:w="2834" w:type="dxa"/>
          </w:tcPr>
          <w:p w14:paraId="1ED4F88E"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u w:color="000000"/>
              </w:rPr>
            </w:pPr>
            <w:r w:rsidRPr="00DA7609">
              <w:rPr>
                <w:i/>
                <w:iCs/>
                <w:u w:color="000000"/>
              </w:rPr>
              <w:t>Poor compliance to drug regimen</w:t>
            </w:r>
          </w:p>
        </w:tc>
        <w:tc>
          <w:tcPr>
            <w:tcW w:w="3514" w:type="dxa"/>
          </w:tcPr>
          <w:p w14:paraId="6B5019CE" w14:textId="77777777" w:rsidR="00DA7609" w:rsidRPr="00DA7609" w:rsidRDefault="00DA7609" w:rsidP="00DA7609">
            <w:pPr>
              <w:spacing w:line="276" w:lineRule="auto"/>
              <w:ind w:hanging="2"/>
              <w:jc w:val="both"/>
              <w:cnfStyle w:val="000000100000" w:firstRow="0" w:lastRow="0" w:firstColumn="0" w:lastColumn="0" w:oddVBand="0" w:evenVBand="0" w:oddHBand="1"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{"citationItems":[{"id":"ITEM-1","itemData":{"author":[{"dropping-particle":"","family":"World Health Organization","given":"","non-dropping-particle":"","parse-names":false,"suffix":""}],"container-title":"WHO Evaluation Office,","id":"ITEM-1","issue":"May","issued":{"date-parts":[["2018"]]},"number-of-pages":"1- 157","title":"Summative evaluation of the WHO Rapid Access Expansion Initiative Volume 3 : Country Briefs","type":"report","volume":"3"},"uris":["http://www.mendeley.com/documents/?uuid=4bf4f451-b078-38e8-b60a-69b39e08b04e"]},{"id":"ITEM-2","itemData":{"author":[{"dropping-particle":"","family":"Kavle","given":"J","non-dropping-particle":"","parse-names":false,"suffix":""},{"dropping-particle":"","family":"Landry","given":"M","non-dropping-particle":"","parse-names":false,"suffix":""},{"dropping-particle":"","family":"Gottwalt","given":"A","non-dropping-particle":"","parse-names":false,"suffix":""}],"container-title":"Annals of Nutrition and Metabolism","id":"ITEM-2","issued":{"date-parts":[["2017"]]},"note":"21st International Congress of Nutrition, ICN 2017. Argentina","page":"562","title":"Community-based distribution of iron-folic acid supplementation: A review of evidence and program implications for anemia programming for women and girls","type":"article-journal","volume":"71 (Supple"},"uris":["http://www.mendeley.com/documents/?uuid=b1b31461-ec67-4fdf-8510-62b5267ec4e6"]}],"mendeley":{"formattedCitation":"(29,89)","plainTextFormattedCitation":"(29,89)","previouslyFormattedCitation":"(29,89)"},"properties":{"noteIndex":0},"schema":"https://github.com/citation-style-language/schema/raw/master/csl-citation.json"}</w:instrText>
            </w:r>
            <w:r w:rsidRPr="00DA7609">
              <w:rPr>
                <w:u w:color="000000"/>
              </w:rPr>
              <w:fldChar w:fldCharType="separate"/>
            </w:r>
            <w:r w:rsidRPr="00DA7609">
              <w:rPr>
                <w:noProof/>
                <w:u w:color="000000"/>
              </w:rPr>
              <w:t>(29,89)</w:t>
            </w:r>
            <w:r w:rsidRPr="00DA7609">
              <w:rPr>
                <w:u w:color="000000"/>
              </w:rPr>
              <w:fldChar w:fldCharType="end"/>
            </w:r>
          </w:p>
        </w:tc>
      </w:tr>
      <w:tr w:rsidR="00DA7609" w:rsidRPr="00DA7609" w14:paraId="2609C2EA" w14:textId="77777777" w:rsidTr="00FE1ADC">
        <w:trPr>
          <w:cantSplit/>
          <w:trHeight w:val="665"/>
        </w:trPr>
        <w:tc>
          <w:tcPr>
            <w:cnfStyle w:val="001000000000" w:firstRow="0" w:lastRow="0" w:firstColumn="1" w:lastColumn="0" w:oddVBand="0" w:evenVBand="0" w:oddHBand="0" w:evenHBand="0" w:firstRowFirstColumn="0" w:firstRowLastColumn="0" w:lastRowFirstColumn="0" w:lastRowLastColumn="0"/>
            <w:tcW w:w="3369" w:type="dxa"/>
          </w:tcPr>
          <w:p w14:paraId="03778E9A" w14:textId="77777777" w:rsidR="00DA7609" w:rsidRPr="00DA7609" w:rsidRDefault="00DA7609" w:rsidP="00DA7609">
            <w:pPr>
              <w:spacing w:before="60" w:after="60"/>
              <w:ind w:hanging="2"/>
              <w:rPr>
                <w:noProof/>
                <w:u w:val="single"/>
              </w:rPr>
            </w:pPr>
          </w:p>
        </w:tc>
        <w:tc>
          <w:tcPr>
            <w:tcW w:w="2143" w:type="dxa"/>
          </w:tcPr>
          <w:p w14:paraId="1CA64D3D"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b/>
                <w:bCs/>
                <w:noProof/>
              </w:rPr>
            </w:pPr>
          </w:p>
        </w:tc>
        <w:tc>
          <w:tcPr>
            <w:tcW w:w="2834" w:type="dxa"/>
          </w:tcPr>
          <w:p w14:paraId="32EDE5D7"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u w:color="000000"/>
              </w:rPr>
            </w:pPr>
            <w:r w:rsidRPr="00DA7609">
              <w:rPr>
                <w:i/>
                <w:iCs/>
                <w:u w:color="000000"/>
              </w:rPr>
              <w:t>Incur out-of-pocket cost for purchase</w:t>
            </w:r>
          </w:p>
        </w:tc>
        <w:tc>
          <w:tcPr>
            <w:tcW w:w="3514" w:type="dxa"/>
          </w:tcPr>
          <w:p w14:paraId="6B974A49" w14:textId="77777777" w:rsidR="00DA7609" w:rsidRPr="00DA7609" w:rsidRDefault="00DA7609" w:rsidP="00DA7609">
            <w:pPr>
              <w:spacing w:line="276" w:lineRule="auto"/>
              <w:ind w:hanging="2"/>
              <w:jc w:val="both"/>
              <w:cnfStyle w:val="000000000000" w:firstRow="0" w:lastRow="0" w:firstColumn="0" w:lastColumn="0" w:oddVBand="0" w:evenVBand="0" w:oddHBand="0" w:evenHBand="0" w:firstRowFirstColumn="0" w:firstRowLastColumn="0" w:lastRowFirstColumn="0" w:lastRowLastColumn="0"/>
              <w:rPr>
                <w:u w:color="000000"/>
              </w:rPr>
            </w:pPr>
            <w:r w:rsidRPr="00DA7609">
              <w:rPr>
                <w:rFonts w:ascii="Georgia" w:hAnsi="Georgia"/>
                <w:color w:val="333333"/>
                <w:shd w:val="clear" w:color="auto" w:fill="FFFFFF"/>
              </w:rPr>
              <w:fldChar w:fldCharType="begin" w:fldLock="1"/>
            </w:r>
            <w:r w:rsidRPr="00DA7609">
              <w:rPr>
                <w:rFonts w:ascii="Georgia" w:hAnsi="Georgia"/>
                <w:color w:val="333333"/>
                <w:shd w:val="clear" w:color="auto" w:fill="FFFFFF"/>
              </w:rPr>
              <w:instrText>ADDIN CSL_CITATION {"citationItems":[{"id":"ITEM-1","itemData":{"DOI":"10.1002/ijgo.13450","ISBN":"0020-7292","abstract":"Objective: To explore barriers to utilization of health-facility-based delivery in Kenya, use of which is associated with reduced maternal mortality. Methods: In April 2017, a qualitative study utilizing key informant interviews (KIIs) and focus group discussions (FGDs) was carried out in Bomachoge-Borabu and Kaloleni, Kenya. Twenty-four KIIs were performed including health service providers, community health workers, religious leaders, local government representatives, Ministry of Health representatives, and representatives of women's organizations. Sixteen FGDs were held separately with adolescent females, adult females, adult males, and Community Health Committee members. Data were transcribed, coded, and categorized thematically to illustrate supply-side and demand-side barriers to use of health-facility-based delivery services. Results: Supply-side barriers included staff shortages, inadequate supplies and space, poor interpersonal relations, few trained staff, long distance to services, poor transport infrastructure, and limited service hours. Demand-side barriers included financial constraints, limited spousal support, observance of birthing traditions, limited knowledge on importance of health-facility-based delivery, and fear of health-facility procedures. Conclusions: Diverse barriers continue to influence use of health-facility-based delivery services in Kenya. Practical, integrated interventions are urgently needed to reduce barriers noted, to further reduce the maternal mortality rate.","author":[{"dropping-particle":"","family":"Naanyu","given":"V","non-dropping-particle":"","parse-names":false,"suffix":""},{"dropping-particle":"","family":"Wade","given":"T J","non-dropping-particle":"","parse-names":false,"suffix":""},{"dropping-particle":"","family":"Ngetich","given":"A","non-dropping-particle":"","parse-names":false,"suffix":""},{"dropping-particle":"","family":"Mulama","given":"K","non-dropping-particle":"","parse-names":false,"suffix":""},{"dropping-particle":"","family":"Nyaga","given":"L","non-dropping-particle":"","parse-names":false,"suffix":""},{"dropping-particle":"","family":"Pell","given":"R","non-dropping-particle":"","parse-names":false,"suffix":""},{"dropping-particle":"","family":"Mossman","given":"L","non-dropping-particle":"","parse-names":false,"suffix":""},{"dropping-particle":"","family":"Obure","given":"J","non-dropping-particle":"","parse-names":false,"suffix":""},{"dropping-particle":"","family":"Temmerman","given":"M","non-dropping-particle":"","parse-names":false,"suffix":""}],"container-title":"International Journal of Gynecology &amp; Obstetrics","id":"ITEM-1","issued":{"date-parts":[["0"]]},"note":"Naanyu, Violet Wade, Terrance J. Ngetich, Angela Mulama, Kennedy Nyaga, Lucy Pell, Rachel Mossman, Lindsay Obure, Jerim Temmerman, Marleen\n1879-3479","title":"A qualitative exploration of barriers to health-facility-based delivery in Bomachoge-Borabu and Kaloleni, Kenya","type":"article-journal"},"uris":["http://www.mendeley.com/documents/?uuid=874c2f41-273f-4e35-9e00-b1fe6ec5a8a7"]},{"id":"ITEM-2","itemData":{"DOI":"10.1136/bmjopen-2020-040350","ISBN":"2044-6055","abstract":"Background/objective The increasing burden of non-communicable diseases (NCDs) in Nepal underscores the importance of strengthening primary healthcare systems to deliver efficient care. In this study, we examined the barriers and facilitators to engaging community health workers (CHWs) for NCDs prevention and control in Nepal. Design We used multiple approaches including (a) review of relevant literature, (b) key personnel and stakeholders' consultation meetings and (c) qualitative data collection using semistructured interviews. A grounded theory approach was used for qualitative data collection and the data were analysed thematically. Setting Data were collected from health facilities across four districts in Nepal and two stakeholder consultative meetings were conducted at central level. Participants We conducted in-depth interviews with CHWs (Health Assistants, Auxiliary Health Workers, Auxiliary Nurse Midwife) (n=5); key informant interviews with health policymakers/managers (n=3) and focus group discussions (FGDs) with CHWs (four FGDs; total n=27). Participants in two stakeholder consultative meetings included members from the government (n=8), non-government organisations (n=7), private sector (n=3) and universities (n=6). Results The CHWs were engaged in a wide range of public health programmes and they also deliver NCDs specific programmes such as common NCDs screening, provisional diagnosis, primary care, health education and counselling, basic medication and referral and so on. These NCD prevention and control services are concentrated in those districts, where the WHO, Package for prevention and control of NCDs) program is being implemented. Some challenges and barriers were identified, including inadequate NCD training, high workload, poor system-level support, inadequate remuneration, inadequate supply of logistics and drugs. The facilitating factors included government priority, formation of NCD-related policies, community support systems, social prestige and staff motivation. Conclusion Engaging CHWs has been considered as key driver to delivering NCDs related services in Nepal. Effective integration of CHWs within the primary care system is essential for CHW's capacity buildings, necessary supervisory arrangements, supply of logistics and medications and setting up effective recording and reporting systems for prevention and control of NCDs in Nepal.","author":[{"dropping-particle":"","family":"Rawal","given":"L B","non-dropping-particle":"","parse-names":false,"suffix":""},{"dropping-particle":"","family":"Kharel","given":"C","non-dropping-particle":"","parse-names":false,"suffix":""},{"dropping-particle":"","family":"Yadav","given":"U N","non-dropping-particle":"","parse-names":false,"suffix":""},{"dropping-particle":"","family":"Kanda","given":"K","non-dropping-particle":"","parse-names":false,"suffix":""},{"dropping-particle":"","family":"Biswas","given":"T","non-dropping-particle":"","parse-names":false,"suffix":""},{"dropping-particle":"","family":"Vandelanotte","given":"C","non-dropping-particle":"","parse-names":false,"suffix":""},{"dropping-particle":"","family":"Baral","given":"S","non-dropping-particle":"","parse-names":false,"suffix":""},{"dropping-particle":"","family":"Abdullah","given":"A","non-dropping-particle":"","parse-names":false,"suffix":""}],"container-title":"BMJ Open","id":"ITEM-2","issue":"12","issued":{"date-parts":[["2020"]]},"note":"Rawal, Lal B. Kharel, Chandani Yadav, Uday Narayan Kanda, Kie Biswas, Tuhin Vandelanotte, Corneel Baral, Sushil Abdullah, Abu S.\nYadav, Uday N/ABD-1547-2020\nYadav, Uday N/0000-0002-6626-1604; Rawal, Lal/0000-0003-1106-0108","title":"Community health workers for non-communicable disease prevention and control in Nepal: a qualitative study","type":"article-journal","volume":"10"},"uris":["http://www.mendeley.com/documents/?uuid=6875556d-9d16-4e4b-b4b0-e0db61f60ed6"]},{"id":"ITEM-3","itemData":{"DOI":"10.1016/j.contraception.2014.01.005","ISBN":"0010-7824","ISSN":"18790518","PMID":"24565737","abstract":"Objective Sayana?? Press (SP) is a unique injectable contraceptive (depot medroxyprogesterone acetate, or DMPA) administered subcutaneously in the UnijectTM injection system.1 SP simplifies the injection process; it requires no assembly of components and is easily disposable. This new technology appears to be well suited for community-based delivery of injectable contraception. The study objective was to evaluate SP management and administration in low-resource settings, focusing on how the delivery logistics, administration time, storage and waste-management requirements compare to the traditional intramuscular DMPA injectable (DMPA IM). Study design We conducted 58 semistructured interviews with clinic providers and community health workers in Senegal and Uganda to identify the merits, challenges and appeal of SP relative to DMPA IM. Results Providers identified logistical challenges with the management and administration of DMPA IM, including stock outs, transportation, storage constraints, and, in a few instances, waste disposal. Most providers (between 63% and 88%, depending on the logistics issue) do not expect SP to either aggravate or solve those problems. Some envisioned that SP could facilitate supply management (5%), storage (11%) and waste disposal (22%). The all-in-one packaging of SP was perceived to reduce the incidence of mismatched supplies (syringes and vials), and its smaller size was expected to ease space constraints and reduce the frequency of safety box incineration. Conclusion Adding SP to the method mix is unlikely to have a profound impact on clinic operations but may lessen logistical problems related to supply, storage and waste management. Implications Community health workers and clinic providers who administer SP may see some modest improvements in service delivery logistics. Particularly in settings where service delivery logistical challenges are more pronounced, offering SP may facilitate injectable contraceptive delivery. ?? 2014 Elsevier Inc.","author":[{"dropping-particle":"","family":"Cover","given":"Jane","non-dropping-particle":"","parse-names":false,"suffix":""},{"dropping-particle":"","family":"Blanton","given":"Elizabeth","non-dropping-particle":"","parse-names":false,"suffix":""},{"dropping-particle":"","family":"Ndiaye","given":"Dieynaba","non-dropping-particle":"","parse-names":false,"suffix":""},{"dropping-particle":"","family":"Walugembe","given":"Fiona","non-dropping-particle":"","parse-names":false,"suffix":""},{"dropping-particle":"","family":"Lamontagne","given":"D. Scott","non-dropping-particle":"","parse-names":false,"suffix":""}],"container-title":"Contraception","id":"ITEM-3","issue":"5","issued":{"date-parts":[["2014"]]},"page":"374-378","publisher":"Elsevier Inc.","title":"Operational assessments of Sayana?? Press provision in Senegal and Uganda","type":"article-journal","volume":"89"},"uris":["http://www.mendeley.com/documents/?uuid=037bade8-058a-43e6-aeba-1d943fd1aa5b"]},{"id":"ITEM-4","itemData":{"author":[{"dropping-particle":"","family":"Global Fund","given":"","non-dropping-particle":"","parse-names":false,"suffix":""},{"dropping-particle":"","family":"WHO","given":"","non-dropping-particle":"","parse-names":false,"suffix":""},{"dropping-particle":"","family":"UNICEF","given":"","non-dropping-particle":"","parse-names":false,"suffix":""}],"id":"ITEM-4","issued":{"date-parts":[["2018"]]},"title":"Integrated Community Case Management (iCCM) in Sub-Saharan Africa: Successes &amp; Challenges with Access, Speed &amp; Quality Thematic review report","type":"report"},"uris":["http://www.mendeley.com/documents/?uuid=cdd8cc09-fda0-3226-b6c3-baca7bae910b"]},{"id":"ITEM-5","itemData":{"author":[{"dropping-particle":"","family":"Kavle","given":"J","non-dropping-particle":"","parse-names":false,"suffix":""},{"dropping-particle":"","family":"Landry","given":"M","non-dropping-particle":"","parse-names":false,"suffix":""},{"dropping-particle":"","family":"Gottwalt","given":"A","non-dropping-particle":"","parse-names":false,"suffix":""}],"container-title":"Annals of Nutrition and Metabolism","id":"ITEM-5","issued":{"date-parts":[["2017"]]},"note":"21st International Congress of Nutrition, ICN 2017. Argentina","page":"562","title":"Community-based distribution of iron-folic acid supplementation: A review of evidence and program implications for anemia programming for women and girls","type":"article-journal","volume":"71 (Supple"},"uris":["http://www.mendeley.com/documents/?uuid=b1b31461-ec67-4fdf-8510-62b5267ec4e6"]},{"id":"ITEM-6","itemData":{"author":[{"dropping-particle":"","family":"Sumankuuro","given":"J","non-dropping-particle":"","parse-names":false,"suffix":""},{"dropping-particle":"","family":"Crockett","given":"J","non-dropping-particle":"","parse-names":false,"suffix":""},{"dropping-particle":"","family":"Wang","given":"ShaoYu","non-dropping-particle":"","parse-names":false,"suffix":""}],"container-title":"BMJ Open","id":"ITEM-6","issue":"11","issued":{"date-parts":[["2018"]]},"note":"Using Smart Source Parsing\ne021223. 48 ref","title":"Perceived barriers to maternal and newborn health services delivery: a qualitative study of health workers and community members in low and middle-income settings","type":"article-journal","volume":"8"},"uris":["http://www.mendeley.com/documents/?uuid=eead3761-17db-4ed9-bebf-8cb325e7e3ab"]}],"mendeley":{"formattedCitation":"(28,45,56,66,88,89)","plainTextFormattedCitation":"(28,45,56,66,88,89)","previouslyFormattedCitation":"(28,45,56,66,88,89)"},"properties":{"noteIndex":0},"schema":"https://github.com/citation-style-language/schema/raw/master/csl-citation.json"}</w:instrText>
            </w:r>
            <w:r w:rsidRPr="00DA7609">
              <w:rPr>
                <w:rFonts w:ascii="Georgia" w:hAnsi="Georgia"/>
                <w:color w:val="333333"/>
                <w:shd w:val="clear" w:color="auto" w:fill="FFFFFF"/>
              </w:rPr>
              <w:fldChar w:fldCharType="separate"/>
            </w:r>
            <w:r w:rsidRPr="00DA7609">
              <w:rPr>
                <w:rFonts w:ascii="Georgia" w:hAnsi="Georgia"/>
                <w:noProof/>
                <w:color w:val="333333"/>
                <w:shd w:val="clear" w:color="auto" w:fill="FFFFFF"/>
              </w:rPr>
              <w:t>(28,45,56,66,88,89)</w:t>
            </w:r>
            <w:r w:rsidRPr="00DA7609">
              <w:rPr>
                <w:rFonts w:ascii="Georgia" w:hAnsi="Georgia"/>
                <w:color w:val="333333"/>
                <w:shd w:val="clear" w:color="auto" w:fill="FFFFFF"/>
              </w:rPr>
              <w:fldChar w:fldCharType="end"/>
            </w:r>
            <w:r w:rsidRPr="00DA7609">
              <w:rPr>
                <w:u w:color="000000"/>
              </w:rPr>
              <w:t>.</w:t>
            </w:r>
          </w:p>
        </w:tc>
      </w:tr>
      <w:tr w:rsidR="00DA7609" w:rsidRPr="00DA7609" w14:paraId="51A8C104" w14:textId="77777777" w:rsidTr="00FE1ADC">
        <w:trPr>
          <w:cnfStyle w:val="000000100000" w:firstRow="0" w:lastRow="0" w:firstColumn="0" w:lastColumn="0" w:oddVBand="0" w:evenVBand="0" w:oddHBand="1" w:evenHBand="0" w:firstRowFirstColumn="0" w:firstRowLastColumn="0" w:lastRowFirstColumn="0" w:lastRowLastColumn="0"/>
          <w:cantSplit/>
          <w:trHeight w:val="665"/>
        </w:trPr>
        <w:tc>
          <w:tcPr>
            <w:cnfStyle w:val="001000000000" w:firstRow="0" w:lastRow="0" w:firstColumn="1" w:lastColumn="0" w:oddVBand="0" w:evenVBand="0" w:oddHBand="0" w:evenHBand="0" w:firstRowFirstColumn="0" w:firstRowLastColumn="0" w:lastRowFirstColumn="0" w:lastRowLastColumn="0"/>
            <w:tcW w:w="3369" w:type="dxa"/>
          </w:tcPr>
          <w:p w14:paraId="5F87502A" w14:textId="77777777" w:rsidR="00DA7609" w:rsidRPr="00DA7609" w:rsidRDefault="00DA7609" w:rsidP="00DA7609">
            <w:pPr>
              <w:spacing w:before="60" w:after="60"/>
              <w:ind w:hanging="2"/>
              <w:rPr>
                <w:noProof/>
                <w:u w:val="single"/>
              </w:rPr>
            </w:pPr>
          </w:p>
        </w:tc>
        <w:tc>
          <w:tcPr>
            <w:tcW w:w="2143" w:type="dxa"/>
          </w:tcPr>
          <w:p w14:paraId="651B4E32"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b/>
                <w:bCs/>
                <w:noProof/>
              </w:rPr>
            </w:pPr>
          </w:p>
        </w:tc>
        <w:tc>
          <w:tcPr>
            <w:tcW w:w="2834" w:type="dxa"/>
          </w:tcPr>
          <w:p w14:paraId="6393C66E"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u w:color="000000"/>
              </w:rPr>
            </w:pPr>
            <w:r w:rsidRPr="00DA7609">
              <w:rPr>
                <w:i/>
                <w:iCs/>
                <w:u w:color="000000"/>
              </w:rPr>
              <w:t>Inappropriate treatment with delay in recovery</w:t>
            </w:r>
          </w:p>
        </w:tc>
        <w:tc>
          <w:tcPr>
            <w:tcW w:w="3514" w:type="dxa"/>
          </w:tcPr>
          <w:p w14:paraId="373043E0" w14:textId="77777777" w:rsidR="00DA7609" w:rsidRPr="00DA7609" w:rsidRDefault="00DA7609" w:rsidP="00DA7609">
            <w:pPr>
              <w:spacing w:line="276" w:lineRule="auto"/>
              <w:ind w:hanging="2"/>
              <w:jc w:val="both"/>
              <w:cnfStyle w:val="000000100000" w:firstRow="0" w:lastRow="0" w:firstColumn="0" w:lastColumn="0" w:oddVBand="0" w:evenVBand="0" w:oddHBand="1"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{"citationItems":[{"id":"ITEM-1","itemData":{"DOI":"10.1093/heapol/czs095","ISSN":"02681080","PMID":"23065598","abstract":"Objective To assess the quality of care provided by Health Surveillance Assistants (HSAs) - a cadre of community-based health workers - as part of a national scale-up of community case management of childhood illness (CCM) in Malawi.Methods Trained research teams visited a random sample of HSAs (n = 131) trained in CCM and provided with initial essential drug stocks in six districts, and observed the provision of sick child care. Trained clinicians conducted 'gold-standard' reassessments of the child. Members of the survey team also interviewed caregivers and HSAs and inspected drug stocks and patient registers.Findings HSAs provided correct treatment with antimalarials to 79% of the 241 children presenting with uncomplicated fever, with oral rehydration salts to 69% of the 93 children presenting with uncomplicated diarrhoea and with antibiotics to 52% of 58 children presenting with suspected pneumonia (cough with fast breathing). About one in five children (18%) presented with danger signs. HSAs correctly assessed 37% of children for four danger signs by conducting a physical exam, and correctly referred 55% of children with danger signs.Conclusion Malawi's CCM programme is a promising strategy for increasing coverage of sick child treatment, although there is much room for improvement, especially in the correct assessment and treatment of suspected pneumonia and the identification and referral of sick children with danger signs. However, HSAs provided sick child care at levels of quality similar to those provided in first-level health facilities in Malawi, and quality should improve if the Ministry of Health and partners act on the results of this assessment. © 2012 The Author 2012; all rights reserved.","author":[{"dropping-particle":"","family":"Gilroy","given":"Kate E.","non-dropping-particle":"","parse-names":false,"suffix":""},{"dropping-particle":"","family":"Callaghan-Koru","given":"Jennifer A.","non-dropping-particle":"","parse-names":false,"suffix":""},{"dropping-particle":"V.","family":"Cardemil","given":"Cristina","non-dropping-particle":"","parse-names":false,"suffix":""},{"dropping-particle":"","family":"Nsona","given":"Humphreys","non-dropping-particle":"","parse-names":false,"suffix":""},{"dropping-particle":"","family":"Amouzou","given":"Agbessi","non-dropping-particle":"","parse-names":false,"suffix":""},{"dropping-particle":"","family":"Mtimuni","given":"Angella","non-dropping-particle":"","parse-names":false,"suffix":""},{"dropping-particle":"","family":"Daelmans","given":"Bernadette","non-dropping-particle":"","parse-names":false,"suffix":""},{"dropping-particle":"","family":"Mgalula","given":"Leslie","non-dropping-particle":"","parse-names":false,"suffix":""},{"dropping-particle":"","family":"Aboubaker","given":"Samira","non-dropping-particle":"","parse-names":false,"suffix":""},{"dropping-particle":"","family":"Bonongwe","given":"Enoch","non-dropping-particle":"","parse-names":false,"suffix":""},{"dropping-particle":"","family":"George","given":"Asha","non-dropping-particle":"","parse-names":false,"suffix":""},{"dropping-particle":"","family":"Kachule","given":"Timothy","non-dropping-particle":"","parse-names":false,"suffix":""},{"dropping-particle":"","family":"Kambale","given":"Susan","non-dropping-particle":"","parse-names":false,"suffix":""},{"dropping-particle":"","family":"Katsande","given":"Regis","non-dropping-particle":"","parse-names":false,"suffix":""},{"dropping-particle":"","family":"Nkhono","given":"Edwin","non-dropping-particle":"","parse-names":false,"suffix":""},{"dropping-particle":"","family":"Temani","given":"Newton","non-dropping-particle":"","parse-names":false,"suffix":""},{"dropping-particle":"","family":"Zamasiya","given":"Texas","non-dropping-particle":"","parse-names":false,"suffix":""}],"container-title":"Health Policy and Planning","id":"ITEM-1","issue":"6","issued":{"date-parts":[["2013","9"]]},"page":"573-585","publisher":"Health Policy Plan","title":"Quality of sick child care delivered by Health Surveillance Assistants in Malawi","type":"article-journal","volume":"28"},"uris":["http://www.mendeley.com/documents/?uuid=084a5e4b-7e04-37e0-aeed-6784d23305bf"]},{"id":"ITEM-2","itemData":{"DOI":"10.1186/s12889-015-2525-4","ISSN":"14712458","PMID":"26608029","abstract":"Background: The integrated Community Case Management (iCCM) of childhood illnesses strategy has been adopted world over to reduce child related ill health and mortality. Community Health workers (CHWs) who implement this strategy need a regular supply of drugs to effectively treat children under 5 years with malaria, pneumonia and diarrhea. In this paper, we report the prevalence and factors influencing availability of medicines for managing malaria, pneumonia and diarrhea in communities in central Uganda. Methods: A cross sectional study was conducted among 303 CHWs in Wakiso district in central Uganda. Eligible CHWs from two randomly selected Health Sub Districts (HSDs) were interviewed. Questionnaires, check lists, record reviews were used to collect information on CHW background characteristics, CHW's prescription behaviors, health system support factors and availability of iCCM drugs. Multivariable logistic regression analysis was done to assess factors associated with availability of iCCM drugs. Results: Out of 300 CHWs, 239 (79.9 %) were females and mean age was 42.1 (standard deviation =11.1 years). The prevalence of iCCM drug availability was 8.3 % and 33 respondents (11 %) had no drugs at all. Factors associated with iCCM drug availability were; being supervised within the last month (adjusted OR = 3.70, 95 % CI 1.22-11.24), appropriate drug prescriptions (adjusted OR = 3.71, 95 % CI 1.38-9.96), regular submission of drug reports (adjusted OR = 4.02, 95 % CI 1.62-10.10) and having a respiratory timer as a diagnostic tool (adjusted OR =3.11, 95 % CI 1.08-9.00). Conclusions: The low medicine stocks for the community management of childhood illnesses calls for strengthening of CHW supervision, medicine prescription and reporting, and increasing availability of functional diagnostic tools.","author":[{"dropping-particle":"","family":"Bagonza","given":"James","non-dropping-particle":"","parse-names":false,"suffix":""},{"dropping-particle":"","family":"Rutebemberwa","given":"Elizeus","non-dropping-particle":"","parse-names":false,"suffix":""},{"dropping-particle":"","family":"Eckmanns","given":"Tim","non-dropping-particle":"","parse-names":false,"suffix":""},{"dropping-particle":"","family":"Ekirapa-Kiracho","given":"Elizabeth","non-dropping-particle":"","parse-names":false,"suffix":""}],"container-title":"BMC Public Health","id":"ITEM-2","issue":"1","issued":{"date-parts":[["2015","11","25"]]},"page":"1180","publisher":"BioMed Central Ltd.","title":"What influences availability of medicines for the community management of childhood illnesses in central Uganda? Implications for scaling up the integrated community case management programme Health policies, systems and management in low and middle-income countries","type":"article-journal","volume":"15"},"uris":["http://www.mendeley.com/documents/?uuid=e4fd350c-8976-36c1-b521-7f6349bd5696"]}],"mendeley":{"formattedCitation":"(58,90)","plainTextFormattedCitation":"(58,90)","previouslyFormattedCitation":"(58,90)"},"properties":{"noteIndex":0},"schema":"https://github.com/citation-style-language/schema/raw/master/csl-citation.json"}</w:instrText>
            </w:r>
            <w:r w:rsidRPr="00DA7609">
              <w:rPr>
                <w:u w:color="000000"/>
              </w:rPr>
              <w:fldChar w:fldCharType="separate"/>
            </w:r>
            <w:r w:rsidRPr="00DA7609">
              <w:rPr>
                <w:noProof/>
                <w:u w:color="000000"/>
              </w:rPr>
              <w:t>(58,90)</w:t>
            </w:r>
            <w:r w:rsidRPr="00DA7609">
              <w:rPr>
                <w:u w:color="000000"/>
              </w:rPr>
              <w:fldChar w:fldCharType="end"/>
            </w:r>
          </w:p>
        </w:tc>
      </w:tr>
      <w:tr w:rsidR="00DA7609" w:rsidRPr="00DA7609" w14:paraId="5735F76B" w14:textId="77777777" w:rsidTr="00FE1ADC">
        <w:trPr>
          <w:cantSplit/>
          <w:trHeight w:val="1238"/>
        </w:trPr>
        <w:tc>
          <w:tcPr>
            <w:cnfStyle w:val="001000000000" w:firstRow="0" w:lastRow="0" w:firstColumn="1" w:lastColumn="0" w:oddVBand="0" w:evenVBand="0" w:oddHBand="0" w:evenHBand="0" w:firstRowFirstColumn="0" w:firstRowLastColumn="0" w:lastRowFirstColumn="0" w:lastRowLastColumn="0"/>
            <w:tcW w:w="3369" w:type="dxa"/>
          </w:tcPr>
          <w:p w14:paraId="52018BB9" w14:textId="77777777" w:rsidR="00DA7609" w:rsidRPr="00DA7609" w:rsidRDefault="00DA7609" w:rsidP="00DA7609">
            <w:pPr>
              <w:spacing w:before="60" w:after="60"/>
              <w:ind w:hanging="2"/>
              <w:rPr>
                <w:noProof/>
                <w:u w:val="single"/>
              </w:rPr>
            </w:pPr>
          </w:p>
        </w:tc>
        <w:tc>
          <w:tcPr>
            <w:tcW w:w="2143" w:type="dxa"/>
          </w:tcPr>
          <w:p w14:paraId="205A06CF"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b/>
                <w:bCs/>
                <w:noProof/>
              </w:rPr>
            </w:pPr>
          </w:p>
        </w:tc>
        <w:tc>
          <w:tcPr>
            <w:tcW w:w="2834" w:type="dxa"/>
          </w:tcPr>
          <w:p w14:paraId="38C3FB6E" w14:textId="77777777" w:rsidR="00DA7609" w:rsidRPr="00DA7609" w:rsidRDefault="00DA7609" w:rsidP="00DA7609">
            <w:pPr>
              <w:spacing w:before="60" w:after="60"/>
              <w:ind w:hanging="2"/>
              <w:cnfStyle w:val="000000000000" w:firstRow="0" w:lastRow="0" w:firstColumn="0" w:lastColumn="0" w:oddVBand="0" w:evenVBand="0" w:oddHBand="0" w:evenHBand="0" w:firstRowFirstColumn="0" w:firstRowLastColumn="0" w:lastRowFirstColumn="0" w:lastRowLastColumn="0"/>
              <w:rPr>
                <w:i/>
                <w:iCs/>
                <w:u w:color="000000"/>
              </w:rPr>
            </w:pPr>
            <w:r w:rsidRPr="00DA7609">
              <w:rPr>
                <w:i/>
                <w:iCs/>
                <w:u w:color="000000"/>
              </w:rPr>
              <w:t>Dissatisfaction and poor perception of CHWs and program, and low utilization of services</w:t>
            </w:r>
          </w:p>
        </w:tc>
        <w:tc>
          <w:tcPr>
            <w:tcW w:w="3514" w:type="dxa"/>
          </w:tcPr>
          <w:p w14:paraId="519188B2" w14:textId="77777777" w:rsidR="00DA7609" w:rsidRPr="00DA7609" w:rsidRDefault="00DA7609" w:rsidP="00DA7609">
            <w:pPr>
              <w:spacing w:line="276" w:lineRule="auto"/>
              <w:ind w:hanging="2"/>
              <w:jc w:val="both"/>
              <w:cnfStyle w:val="000000000000" w:firstRow="0" w:lastRow="0" w:firstColumn="0" w:lastColumn="0" w:oddVBand="0" w:evenVBand="0" w:oddHBand="0" w:evenHBand="0" w:firstRowFirstColumn="0" w:firstRowLastColumn="0" w:lastRowFirstColumn="0" w:lastRowLastColumn="0"/>
              <w:rPr>
                <w:u w:color="000000"/>
              </w:rPr>
            </w:pPr>
            <w:r w:rsidRPr="00DA7609">
              <w:rPr>
                <w:u w:color="000000"/>
              </w:rPr>
              <w:fldChar w:fldCharType="begin" w:fldLock="1"/>
            </w:r>
            <w:r w:rsidRPr="00DA7609">
              <w:rPr>
                <w:u w:color="000000"/>
              </w:rPr>
              <w:instrText>ADDIN CSL_CITATION {"citationItems":[{"id":"ITEM-1","itemData":{"DOI":"10.1186/1472-6963-14-340","abstract":"Background: In Ghana, between 1,400 and 3,900 women and girls die annually due to pregnancy related complications and an estimated two-thirds of these deaths occur in late pregnancy through to 48 hours after delivery. The Ghana Health Service piloted a strategy that involved training Community Health Officers (CHOs) as midwives to address the gap in skilled attendance in rural Upper East Region (UER). CHO-midwives collaborated with community members to provide skilled delivery services in rural areas. This paper presents findings from a study designed to assess the extent to which community residents and leaders participated in the skilled delivery program and the specific roles they played in its implementation and effectiveness. Methods: We employed an intrinsic case study design with a qualitative methodology. We conducted 29 in-depth interviews with health professionals and community stakeholders. We used a random sampling technique to select the CHO-midwives in three Community-based Health Planning and Services (CHPS) zones for the interviews and a purposive sampling technique to identify and interview District Directors of Health Services from the three districts, the Regional Coordinator of the CHPS program and community stakeholders. Results: Community members play a significant role in promoting skilled delivery care in CHPS zones in Ghana. We found that community health volunteers and traditional birth attendants (TBAs) helped to provide health education on skilled delivery care, and they also referred or accompanied their clients for skilled attendants at birth. The political authorities, traditional leaders, and community members provide resources to promote the skilled delivery program. Both volunteers and TBAs are given financial and non-financial incentives for referring their clients for skilled delivery. However, inadequate transportation, infrequent supply of drugs, attitude of nurses remains as challenges, hindering women accessing maternity services in rural areas. Conclusions: Mutual collaboration and engagement is possible between health professionals and community members for the skilled delivery program. Community leaders, traditional and political leaders, volunteers, and TBAs have all been instrumental to the success of the CHPS program in the UER, each in their unique way. However, there are problems confronting the program and we have provided recommendations to address these challenges.","author":[{"dropping-particle":"","family":"Sakeah","given":"E","non-dropping-particle":"","parse-names":false,"suffix":""},{"dropping-particle":"","family":"McCloskey","given":"L","non-dropping-particle":"","parse-names":false,"suffix":""},{"dropping-particle":"","family":"Bernstein","given":"J","non-dropping-particle":"","parse-names":false,"suffix":""},{"dropping-particle":"","family":"Yeboah-Antwi","given":"K","non-dropping-particle":"","parse-names":false,"suffix":""},{"dropping-particle":"","family":"Mills","given":"S","non-dropping-particle":"","parse-names":false,"suffix":""},{"dropping-particle":"V","family":"Doctor","given":"H","non-dropping-particle":"","parse-names":false,"suffix":""}],"container-title":"BMC Health Services Research","id":"ITEM-1","issued":{"date-parts":[["2014"]]},"note":"Sakeah, Evelyn McCloskey, Lois Bernstein, Judith Yeboah-Antwi, Kojo Mills, Samuel Doctor, Henry V.\nYeboah-Antwi, Kojo/AAI-8519-2020; Amboko, Rashidi/D-9046-2015; Doctor, Henry/U-3095-2019\nDoctor, Henry/0000-0003-0378-1415; Yeboah-Antwi, Kojo/0000-0002-3516-9266\n1472-6963","title":"Is there any role for community involvement in the community-based health planning and services skilled delivery program in rural Ghana?","type":"article-journal","volume":"14"},"uris":["http://www.mendeley.com/documents/?uuid=13a840cd-6ddb-4531-8b67-d3cd07791a4d"]},{"id":"ITEM-2","itemData":{"author":[{"dropping-particle":"","family":"Global Fund","given":"","non-dropping-particle":"","parse-names":false,"suffix":""},{"dropping-particle":"","family":"WHO","given":"","non-dropping-particle":"","parse-names":false,"suffix":""},{"dropping-particle":"","family":"UNICEF","given":"","non-dropping-particle":"","parse-names":false,"suffix":""}],"id":"ITEM-2","issued":{"date-parts":[["2018"]]},"title":"Integrated Community Case Management (iCCM) in Sub-Saharan Africa: Successes &amp; Challenges with Access, Speed &amp; Quality Thematic review report","type":"report"},"uris":["http://www.mendeley.com/documents/?uuid=cdd8cc09-fda0-3226-b6c3-baca7bae910b"]},{"id":"ITEM-3","itemData":{"author":[{"dropping-particle":"","family":"Strachan","given":"C","non-dropping-particle":"","parse-names":false,"suffix":""},{"dropping-particle":"","family":"Wharton-Smith","given":"A","non-dropping-particle":"","parse-names":false,"suffix":""},{"dropping-particle":"","family":"Sinyangwe","given":"C","non-dropping-particle":"","parse-names":false,"suffix":""},{"dropping-particle":"","family":"Mubiru","given":"D","non-dropping-particle":"","parse-names":false,"suffix":""},{"dropping-particle":"","family":"Ssekitooleko","given":"J","non-dropping-particle":"","parse-names":false,"suffix":""},{"dropping-particle":"","family":"Meier","given":"J","non-dropping-particle":"","parse-names":false,"suffix":""},{"dropping-particle":"","family":"Gbanya","given":"M","non-dropping-particle":"","parse-names":false,"suffix":""},{"dropping-particle":"","family":"Tibenderana","given":"J K","non-dropping-particle":"","parse-names":false,"suffix":""},{"dropping-particle":"","family":"Counihan","given":"H","non-dropping-particle":"","parse-names":false,"suffix":""}],"container-title":"Journal of Global Health","id":"ITEM-3","issue":"2","issued":{"date-parts":[["2014"]]},"note":"Using Smart Source Parsing\n020404. 19 ref","title":"Integrated community case management of malaria, pneumonia and diarrhoea across three African countries: a qualitative study exploring lessons learnt and implications for further scale up. (Themed Issue: Current scientific evidence for integrated communit","type":"article-journal","volume":"4"},"uris":["http://www.mendeley.com/documents/?uuid=403cfebb-623e-4cf9-95dc-ddf76714c7f3"]},{"id":"ITEM-4","itemData":{"DOI":"10.4269/ajtmh.15-0585","ISSN":"00029637","PMID":"26787147","abstract":"We conducted a prospective evaluation of the \"Rapid Scale-Up\" (RSU) program in Burkina Faso, focusing on the integrated community case management (iCCM) component of the program. We used a quasi-experimental design in which nine RSU districts were compared with seven districts without the program. The evaluation included documentation of program implementation, assessments of implementation and quality of care, baseline and endline coverage surveys, and estimation of mortality changes using the Lives Saved Tool. Although the program trained large numbers of community health workers, there were implementation shortcomings related to training, supervision, and drug stockouts. The quality of care provided to sick children was poor, and utilization of community health workers was low. Changes in intervention coverage were comparable in RSU and comparison areas. Estimated under-five mortality declined by 6.2% (from 110 to 103 deaths per 1,000 live births) in the RSU area and 4.2% (from 114 to 109 per 1,000 live births) in the comparison area. The RSU did not result in coverage increases or mortality reductions in Burkina Faso, but we cannot draw conclusions about the effectiveness of the iCCM strategy, given implementation shortcomings. The evaluation results highlight the need for greater attention to implementation of iCCM programs.","author":[{"dropping-particle":"","family":"Munos","given":"Melinda","non-dropping-particle":"","parse-names":false,"suffix":""},{"dropping-particle":"","family":"Guiella","given":"Georges","non-dropping-particle":"","parse-names":false,"suffix":""},{"dropping-particle":"","family":"Roberton","given":"Timothy","non-dropping-particle":"","parse-names":false,"suffix":""},{"dropping-particle":"","family":"Maïga","given":"Abdoulaye","non-dropping-particle":"","parse-names":false,"suffix":""},{"dropping-particle":"","family":"Tiendrebeogo","given":"Adama","non-dropping-particle":"","parse-names":false,"suffix":""},{"dropping-particle":"","family":"Tam","given":"Yvonne","non-dropping-particle":"","parse-names":false,"suffix":""},{"dropping-particle":"","family":"Bryce","given":"Jennifer","non-dropping-particle":"","parse-names":false,"suffix":""},{"dropping-particle":"","family":"Baya","given":"Banza","non-dropping-particle":"","parse-names":false,"suffix":""}],"container-title":"American Journal of Tropical Medicine and Hygiene","id":"ITEM-4","issue":"3","issued":{"date-parts":[["2016","3","1"]]},"page":"584-595","publisher":"American Society of Tropical Medicine and Hygiene","title":"Independent evaluation of the rapid scale-up program to reduce under-five mortality in Burkina Faso","type":"article-journal","volume":"94"},"uris":["http://www.mendeley.com/documents/?uuid=50cbc1cc-ab23-3f8b-a1d4-710f70f05e22"]},{"id":"ITEM-5","itemData":{"author":[{"dropping-particle":"","family":"World Health Organization","given":"","non-dropping-particle":"","parse-names":false,"suffix":""}],"container-title":"WHO Evaluation Office,","id":"ITEM-5","issue":"May","issued":{"date-parts":[["2018"]]},"number-of-pages":"1- 157","title":"Summative evaluation of the WHO Rapid Access Expansion Initiative Volume 3 : Country Briefs","type":"report","volume":"3"},"uris":["http://www.mendeley.com/documents/?uuid=4bf4f451-b078-38e8-b60a-69b39e08b04e"]},{"id":"ITEM-6","itemData":{"DOI":"10.1186/s12978-020-0906-3","ISSN":"17424755","PMID":"32312279","abstract":"Background: Contraceptive services are essential for promoting people's health, and economic and social well-being. Despite increased contraceptive use over the past decades, unmet need is still high in Malawi. As a result of task shifting, health surveillance assistants (HSAs), Malawi's paid community health worker cadre, provide an expanded range of contraceptive services, aimed at increasing access at community level. We conducted a qualitative study to explore enabling and hindering factors of HSAs' roles in the provision of modern contraceptive services in Mangochi district, Malawi. Methods: The study involved HSAs and their supervisors, a variety of community members, health workers and policy makers using 34 interviews and 12 focus group discussions. Data were recorded, transcribed, translated, coded and thematically analysed according to a framework that included community-, HSA- and health system-related factors. Results: HSAs were found to be trusted providers of contraceptive services. At community level, gender norms, decision-making and beliefs about contraceptives were intertwined. They resulted in women using contraceptive services, including those offered by HSAs, in secret. There were misconceptions about contraceptives among both men and women, which were insufficiently addressed by HSAs. Residence and age of HSAs influenced their role in the provision of contraceptive services to (young) community members, whereas sex was not regarded as an enabling or hindering factor. While most community members reported to be satisfied with the quality of HSAs' services, quality was compromised by a lack of contraceptive supplies and other resources, and limited supportive supervision and training. Conclusions: HSAs in Mangochi are important contraceptive service providers. Their ability to ensure male involvement, increase access to services for youth and address misconceptions about contraceptives needs improvement. This requires a thorough understanding of socio-cultural norms and improved behavioural change communication competencies, which need to be incorporated in future training under Malawi's Community Health Strategy.","author":[{"dropping-particle":"","family":"Kok","given":"Maryse","non-dropping-particle":"","parse-names":false,"suffix":""},{"dropping-particle":"","family":"Tolani","given":"Madalitso","non-dropping-particle":"","parse-names":false,"suffix":""},{"dropping-particle":"","family":"Mtonga","given":"Wongani","non-dropping-particle":"","parse-names":false,"suffix":""},{"dropping-particle":"","family":"Salamba","given":"Thom","non-dropping-particle":"","parse-names":false,"suffix":""},{"dropping-particle":"","family":"Mwabungulu","given":"Twambilire","non-dropping-particle":"","parse-names":false,"suffix":""},{"dropping-particle":"","family":"Munthali","given":"Arnold","non-dropping-particle":"","parse-names":false,"suffix":""},{"dropping-particle":"","family":"Smet","given":"Eefje","non-dropping-particle":"","parse-names":false,"suffix":""},{"dropping-particle":"","family":"Chinsakaso","given":"Benedict","non-dropping-particle":"","parse-names":false,"suffix":""}],"container-title":"Reproductive Health","id":"ITEM-6","issue":"1","issued":{"date-parts":[["2020"]]},"page":"1-13","publisher":"Reproductive Health","title":"Enabling and hindering factors of health surveillance assistants' roles in the provision of contraceptive services in Mangochi, Malawi","type":"article-journal","volume":"17"},"uris":["http://www.mendeley.com/documents/?uuid=4278590e-84ad-4816-9553-22da486d25cc"]},{"id":"ITEM-7","itemData":{"author":[{"dropping-particle":"","family":"Miller","given":"N P","non-dropping-particle":"","parse-names":false,"suffix":""},{"dropping-particle":"","family":"Zunong","given":"N","non-dropping-particle":"","parse-names":false,"suffix":""},{"dropping-particle":"","family":"Al-Sorouri","given":"T A A","non-dropping-particle":"","parse-names":false,"suffix":""},{"dropping-particle":"","family":"Alqadasi","given":"Y M","non-dropping-particle":"","parse-names":false,"suffix":""},{"dropping-particle":"","family":"Ashraf","given":"S","non-dropping-particle":"","parse-names":false,"suffix":""},{"dropping-particle":"","family":"Siameja","given":"C","non-dropping-particle":"","parse-names":false,"suffix":""}],"container-title":"Journal of Global Health","id":"ITEM-7","issue":"2","issued":{"date-parts":[["2020"]]},"note":"Using Smart Source Parsing\n24 ref","title":"Implementing integrated community case management during conflict in Yemen. (Research Theme: Community health in emergencies.)","type":"article-journal","volume":"10"},"uris":["http://www.mendeley.com/documents/?uuid=43c222ef-9049-43aa-a753-2d4b57b7c828"]},{"id":"ITEM-8","itemData":{"DOI":"10.4269/ajtmh.14-0094","ISBN":"0002-9637 (Print)\r0002-9637","PMID":"24957538","abstract":"A systematic literature review was conducted to assess the effectiveness of strategies to improve community case management (CCM) of malaria. Forty-three studies were included; most (38) reported indicators of community health worker (CHW) performance, 14 reported on malaria CCM integrated with other child health interventions, 16 reported on health system capacity, and 13 reported on referral. The CHWs are able to provide good quality malaria care, including performing procedures such as rapid diagnostic tests. Appropriate training, clear guidelines, and regular supportive supervision are important facilitating factors. Crucial to sustainable success of CHW programs is strengthening health system capacity to support commodity supply, supervision, and appropriate treatment of referred cases. The little evidence available on referral from community to health facility level suggests that this is an area that needs priority attention. The studies of integrated CCM suggest that additional tasks do not reduce the quality of malaria CCM provided sufficient training and supervision is maintained.","author":[{"dropping-particle":"","family":"Smith Paintain","given":"L","non-dropping-particle":"","parse-names":false,"suffix":""},{"dropping-particle":"","family":"Willey","given":"B","non-dropping-particle":"","parse-names":false,"suffix":""},{"dropping-particle":"","family":"Kedenge","given":"S","non-dropping-particle":"","parse-names":false,"suffix":""},{"dropping-particle":"","family":"Sharkey","given":"A","non-dropping-particle":"","parse-names":false,"suffix":""},{"dropping-particle":"","family":"Kim","given":"J","non-dropping-particle":"","parse-names":false,"suffix":""},{"dropping-particle":"","family":"Buj","given":"V","non-dropping-particle":"","parse-names":false,"suffix":""},{"dropping-particle":"","family":"Webster","given":"J","non-dropping-particle":"","parse-names":false,"suffix":""},{"dropping-particle":"","family":"Schellenberg","given":"D","non-dropping-particle":"","parse-names":false,"suffix":""},{"dropping-particle":"","family":"Ngongo","given":"N","non-dropping-particle":"","parse-names":false,"suffix":""}],"container-title":"Am J Trop Med Hyg","edition":"2014/06/25","id":"ITEM-8","issue":"3","issued":{"date-parts":[["2014"]]},"language":"eng","note":"1476-1645\nSmith Paintain, Lucy\nWilley, Barbara\nKedenge, Sarah\nSharkey, Alyssa\nKim, Julia\nBuj, Valentina\nWebster, Jayne\nSchellenberg, David\nNgongo, Ngashi\nMR/K012126/1/Medical Research Council/United Kingdom\nJournal Article\nResearch Support, Non-U.S. Gov't\nReview\nSystematic Review\nAm J Trop Med Hyg. 2014 Sep;91(3):461-470. doi: 10.4269/ajtmh.14-0094. Epub 2014 Jun 23.","page":"461-470","title":"Community health workers and stand-alone or integrated case management of malaria: a systematic literature review","type":"article-journal","volume":"91"},"uris":["http://www.mendeley.com/documents/?uuid=49074e2f-e05f-4d5f-ac92-5d85da4f9462"]},{"id":"ITEM-9","itemData":{"DOI":"10.15212/fmch.2016.0102","ISBN":"2305-6983","abstract":"Background: Developing countries have the potential to reach vulnerable and underserved populations marginalized by the country's health care systems by way of community health workers (CHWs). It is imperative that health care systems focus on improving access to quality continuous primary care through the use of CHWs while paying attention to the factors that impact on CHWs and their effectiveness. Objective: To explore the possible opportunities and challenges of integrating CHWs into the health care systems of developing countries. Methods: Six databases were examined for quantitative, qualitative, and mixed-methods studies that included the integration of CHWs, their motivation and supervision, and CHW policy making and implementation in developing countries. Thirty-three studies met the inclusion criteria and were double read to extract data relevant to the context of CHW programs. Thematic coding was conducted and evidence on the main categories of contextual factors influencing integration of CHWs into the health system was synthesized. Results: CHWs are an effective and appropriate element of a health care team and can assist in addressing health disparities and social determinants of health. Important facilitators of integration of CHWs into health care teams are support from other health workers and inclusion of CHWs in case management meetings. Sustainable integration of CHWs into the health care system requires the formulation and implementation of polices that support their work, as well as financial and nonfinancial incentives, motivation, collaborative and supportive supervision, and a manageable workload. Conclusions: For sustainable integration of CHWs into health care systems, high-performing health systems with sound governance, adequate financing, well-organized service delivery, and adequate supplies and equipment are essential. Similarly, competent communities could contribute to better CHW performance through sound governance of community resources, promotion of inclusiveness and cohesion, engagement in participatory decision making, and mobilization of local resources for community welfare.","author":[{"dropping-particle":"","family":"Asweto","given":"C O","non-dropping-particle":"","parse-names":false,"suffix":""},{"dropping-particle":"","family":"Alzain","given":"M A","non-dropping-particle":"","parse-names":false,"suffix":""},{"dropping-particle":"","family":"Andrea","given":"S","non-dropping-particle":"","parse-names":false,"suffix":""},{"dropping-particle":"","family":"Alexander","given":"R","non-dropping-particle":"","parse-names":false,"suffix":""},{"dropping-particle":"","family":"Wang","given":"W","non-dropping-particle":"","parse-names":false,"suffix":""}],"container-title":"Family Medicine and Community Health","id":"ITEM-9","issue":"1","issued":{"date-parts":[["2016"]]},"note":"Asweto, Collins Otieno Alzain, Mohamed Ali Andrea, Sebastian Alexander, Rachel Wang, Wei\nAlzain, Mohamed Ali/AAF-5957-2019\nAlzain, Mohamed Ali/0000-0002-0085-5805\n2009-8774","page":"37-45","title":"Integration of community health workers into health systems in developing countries: Opportunities and challenges","type":"article-journal","volume":"4"},"uris":["http://www.mendeley.com/documents/?uuid=47e2f20a-0a86-4df1-8e09-459a30556bd9"]}],"mendeley":{"formattedCitation":"(28,29,39,46,50,61,75,78,87)","plainTextFormattedCitation":"(28,29,39,46,50,61,75,78,87)","previouslyFormattedCitation":"(28,29,39,46,50,61,75,78,87)"},"properties":{"noteIndex":0},"schema":"https://github.com/citation-style-language/schema/raw/master/csl-citation.json"}</w:instrText>
            </w:r>
            <w:r w:rsidRPr="00DA7609">
              <w:rPr>
                <w:u w:color="000000"/>
              </w:rPr>
              <w:fldChar w:fldCharType="separate"/>
            </w:r>
            <w:r w:rsidRPr="00DA7609">
              <w:rPr>
                <w:noProof/>
                <w:u w:color="000000"/>
              </w:rPr>
              <w:t>(28,29,39,46,50,61,75,78,87)</w:t>
            </w:r>
            <w:r w:rsidRPr="00DA7609">
              <w:rPr>
                <w:u w:color="000000"/>
              </w:rPr>
              <w:fldChar w:fldCharType="end"/>
            </w:r>
            <w:r w:rsidRPr="00DA7609">
              <w:rPr>
                <w:u w:color="000000"/>
              </w:rPr>
              <w:fldChar w:fldCharType="begin" w:fldLock="1"/>
            </w:r>
            <w:r w:rsidRPr="00DA7609">
              <w:rPr>
                <w:u w:color="000000"/>
              </w:rPr>
              <w:instrText>ADDIN CSL_CITATION {"citationItems":[{"id":"ITEM-1","itemData":{"author":[{"dropping-particle":"","family":"Village Reach","given":"","non-dropping-particle":"","parse-names":false,"suffix":""}],"id":"ITEM-1","issued":{"date-parts":[["2016"]]},"number-of-pages":"1-11","title":"Outsourcing Transport to Improve Health at the Last Mile : A Case Study The Long Road to Health","type":"report"},"uris":["http://www.mendeley.com/documents/?uuid=3870ba4f-09ab-4296-83a3-2cc02fb13f53"]}],"mendeley":{"formattedCitation":"(54)","plainTextFormattedCitation":"(54)","previouslyFormattedCitation":"(54)"},"properties":{"noteIndex":0},"schema":"https://github.com/citation-style-language/schema/raw/master/csl-citation.json"}</w:instrText>
            </w:r>
            <w:r w:rsidRPr="00DA7609">
              <w:rPr>
                <w:u w:color="000000"/>
              </w:rPr>
              <w:fldChar w:fldCharType="separate"/>
            </w:r>
            <w:r w:rsidRPr="00DA7609">
              <w:rPr>
                <w:noProof/>
                <w:u w:color="000000"/>
              </w:rPr>
              <w:t>(54)</w:t>
            </w:r>
            <w:r w:rsidRPr="00DA7609">
              <w:rPr>
                <w:u w:color="000000"/>
              </w:rPr>
              <w:fldChar w:fldCharType="end"/>
            </w:r>
          </w:p>
        </w:tc>
      </w:tr>
      <w:tr w:rsidR="00DA7609" w:rsidRPr="00DA7609" w14:paraId="39A7984C" w14:textId="77777777" w:rsidTr="00FE1ADC">
        <w:trPr>
          <w:cnfStyle w:val="000000100000" w:firstRow="0" w:lastRow="0" w:firstColumn="0" w:lastColumn="0" w:oddVBand="0" w:evenVBand="0" w:oddHBand="1" w:evenHBand="0" w:firstRowFirstColumn="0" w:firstRowLastColumn="0" w:lastRowFirstColumn="0" w:lastRowLastColumn="0"/>
          <w:cantSplit/>
          <w:trHeight w:val="665"/>
        </w:trPr>
        <w:tc>
          <w:tcPr>
            <w:cnfStyle w:val="001000000000" w:firstRow="0" w:lastRow="0" w:firstColumn="1" w:lastColumn="0" w:oddVBand="0" w:evenVBand="0" w:oddHBand="0" w:evenHBand="0" w:firstRowFirstColumn="0" w:firstRowLastColumn="0" w:lastRowFirstColumn="0" w:lastRowLastColumn="0"/>
            <w:tcW w:w="3369" w:type="dxa"/>
          </w:tcPr>
          <w:p w14:paraId="4C61AD25" w14:textId="77777777" w:rsidR="00DA7609" w:rsidRPr="00DA7609" w:rsidRDefault="00DA7609" w:rsidP="00DA7609">
            <w:pPr>
              <w:spacing w:before="60" w:after="60"/>
              <w:ind w:hanging="2"/>
              <w:rPr>
                <w:noProof/>
                <w:u w:val="single"/>
              </w:rPr>
            </w:pPr>
          </w:p>
        </w:tc>
        <w:tc>
          <w:tcPr>
            <w:tcW w:w="2143" w:type="dxa"/>
          </w:tcPr>
          <w:p w14:paraId="5A3C4626"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noProof/>
              </w:rPr>
            </w:pPr>
          </w:p>
        </w:tc>
        <w:tc>
          <w:tcPr>
            <w:tcW w:w="2834" w:type="dxa"/>
          </w:tcPr>
          <w:p w14:paraId="555BF43F"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i/>
                <w:iCs/>
                <w:noProof/>
              </w:rPr>
            </w:pPr>
            <w:r w:rsidRPr="00DA7609">
              <w:rPr>
                <w:i/>
                <w:iCs/>
                <w:noProof/>
              </w:rPr>
              <w:t>Use of alternate vendors including herbalists</w:t>
            </w:r>
          </w:p>
        </w:tc>
        <w:tc>
          <w:tcPr>
            <w:tcW w:w="3514" w:type="dxa"/>
          </w:tcPr>
          <w:p w14:paraId="43B609ED" w14:textId="77777777" w:rsidR="00DA7609" w:rsidRPr="00DA7609" w:rsidRDefault="00DA7609" w:rsidP="00DA7609">
            <w:pPr>
              <w:spacing w:before="60" w:after="60"/>
              <w:ind w:hanging="2"/>
              <w:cnfStyle w:val="000000100000" w:firstRow="0" w:lastRow="0" w:firstColumn="0" w:lastColumn="0" w:oddVBand="0" w:evenVBand="0" w:oddHBand="1" w:evenHBand="0" w:firstRowFirstColumn="0" w:firstRowLastColumn="0" w:lastRowFirstColumn="0" w:lastRowLastColumn="0"/>
              <w:rPr>
                <w:u w:color="000000"/>
              </w:rPr>
            </w:pPr>
            <w:r w:rsidRPr="00DA7609">
              <w:fldChar w:fldCharType="begin" w:fldLock="1"/>
            </w:r>
            <w:r w:rsidRPr="00DA7609">
              <w:instrText>ADDIN CSL_CITATION {"citationItems":[{"id":"ITEM-1","itemData":{"DOI":"10.1186/1475-2875-8-131","ISBN":"1475-2875","abstract":"Background: Community distribution of anti-malarials and antibiotics has been recommended as a strategy to reduce the under-five mortality due to febrile illnesses in sub-Saharan Africa. However, drugs distributed in these interventions have been considered weak by some caretakers and utilization of community medicine distributors has been low. The aim of the study was to explore caretakers' use of drugs, perceptions of drug efficacy and preferred providers for febrile children in order to make suggestions for community management of pneumonia and malaria. Methods: The study was conducted in eastern Uganda using four focus group discussions with fathers and mothers of children under five; and eight key informant interviews with health workers in government and non-governmental organization facilities, community medicine distributors, and attendants in drug shops and private clinics. Caretakers were asked the drugs they use for treatment of fever, why they considered them efficacious, and the providers they go to and why they go there. Health providers were interviewed on their opinions of caretakers' perceptions of drugs and providers. Analysis was done using content analysis. Results: Drugs that have been phased out as first-line treatment for malaria, such as chloroquine and sulphadoxine/pyrimethamine, are still perceived as efficacious. Use of drugs depended on perception of the disease, cost and drug availability. There were divergent views about drug efficacy concerning drug combinations, side effects, packaging, or using drugs over time. Bitter taste and high cost signified high efficacy for anti-malarials. Government facilities were preferred for conducting diagnostic investigations and attending to serious illnesses, but often lacked drugs and did not treat people fast. Drug shops were preferred for having a variety of drugs, attending to clients promptly and offering treatment on credit. However, drug shops were considered disadvantageous since they lacked diagnostic capability and had unqualified providers. Conclusion: Community views about drug efficacy are divergent and some may divert caretakers from obtaining efficacious drugs for febrile illness. Interventions should address these perceptions, equip community medicine distributors with capacity to do diagnostic investigations and provide a constant supply of drugs. Subsidized efficacious drugs could be made available in the private sector.","author":[{"dropping-particle":"","family":"Rutebemberwa","given":"E","non-dropping-particle":"","parse-names":false,"suffix":""},{"dropping-particle":"","family":"Nsabagasani","given":"X","non-dropping-particle":"","parse-names":false,"suffix":""},{"dropping-particle":"","family":"Pariyo","given":"G","non-dropping-particle":"","parse-names":false,"suffix":""},{"dropping-particle":"","family":"Tomson","given":"G","non-dropping-particle":"","parse-names":false,"suffix":""},{"dropping-particle":"","family":"Peterson","given":"S","non-dropping-particle":"","parse-names":false,"suffix":""},{"dropping-particle":"","family":"Kallander","given":"K","non-dropping-particle":"","parse-names":false,"suffix":""}],"container-title":"Malaria Journal","id":"ITEM-1","issued":{"date-parts":[["2009"]]},"note":"Rutebemberwa, Elizeus Nsabagasani, Xavier Pariyo, George Tomson, Goran Peterson, Stefan Kallander, Karin\nPariyo, George W/K-2335-2017\nPariyo, George W/0000-0002-4411-2309; Tomson, Goran/0000-0001-9222-3604; Peterson, Stefan/0000-0001-7203-3096; Kallander, Karin/0000-0002-5778-5780; Rutebemberwa, Elizeus/0000-0001-8363-7928","title":"Use of drugs, perceived drug efficacy and preferred providers for febrile children: implications for home management of fever","type":"article-journal","volume":"8"},"uris":["http://www.mendeley.com/documents/?uuid=172f62a1-a11b-4d89-8664-9498e8f17afe"]},{"id":"ITEM-2","itemData":{"DOI":"10.1186/1471-2458-11-272","ISBN":"1471-2458","PMID":"21539746","abstract":"BACKGROUND: Kenya, like many developing nations, continues to experience high childhood mortality in spite of the many efforts put in place by governments and international bodies to curb it. This study sought to investigate the barriers to accessing healthcare services for children aged less than five years in Butere District, a rural district experiencing high rates of mortality and morbidity despite having relatively better conditions for child survival. METHODS: Exit interviews were conducted among caregivers seeking healthcare for their children in mid 2007 in all the 6 public health facilities. Additionally, views from caregivers in the community, health workers and district health managers were sought through focus group discussions (FGDs) and key informant interviews (KIs). RESULTS: Three hundred and ninety-seven respondents were surveyed in exit interviews while 45 respondents participated in FGDs and KIs. Some practices by caregivers including early onset of child bearing, early supplementation, and utilization of traditional healers were thought to increase the risk of mortality and morbidity, although reported rates of mosquito net utilization and immunization coverage were high. The healthcare system posed barriers to access of healthcare for the under fives, through long waiting time, lack of drugs and poor services, incompetence and perceived poor attitudes of the health workers. FGDs also revealed wide-spread concerns and misconceptions about health care among the caregivers. CONCLUSION: Caregivers' actions were thought to influence children's progression to illness or health while the healthcare delivery system posed recurrent barriers to the accessing of healthcare for the under-fives. Actions on both fronts are necessary to reduce childhood mortality.","author":[{"dropping-particle":"","family":"Opwora","given":"A S","non-dropping-particle":"","parse-names":false,"suffix":""},{"dropping-particle":"","family":"Laving","given":"A M","non-dropping-particle":"","parse-names":false,"suffix":""},{"dropping-particle":"","family":"Nyabola","given":"L O","non-dropping-particle":"","parse-names":false,"suffix":""},{"dropping-particle":"","family":"Olenja","given":"J M","non-dropping-particle":"","parse-names":false,"suffix":""}],"container-title":"BMC Public Health","edition":"2011/05/05","id":"ITEM-2","issued":{"date-parts":[["2011"]]},"language":"eng","note":"1471-2458\nOpwora, Antony S\nLaving, Ahmed M R\nNyabola, Lambert O\nOlenja, Joyce M\n077092/Wellcome Trust/United Kingdom\nComparative Study\nJournal Article\nResearch Support, Non-U.S. Gov't\nBMC Public Health. 2011 May 3;11:272. doi: 10.1186/1471-2458-11-272.","page":"272","title":"Who is to blame? Perspectives of caregivers on barriers to accessing healthcare for the under-fives in Butere District, Western Kenya","type":"article-journal","volume":"11"},"uris":["http://www.mendeley.com/documents/?uuid=d8fcf783-3d3e-4665-ac26-555b12cf4d41"]}],"mendeley":{"formattedCitation":"(91,92)","plainTextFormattedCitation":"(91,92)","previouslyFormattedCitation":"(91,92)"},"properties":{"noteIndex":0},"schema":"https://github.com/citation-style-language/schema/raw/master/csl-citation.json"}</w:instrText>
            </w:r>
            <w:r w:rsidRPr="00DA7609">
              <w:fldChar w:fldCharType="separate"/>
            </w:r>
            <w:r w:rsidRPr="00DA7609">
              <w:rPr>
                <w:noProof/>
              </w:rPr>
              <w:t>(91,92)</w:t>
            </w:r>
            <w:r w:rsidRPr="00DA7609">
              <w:fldChar w:fldCharType="end"/>
            </w:r>
          </w:p>
        </w:tc>
      </w:tr>
      <w:bookmarkEnd w:id="52"/>
    </w:tbl>
    <w:p w14:paraId="10ECB842" w14:textId="06B28796" w:rsidR="003B0485" w:rsidRDefault="003B0485" w:rsidP="00D77B45">
      <w:pPr>
        <w:rPr>
          <w:b/>
          <w:bCs/>
        </w:rPr>
      </w:pPr>
    </w:p>
    <w:p w14:paraId="314C9F3E" w14:textId="73A4B626" w:rsidR="00D77B45" w:rsidRDefault="00D77B45" w:rsidP="00D77B45">
      <w:r>
        <w:rPr>
          <w:b/>
          <w:bCs/>
        </w:rPr>
        <w:br w:type="page"/>
      </w:r>
    </w:p>
    <w:p w14:paraId="357240D8" w14:textId="77777777" w:rsidR="00D77B45" w:rsidRDefault="00D77B45" w:rsidP="00D77B45">
      <w:pPr>
        <w:rPr>
          <w:rFonts w:ascii="Times New Roman" w:eastAsia="Arial Unicode MS" w:hAnsi="Times New Roman" w:cs="Arial Unicode MS"/>
          <w:i/>
          <w:iCs/>
          <w:color w:val="000000"/>
          <w:sz w:val="24"/>
          <w:szCs w:val="24"/>
          <w:u w:color="000000"/>
        </w:rPr>
      </w:pPr>
    </w:p>
    <w:p w14:paraId="3BD07E23" w14:textId="10F03E34" w:rsidR="00AA2DD6" w:rsidRDefault="00D77B45" w:rsidP="00D77B45">
      <w:pPr>
        <w:rPr>
          <w:rFonts w:ascii="Times New Roman" w:eastAsia="Arial Unicode MS" w:hAnsi="Times New Roman" w:cs="Arial Unicode MS"/>
          <w:color w:val="000000"/>
          <w:sz w:val="24"/>
          <w:szCs w:val="24"/>
          <w:u w:color="000000"/>
        </w:rPr>
      </w:pPr>
      <w:r>
        <w:rPr>
          <w:rFonts w:ascii="Times New Roman" w:eastAsia="Arial Unicode MS" w:hAnsi="Times New Roman" w:cs="Arial Unicode MS"/>
          <w:color w:val="000000"/>
          <w:sz w:val="24"/>
          <w:szCs w:val="24"/>
          <w:u w:color="000000"/>
        </w:rPr>
        <w:t>Appendix 4</w:t>
      </w:r>
    </w:p>
    <w:p w14:paraId="3D99E51A" w14:textId="7465F40F" w:rsidR="00D77B45" w:rsidRDefault="00AA2DD6" w:rsidP="00D77B45">
      <w:pPr>
        <w:rPr>
          <w:rFonts w:ascii="Times New Roman" w:eastAsia="Arial Unicode MS" w:hAnsi="Times New Roman" w:cs="Arial Unicode MS"/>
          <w:color w:val="000000"/>
          <w:sz w:val="24"/>
          <w:szCs w:val="24"/>
          <w:u w:color="000000"/>
        </w:rPr>
      </w:pPr>
      <w:r w:rsidRPr="00AA2DD6">
        <w:rPr>
          <w:rFonts w:ascii="Times New Roman" w:eastAsia="Arial Unicode MS" w:hAnsi="Times New Roman" w:cs="Arial Unicode MS"/>
          <w:color w:val="000000"/>
          <w:sz w:val="24"/>
          <w:szCs w:val="24"/>
          <w:u w:val="single" w:color="000000"/>
        </w:rPr>
        <w:t>Table 5</w:t>
      </w:r>
      <w:r w:rsidR="00D77B45">
        <w:rPr>
          <w:rFonts w:ascii="Times New Roman" w:eastAsia="Arial Unicode MS" w:hAnsi="Times New Roman" w:cs="Arial Unicode MS"/>
          <w:color w:val="000000"/>
          <w:sz w:val="24"/>
          <w:szCs w:val="24"/>
          <w:u w:color="000000"/>
        </w:rPr>
        <w:t xml:space="preserve">: </w:t>
      </w:r>
      <w:bookmarkStart w:id="53" w:name="_Hlk73986354"/>
      <w:r w:rsidR="00D77B45">
        <w:rPr>
          <w:rFonts w:ascii="Times New Roman" w:eastAsia="Arial Unicode MS" w:hAnsi="Times New Roman" w:cs="Arial Unicode MS"/>
          <w:color w:val="000000"/>
          <w:sz w:val="24"/>
          <w:szCs w:val="24"/>
          <w:u w:color="000000"/>
        </w:rPr>
        <w:t>Findings from studies predating 2006</w:t>
      </w:r>
      <w:bookmarkEnd w:id="53"/>
      <w:r w:rsidR="00D77B45">
        <w:rPr>
          <w:rFonts w:ascii="Times New Roman" w:eastAsia="Arial Unicode MS" w:hAnsi="Times New Roman" w:cs="Arial Unicode MS"/>
          <w:color w:val="000000"/>
          <w:sz w:val="24"/>
          <w:szCs w:val="24"/>
          <w:u w:color="000000"/>
        </w:rPr>
        <w:t>.</w:t>
      </w:r>
    </w:p>
    <w:tbl>
      <w:tblPr>
        <w:tblStyle w:val="TableGrid"/>
        <w:tblW w:w="0" w:type="auto"/>
        <w:tblLook w:val="04A0" w:firstRow="1" w:lastRow="0" w:firstColumn="1" w:lastColumn="0" w:noHBand="0" w:noVBand="1"/>
      </w:tblPr>
      <w:tblGrid>
        <w:gridCol w:w="2155"/>
        <w:gridCol w:w="10795"/>
      </w:tblGrid>
      <w:tr w:rsidR="00D77B45" w14:paraId="7F2A372D" w14:textId="77777777" w:rsidTr="004D1879">
        <w:tc>
          <w:tcPr>
            <w:tcW w:w="2155" w:type="dxa"/>
          </w:tcPr>
          <w:p w14:paraId="53F6DD1A" w14:textId="77777777" w:rsidR="00D77B45" w:rsidRPr="002D11CE" w:rsidRDefault="00D77B45" w:rsidP="004D1879">
            <w:pPr>
              <w:rPr>
                <w:rFonts w:ascii="Times New Roman" w:eastAsia="Arial Unicode MS" w:hAnsi="Times New Roman" w:cs="Arial Unicode MS"/>
                <w:b/>
                <w:bCs/>
                <w:color w:val="000000"/>
                <w:sz w:val="24"/>
                <w:szCs w:val="24"/>
                <w:u w:color="000000"/>
              </w:rPr>
            </w:pPr>
            <w:r w:rsidRPr="002D11CE">
              <w:rPr>
                <w:rFonts w:ascii="Times New Roman" w:eastAsia="Arial Unicode MS" w:hAnsi="Times New Roman" w:cs="Arial Unicode MS"/>
                <w:b/>
                <w:bCs/>
                <w:color w:val="000000"/>
                <w:sz w:val="24"/>
                <w:szCs w:val="24"/>
                <w:u w:color="000000"/>
              </w:rPr>
              <w:t>First author (year)</w:t>
            </w:r>
          </w:p>
        </w:tc>
        <w:tc>
          <w:tcPr>
            <w:tcW w:w="10795" w:type="dxa"/>
          </w:tcPr>
          <w:p w14:paraId="408D134D" w14:textId="77777777" w:rsidR="00D77B45" w:rsidRPr="002D11CE" w:rsidRDefault="00D77B45" w:rsidP="004D1879">
            <w:pPr>
              <w:rPr>
                <w:rFonts w:ascii="Times New Roman" w:eastAsia="Arial Unicode MS" w:hAnsi="Times New Roman" w:cs="Arial Unicode MS"/>
                <w:b/>
                <w:bCs/>
                <w:color w:val="000000"/>
                <w:sz w:val="24"/>
                <w:szCs w:val="24"/>
                <w:u w:color="000000"/>
              </w:rPr>
            </w:pPr>
            <w:r w:rsidRPr="002D11CE">
              <w:rPr>
                <w:rFonts w:ascii="Times New Roman" w:eastAsia="Arial Unicode MS" w:hAnsi="Times New Roman" w:cs="Arial Unicode MS"/>
                <w:b/>
                <w:bCs/>
                <w:color w:val="000000"/>
                <w:sz w:val="24"/>
                <w:szCs w:val="24"/>
                <w:u w:color="000000"/>
              </w:rPr>
              <w:t>Key findings</w:t>
            </w:r>
          </w:p>
        </w:tc>
      </w:tr>
      <w:tr w:rsidR="00D77B45" w14:paraId="65C91C89" w14:textId="77777777" w:rsidTr="004D1879">
        <w:tc>
          <w:tcPr>
            <w:tcW w:w="2155" w:type="dxa"/>
          </w:tcPr>
          <w:p w14:paraId="1193C11F" w14:textId="77777777" w:rsidR="00D77B45" w:rsidRDefault="00D77B45" w:rsidP="004D1879">
            <w:pPr>
              <w:rPr>
                <w:rFonts w:ascii="Times New Roman" w:eastAsia="Arial Unicode MS" w:hAnsi="Times New Roman" w:cs="Arial Unicode MS"/>
                <w:color w:val="000000"/>
                <w:sz w:val="24"/>
                <w:szCs w:val="24"/>
                <w:u w:color="000000"/>
              </w:rPr>
            </w:pPr>
            <w:r>
              <w:rPr>
                <w:rFonts w:ascii="Times New Roman" w:eastAsia="Arial Unicode MS" w:hAnsi="Times New Roman" w:cs="Arial Unicode MS"/>
                <w:color w:val="000000"/>
                <w:sz w:val="24"/>
                <w:szCs w:val="24"/>
                <w:u w:color="000000"/>
              </w:rPr>
              <w:t>Afari 1995</w:t>
            </w:r>
          </w:p>
        </w:tc>
        <w:tc>
          <w:tcPr>
            <w:tcW w:w="10795" w:type="dxa"/>
          </w:tcPr>
          <w:p w14:paraId="6C647AD5" w14:textId="77777777" w:rsidR="00D77B45" w:rsidRDefault="00D77B45" w:rsidP="004D1879">
            <w:pPr>
              <w:rPr>
                <w:rFonts w:ascii="Times New Roman" w:eastAsia="Arial Unicode MS" w:hAnsi="Times New Roman" w:cs="Arial Unicode MS"/>
                <w:color w:val="000000"/>
                <w:sz w:val="24"/>
                <w:szCs w:val="24"/>
                <w:u w:color="000000"/>
              </w:rPr>
            </w:pPr>
            <w:r>
              <w:rPr>
                <w:rFonts w:ascii="Times New Roman" w:eastAsia="Arial Unicode MS" w:hAnsi="Times New Roman" w:cs="Arial Unicode MS"/>
                <w:color w:val="000000"/>
                <w:sz w:val="24"/>
                <w:szCs w:val="24"/>
                <w:u w:val="single"/>
              </w:rPr>
              <w:t>Reason for stock out:</w:t>
            </w:r>
            <w:r>
              <w:rPr>
                <w:rFonts w:ascii="Times New Roman" w:eastAsia="Arial Unicode MS" w:hAnsi="Times New Roman" w:cs="Arial Unicode MS"/>
                <w:color w:val="000000"/>
                <w:sz w:val="24"/>
                <w:szCs w:val="24"/>
                <w:u w:color="000000"/>
              </w:rPr>
              <w:t xml:space="preserve"> CHWs were inadequately supervised on c</w:t>
            </w:r>
            <w:r w:rsidRPr="00865F12">
              <w:rPr>
                <w:rFonts w:ascii="Times New Roman" w:eastAsia="Arial Unicode MS" w:hAnsi="Times New Roman" w:cs="Arial Unicode MS"/>
                <w:color w:val="000000"/>
                <w:sz w:val="24"/>
                <w:szCs w:val="24"/>
              </w:rPr>
              <w:t>ommunity-level stock quantification and requisition</w:t>
            </w:r>
            <w:r>
              <w:rPr>
                <w:rFonts w:ascii="Times New Roman" w:eastAsia="Arial Unicode MS" w:hAnsi="Times New Roman" w:cs="Arial Unicode MS"/>
                <w:color w:val="000000"/>
                <w:sz w:val="24"/>
                <w:szCs w:val="24"/>
              </w:rPr>
              <w:t xml:space="preserve">. </w:t>
            </w:r>
          </w:p>
        </w:tc>
      </w:tr>
      <w:tr w:rsidR="00D77B45" w14:paraId="771D8205" w14:textId="77777777" w:rsidTr="004D1879">
        <w:tc>
          <w:tcPr>
            <w:tcW w:w="2155" w:type="dxa"/>
          </w:tcPr>
          <w:p w14:paraId="6F58A7FB" w14:textId="77777777" w:rsidR="00D77B45" w:rsidRDefault="00D77B45" w:rsidP="004D1879">
            <w:pPr>
              <w:rPr>
                <w:rFonts w:ascii="Times New Roman" w:eastAsia="Arial Unicode MS" w:hAnsi="Times New Roman" w:cs="Arial Unicode MS"/>
                <w:color w:val="000000"/>
                <w:sz w:val="24"/>
                <w:szCs w:val="24"/>
                <w:u w:color="000000"/>
              </w:rPr>
            </w:pPr>
            <w:r w:rsidRPr="00865F12">
              <w:rPr>
                <w:rFonts w:ascii="Times New Roman" w:eastAsia="Arial Unicode MS" w:hAnsi="Times New Roman" w:cs="Arial Unicode MS"/>
                <w:color w:val="000000"/>
                <w:sz w:val="24"/>
                <w:szCs w:val="24"/>
                <w:u w:color="000000"/>
              </w:rPr>
              <w:t>Andrianarisoa</w:t>
            </w:r>
            <w:r>
              <w:rPr>
                <w:rFonts w:ascii="Times New Roman" w:eastAsia="Arial Unicode MS" w:hAnsi="Times New Roman" w:cs="Arial Unicode MS"/>
                <w:color w:val="000000"/>
                <w:sz w:val="24"/>
                <w:szCs w:val="24"/>
                <w:u w:color="000000"/>
              </w:rPr>
              <w:t xml:space="preserve"> 1994</w:t>
            </w:r>
          </w:p>
        </w:tc>
        <w:tc>
          <w:tcPr>
            <w:tcW w:w="10795" w:type="dxa"/>
          </w:tcPr>
          <w:p w14:paraId="37313DD2" w14:textId="77777777" w:rsidR="00D77B45" w:rsidRDefault="00D77B45" w:rsidP="004D1879">
            <w:pPr>
              <w:rPr>
                <w:rFonts w:ascii="Times New Roman" w:eastAsia="Arial Unicode MS" w:hAnsi="Times New Roman" w:cs="Arial Unicode MS"/>
                <w:color w:val="000000"/>
                <w:sz w:val="24"/>
                <w:szCs w:val="24"/>
                <w:u w:color="000000"/>
              </w:rPr>
            </w:pPr>
            <w:r>
              <w:rPr>
                <w:rFonts w:ascii="Times New Roman" w:eastAsia="Arial Unicode MS" w:hAnsi="Times New Roman" w:cs="Arial Unicode MS"/>
                <w:color w:val="000000"/>
                <w:sz w:val="24"/>
                <w:szCs w:val="24"/>
                <w:u w:color="000000"/>
              </w:rPr>
              <w:t xml:space="preserve">Consequence of stock-out: </w:t>
            </w:r>
            <w:r w:rsidRPr="00865F12">
              <w:rPr>
                <w:rFonts w:ascii="Times New Roman" w:eastAsia="Arial Unicode MS" w:hAnsi="Times New Roman" w:cs="Arial Unicode MS"/>
                <w:color w:val="000000"/>
                <w:sz w:val="24"/>
                <w:szCs w:val="24"/>
                <w:u w:color="000000"/>
              </w:rPr>
              <w:t xml:space="preserve">Poor </w:t>
            </w:r>
            <w:r>
              <w:rPr>
                <w:rFonts w:ascii="Times New Roman" w:eastAsia="Arial Unicode MS" w:hAnsi="Times New Roman" w:cs="Arial Unicode MS"/>
                <w:color w:val="000000"/>
                <w:sz w:val="24"/>
                <w:szCs w:val="24"/>
                <w:u w:color="000000"/>
              </w:rPr>
              <w:t>utilization of services by end-users</w:t>
            </w:r>
          </w:p>
        </w:tc>
      </w:tr>
      <w:tr w:rsidR="00D77B45" w14:paraId="6997FDA3" w14:textId="77777777" w:rsidTr="004D1879">
        <w:tc>
          <w:tcPr>
            <w:tcW w:w="2155" w:type="dxa"/>
          </w:tcPr>
          <w:p w14:paraId="4211E6C3" w14:textId="77777777" w:rsidR="00D77B45" w:rsidRDefault="00D77B45" w:rsidP="004D1879">
            <w:pPr>
              <w:rPr>
                <w:rFonts w:ascii="Times New Roman" w:eastAsia="Arial Unicode MS" w:hAnsi="Times New Roman" w:cs="Arial Unicode MS"/>
                <w:color w:val="000000"/>
                <w:sz w:val="24"/>
                <w:szCs w:val="24"/>
                <w:u w:color="000000"/>
              </w:rPr>
            </w:pPr>
            <w:r>
              <w:rPr>
                <w:rFonts w:ascii="Times New Roman" w:eastAsia="Arial Unicode MS" w:hAnsi="Times New Roman" w:cs="Arial Unicode MS"/>
                <w:color w:val="000000"/>
                <w:sz w:val="24"/>
                <w:szCs w:val="24"/>
                <w:u w:color="000000"/>
              </w:rPr>
              <w:t xml:space="preserve">Brieger 1994: </w:t>
            </w:r>
          </w:p>
        </w:tc>
        <w:tc>
          <w:tcPr>
            <w:tcW w:w="10795" w:type="dxa"/>
          </w:tcPr>
          <w:p w14:paraId="43CEA4E0" w14:textId="77777777" w:rsidR="00D77B45" w:rsidRDefault="00D77B45" w:rsidP="004D1879">
            <w:pPr>
              <w:rPr>
                <w:rFonts w:ascii="Times New Roman" w:eastAsia="Arial Unicode MS" w:hAnsi="Times New Roman" w:cs="Arial Unicode MS"/>
                <w:color w:val="000000"/>
                <w:sz w:val="24"/>
                <w:szCs w:val="24"/>
                <w:u w:color="000000"/>
              </w:rPr>
            </w:pPr>
            <w:r>
              <w:rPr>
                <w:rFonts w:ascii="Times New Roman" w:eastAsia="Arial Unicode MS" w:hAnsi="Times New Roman" w:cs="Arial Unicode MS"/>
                <w:color w:val="000000"/>
                <w:sz w:val="24"/>
                <w:szCs w:val="24"/>
                <w:u w:color="000000"/>
              </w:rPr>
              <w:t>Extent of stock out among CHWs = 66.17%</w:t>
            </w:r>
          </w:p>
        </w:tc>
      </w:tr>
      <w:tr w:rsidR="00D77B45" w14:paraId="4E9A9B6A" w14:textId="77777777" w:rsidTr="004D1879">
        <w:trPr>
          <w:trHeight w:val="170"/>
        </w:trPr>
        <w:tc>
          <w:tcPr>
            <w:tcW w:w="2155" w:type="dxa"/>
          </w:tcPr>
          <w:p w14:paraId="06EA555F" w14:textId="77777777" w:rsidR="00D77B45" w:rsidRDefault="00D77B45" w:rsidP="004D1879">
            <w:pPr>
              <w:rPr>
                <w:rFonts w:ascii="Times New Roman" w:eastAsia="Arial Unicode MS" w:hAnsi="Times New Roman" w:cs="Arial Unicode MS"/>
                <w:color w:val="000000"/>
                <w:sz w:val="24"/>
                <w:szCs w:val="24"/>
                <w:u w:color="000000"/>
              </w:rPr>
            </w:pPr>
            <w:r w:rsidRPr="00BC3645">
              <w:rPr>
                <w:rFonts w:ascii="Times New Roman" w:eastAsia="Arial Unicode MS" w:hAnsi="Times New Roman" w:cs="Arial Unicode MS"/>
                <w:color w:val="000000"/>
                <w:sz w:val="24"/>
                <w:szCs w:val="24"/>
                <w:u w:color="000000"/>
              </w:rPr>
              <w:t>Jacobson</w:t>
            </w:r>
            <w:r>
              <w:rPr>
                <w:rFonts w:ascii="Times New Roman" w:eastAsia="Arial Unicode MS" w:hAnsi="Times New Roman" w:cs="Arial Unicode MS"/>
                <w:color w:val="000000"/>
                <w:sz w:val="24"/>
                <w:szCs w:val="24"/>
                <w:u w:color="000000"/>
              </w:rPr>
              <w:t xml:space="preserve"> </w:t>
            </w:r>
            <w:r>
              <w:rPr>
                <w:rFonts w:eastAsia="Arial Unicode MS" w:cs="Arial Unicode MS"/>
                <w:color w:val="000000"/>
                <w:u w:color="000000"/>
              </w:rPr>
              <w:t>1991</w:t>
            </w:r>
          </w:p>
        </w:tc>
        <w:tc>
          <w:tcPr>
            <w:tcW w:w="10795" w:type="dxa"/>
          </w:tcPr>
          <w:p w14:paraId="66D9DA5A" w14:textId="60944E3D" w:rsidR="00D77B45" w:rsidRDefault="00D77B45" w:rsidP="004D1879">
            <w:pPr>
              <w:rPr>
                <w:rFonts w:ascii="Times New Roman" w:eastAsia="Arial Unicode MS" w:hAnsi="Times New Roman" w:cs="Arial Unicode MS"/>
                <w:color w:val="000000"/>
                <w:sz w:val="24"/>
                <w:szCs w:val="24"/>
                <w:u w:color="000000"/>
              </w:rPr>
            </w:pPr>
            <w:r>
              <w:rPr>
                <w:rFonts w:ascii="Times New Roman" w:eastAsia="Arial Unicode MS" w:hAnsi="Times New Roman" w:cs="Arial Unicode MS"/>
                <w:color w:val="000000"/>
                <w:sz w:val="24"/>
                <w:szCs w:val="24"/>
                <w:u w:color="000000"/>
              </w:rPr>
              <w:t>A consequence of stock</w:t>
            </w:r>
            <w:r w:rsidR="00AA2DD6">
              <w:rPr>
                <w:rFonts w:ascii="Times New Roman" w:eastAsia="Arial Unicode MS" w:hAnsi="Times New Roman" w:cs="Arial Unicode MS"/>
                <w:color w:val="000000"/>
                <w:sz w:val="24"/>
                <w:szCs w:val="24"/>
                <w:u w:color="000000"/>
              </w:rPr>
              <w:t>-</w:t>
            </w:r>
            <w:r>
              <w:rPr>
                <w:rFonts w:ascii="Times New Roman" w:eastAsia="Arial Unicode MS" w:hAnsi="Times New Roman" w:cs="Arial Unicode MS"/>
                <w:color w:val="000000"/>
                <w:sz w:val="24"/>
                <w:szCs w:val="24"/>
                <w:u w:color="000000"/>
              </w:rPr>
              <w:t>out in which CHWs r</w:t>
            </w:r>
            <w:r w:rsidRPr="00BC3645">
              <w:rPr>
                <w:rFonts w:ascii="Times New Roman" w:eastAsia="Arial Unicode MS" w:hAnsi="Times New Roman" w:cs="Arial Unicode MS"/>
                <w:color w:val="000000"/>
                <w:sz w:val="24"/>
                <w:szCs w:val="24"/>
                <w:u w:color="000000"/>
              </w:rPr>
              <w:t>eturned to using unsafe traditional ways when stock</w:t>
            </w:r>
            <w:r w:rsidR="00AA2DD6">
              <w:rPr>
                <w:rFonts w:ascii="Times New Roman" w:eastAsia="Arial Unicode MS" w:hAnsi="Times New Roman" w:cs="Arial Unicode MS"/>
                <w:color w:val="000000"/>
                <w:sz w:val="24"/>
                <w:szCs w:val="24"/>
                <w:u w:color="000000"/>
              </w:rPr>
              <w:t>-</w:t>
            </w:r>
            <w:r w:rsidRPr="00BC3645">
              <w:rPr>
                <w:rFonts w:ascii="Times New Roman" w:eastAsia="Arial Unicode MS" w:hAnsi="Times New Roman" w:cs="Arial Unicode MS"/>
                <w:color w:val="000000"/>
                <w:sz w:val="24"/>
                <w:szCs w:val="24"/>
                <w:u w:color="000000"/>
              </w:rPr>
              <w:t>out disrupt service delivery.</w:t>
            </w:r>
          </w:p>
        </w:tc>
      </w:tr>
      <w:tr w:rsidR="00D77B45" w14:paraId="4DE6E15F" w14:textId="77777777" w:rsidTr="004D1879">
        <w:tc>
          <w:tcPr>
            <w:tcW w:w="2155" w:type="dxa"/>
          </w:tcPr>
          <w:p w14:paraId="1C4920DB" w14:textId="77777777" w:rsidR="00D77B45" w:rsidRDefault="00D77B45" w:rsidP="004D1879">
            <w:pPr>
              <w:rPr>
                <w:rFonts w:ascii="Times New Roman" w:eastAsia="Arial Unicode MS" w:hAnsi="Times New Roman" w:cs="Arial Unicode MS"/>
                <w:color w:val="000000"/>
                <w:sz w:val="24"/>
                <w:szCs w:val="24"/>
                <w:u w:color="000000"/>
              </w:rPr>
            </w:pPr>
            <w:r w:rsidRPr="00BC3645">
              <w:rPr>
                <w:rFonts w:ascii="Times New Roman" w:eastAsia="Arial Unicode MS" w:hAnsi="Times New Roman" w:cs="Arial Unicode MS"/>
                <w:color w:val="000000"/>
                <w:sz w:val="24"/>
                <w:szCs w:val="24"/>
                <w:u w:color="000000"/>
              </w:rPr>
              <w:t>Jacobson 1991</w:t>
            </w:r>
            <w:r>
              <w:rPr>
                <w:rFonts w:ascii="Times New Roman" w:eastAsia="Arial Unicode MS" w:hAnsi="Times New Roman" w:cs="Arial Unicode MS"/>
                <w:color w:val="000000"/>
                <w:sz w:val="24"/>
                <w:szCs w:val="24"/>
                <w:u w:color="000000"/>
              </w:rPr>
              <w:t>(b)</w:t>
            </w:r>
          </w:p>
        </w:tc>
        <w:tc>
          <w:tcPr>
            <w:tcW w:w="10795" w:type="dxa"/>
          </w:tcPr>
          <w:p w14:paraId="3C7E21E3" w14:textId="77777777" w:rsidR="00D77B45" w:rsidRDefault="00D77B45" w:rsidP="004D1879">
            <w:pPr>
              <w:rPr>
                <w:rFonts w:ascii="Times New Roman" w:eastAsia="Arial Unicode MS" w:hAnsi="Times New Roman" w:cs="Arial Unicode MS"/>
                <w:color w:val="000000"/>
                <w:sz w:val="24"/>
                <w:szCs w:val="24"/>
                <w:u w:color="000000"/>
              </w:rPr>
            </w:pPr>
            <w:r>
              <w:rPr>
                <w:rFonts w:ascii="Times New Roman" w:eastAsia="Arial Unicode MS" w:hAnsi="Times New Roman" w:cs="Arial Unicode MS"/>
                <w:color w:val="000000"/>
                <w:sz w:val="24"/>
                <w:szCs w:val="24"/>
                <w:u w:color="000000"/>
              </w:rPr>
              <w:t>A consequence in which there was i</w:t>
            </w:r>
            <w:r w:rsidRPr="00BC3645">
              <w:rPr>
                <w:rFonts w:ascii="Times New Roman" w:eastAsia="Arial Unicode MS" w:hAnsi="Times New Roman" w:cs="Arial Unicode MS"/>
                <w:color w:val="000000"/>
                <w:sz w:val="24"/>
                <w:szCs w:val="24"/>
                <w:u w:color="000000"/>
              </w:rPr>
              <w:t>mpaired service delivery</w:t>
            </w:r>
          </w:p>
        </w:tc>
      </w:tr>
      <w:tr w:rsidR="00D77B45" w14:paraId="2B73D48D" w14:textId="77777777" w:rsidTr="004D1879">
        <w:tc>
          <w:tcPr>
            <w:tcW w:w="2155" w:type="dxa"/>
          </w:tcPr>
          <w:p w14:paraId="2D60E689" w14:textId="77777777" w:rsidR="00D77B45" w:rsidRDefault="00D77B45" w:rsidP="004D1879">
            <w:pPr>
              <w:rPr>
                <w:rFonts w:ascii="Times New Roman" w:eastAsia="Arial Unicode MS" w:hAnsi="Times New Roman" w:cs="Arial Unicode MS"/>
                <w:color w:val="000000"/>
                <w:sz w:val="24"/>
                <w:szCs w:val="24"/>
                <w:u w:color="000000"/>
              </w:rPr>
            </w:pPr>
            <w:r w:rsidRPr="00BC3645">
              <w:rPr>
                <w:rFonts w:ascii="Times New Roman" w:eastAsia="Arial Unicode MS" w:hAnsi="Times New Roman" w:cs="Arial Unicode MS"/>
                <w:color w:val="000000"/>
                <w:sz w:val="24"/>
                <w:szCs w:val="24"/>
                <w:u w:color="000000"/>
              </w:rPr>
              <w:t>Stekelenburg</w:t>
            </w:r>
            <w:r>
              <w:rPr>
                <w:rFonts w:ascii="Times New Roman" w:eastAsia="Arial Unicode MS" w:hAnsi="Times New Roman" w:cs="Arial Unicode MS"/>
                <w:color w:val="000000"/>
                <w:sz w:val="24"/>
                <w:szCs w:val="24"/>
                <w:u w:color="000000"/>
              </w:rPr>
              <w:t xml:space="preserve"> 2003</w:t>
            </w:r>
          </w:p>
        </w:tc>
        <w:tc>
          <w:tcPr>
            <w:tcW w:w="10795" w:type="dxa"/>
          </w:tcPr>
          <w:p w14:paraId="7978D442" w14:textId="77777777" w:rsidR="00D77B45" w:rsidRDefault="00D77B45" w:rsidP="004D1879">
            <w:pPr>
              <w:rPr>
                <w:rFonts w:ascii="Times New Roman" w:eastAsia="Arial Unicode MS" w:hAnsi="Times New Roman" w:cs="Arial Unicode MS"/>
                <w:color w:val="000000"/>
                <w:sz w:val="24"/>
                <w:szCs w:val="24"/>
                <w:u w:color="000000"/>
              </w:rPr>
            </w:pPr>
            <w:r>
              <w:rPr>
                <w:rFonts w:ascii="Times New Roman" w:eastAsia="Arial Unicode MS" w:hAnsi="Times New Roman" w:cs="Arial Unicode MS"/>
                <w:color w:val="000000"/>
                <w:sz w:val="24"/>
                <w:szCs w:val="24"/>
                <w:u w:color="000000"/>
              </w:rPr>
              <w:t xml:space="preserve">Extent of CHW stock out was </w:t>
            </w:r>
            <w:r w:rsidRPr="007D037A">
              <w:rPr>
                <w:rFonts w:ascii="Times New Roman" w:eastAsia="Arial Unicode MS" w:hAnsi="Times New Roman" w:cs="Arial Unicode MS"/>
                <w:color w:val="000000"/>
                <w:sz w:val="24"/>
                <w:szCs w:val="24"/>
                <w:u w:color="000000"/>
              </w:rPr>
              <w:t>37%</w:t>
            </w:r>
            <w:r>
              <w:rPr>
                <w:rFonts w:ascii="Times New Roman" w:eastAsia="Arial Unicode MS" w:hAnsi="Times New Roman" w:cs="Arial Unicode MS"/>
                <w:color w:val="000000"/>
                <w:sz w:val="24"/>
                <w:szCs w:val="24"/>
                <w:u w:color="000000"/>
              </w:rPr>
              <w:t xml:space="preserve">. Consequences of stock out on CHWs include loss of </w:t>
            </w:r>
            <w:r w:rsidRPr="007D037A">
              <w:rPr>
                <w:rFonts w:ascii="Times New Roman" w:eastAsia="Arial Unicode MS" w:hAnsi="Times New Roman" w:cs="Arial Unicode MS"/>
                <w:color w:val="000000"/>
                <w:sz w:val="24"/>
                <w:szCs w:val="24"/>
                <w:u w:color="000000"/>
              </w:rPr>
              <w:t>reputation and recognition</w:t>
            </w:r>
            <w:r>
              <w:rPr>
                <w:rFonts w:ascii="Times New Roman" w:eastAsia="Arial Unicode MS" w:hAnsi="Times New Roman" w:cs="Arial Unicode MS"/>
                <w:color w:val="000000"/>
                <w:sz w:val="24"/>
                <w:szCs w:val="24"/>
                <w:u w:color="000000"/>
              </w:rPr>
              <w:t xml:space="preserve"> and li</w:t>
            </w:r>
            <w:r w:rsidRPr="007D037A">
              <w:rPr>
                <w:rFonts w:ascii="Times New Roman" w:eastAsia="Arial Unicode MS" w:hAnsi="Times New Roman" w:cs="Arial Unicode MS"/>
                <w:color w:val="000000"/>
                <w:sz w:val="24"/>
                <w:szCs w:val="24"/>
                <w:u w:color="000000"/>
              </w:rPr>
              <w:t>mited service delivery</w:t>
            </w:r>
            <w:r>
              <w:rPr>
                <w:rFonts w:ascii="Times New Roman" w:eastAsia="Arial Unicode MS" w:hAnsi="Times New Roman" w:cs="Arial Unicode MS"/>
                <w:color w:val="000000"/>
                <w:sz w:val="24"/>
                <w:szCs w:val="24"/>
                <w:u w:color="000000"/>
              </w:rPr>
              <w:t xml:space="preserve">. </w:t>
            </w:r>
          </w:p>
        </w:tc>
      </w:tr>
    </w:tbl>
    <w:p w14:paraId="15ADE058" w14:textId="77777777" w:rsidR="00D77B45" w:rsidRPr="002D11CE" w:rsidRDefault="00D77B45" w:rsidP="00D77B45">
      <w:pPr>
        <w:rPr>
          <w:rFonts w:ascii="Times New Roman" w:eastAsia="Arial Unicode MS" w:hAnsi="Times New Roman" w:cs="Arial Unicode MS"/>
          <w:color w:val="000000"/>
          <w:sz w:val="24"/>
          <w:szCs w:val="24"/>
          <w:u w:color="000000"/>
        </w:rPr>
      </w:pPr>
    </w:p>
    <w:p w14:paraId="4A844F82" w14:textId="77777777" w:rsidR="00D77B45" w:rsidRDefault="00D77B45" w:rsidP="00D77B45">
      <w:pPr>
        <w:rPr>
          <w:rFonts w:ascii="Times New Roman" w:eastAsia="Arial Unicode MS" w:hAnsi="Times New Roman" w:cs="Arial Unicode MS"/>
          <w:i/>
          <w:iCs/>
          <w:color w:val="000000"/>
          <w:sz w:val="24"/>
          <w:szCs w:val="24"/>
          <w:u w:color="000000"/>
        </w:rPr>
      </w:pPr>
    </w:p>
    <w:p w14:paraId="50EB0944" w14:textId="77777777" w:rsidR="00D77B45" w:rsidRDefault="00D77B45" w:rsidP="00D77B45">
      <w:pPr>
        <w:spacing w:after="0" w:line="240" w:lineRule="auto"/>
      </w:pPr>
    </w:p>
    <w:p w14:paraId="63CF43C7" w14:textId="77777777" w:rsidR="00D77B45" w:rsidRDefault="00D77B45" w:rsidP="00D77B45">
      <w:pPr>
        <w:spacing w:after="0" w:line="240" w:lineRule="auto"/>
      </w:pPr>
    </w:p>
    <w:p w14:paraId="21680D79" w14:textId="77777777" w:rsidR="00D77B45" w:rsidRDefault="00D77B45" w:rsidP="00D77B45">
      <w:pPr>
        <w:spacing w:after="0" w:line="240" w:lineRule="auto"/>
      </w:pPr>
    </w:p>
    <w:p w14:paraId="2FD9AF2E" w14:textId="77777777" w:rsidR="00D77B45" w:rsidRDefault="00D77B45" w:rsidP="00D77B45"/>
    <w:p w14:paraId="63372DB2" w14:textId="77777777" w:rsidR="00D77B45" w:rsidRDefault="00D77B45" w:rsidP="00301FAF">
      <w:pPr>
        <w:spacing w:after="0" w:line="240" w:lineRule="auto"/>
        <w:rPr>
          <w:rFonts w:ascii="Arial" w:hAnsi="Arial" w:cs="Arial"/>
          <w:color w:val="202124"/>
          <w:shd w:val="clear" w:color="auto" w:fill="FFFFFF"/>
        </w:rPr>
        <w:sectPr w:rsidR="00D77B45" w:rsidSect="00AD0CB9">
          <w:pgSz w:w="15840" w:h="12240" w:orient="landscape"/>
          <w:pgMar w:top="1440" w:right="1440" w:bottom="1089" w:left="1440" w:header="0" w:footer="720" w:gutter="0"/>
          <w:pgNumType w:start="1"/>
          <w:cols w:space="720"/>
          <w:docGrid w:linePitch="299"/>
        </w:sectPr>
      </w:pPr>
    </w:p>
    <w:p w14:paraId="7026CBF4" w14:textId="6E539261" w:rsidR="00691EB0" w:rsidRPr="009215A2" w:rsidRDefault="00D77B45" w:rsidP="00691EB0">
      <w:pPr>
        <w:spacing w:after="0" w:line="240" w:lineRule="auto"/>
        <w:rPr>
          <w:rFonts w:ascii="Times New Roman" w:eastAsia="Arial Unicode MS" w:hAnsi="Times New Roman" w:cs="Arial Unicode MS"/>
          <w:b/>
          <w:bCs/>
          <w:i/>
          <w:iCs/>
          <w:color w:val="000000"/>
          <w:sz w:val="24"/>
          <w:szCs w:val="24"/>
          <w:u w:color="000000"/>
        </w:rPr>
      </w:pPr>
      <w:r w:rsidRPr="00D77B45">
        <w:rPr>
          <w:rFonts w:ascii="Times New Roman" w:eastAsia="Arial Unicode MS" w:hAnsi="Times New Roman" w:cs="Arial Unicode MS"/>
          <w:color w:val="000000"/>
          <w:sz w:val="24"/>
          <w:szCs w:val="24"/>
          <w:u w:color="000000"/>
        </w:rPr>
        <w:lastRenderedPageBreak/>
        <w:t>Appendix</w:t>
      </w:r>
      <w:r w:rsidR="00691EB0" w:rsidRPr="009215A2">
        <w:rPr>
          <w:rFonts w:ascii="Times New Roman" w:eastAsia="Arial Unicode MS" w:hAnsi="Times New Roman" w:cs="Arial Unicode MS"/>
          <w:b/>
          <w:bCs/>
          <w:i/>
          <w:iCs/>
          <w:color w:val="000000"/>
          <w:sz w:val="24"/>
          <w:szCs w:val="24"/>
          <w:u w:color="000000"/>
        </w:rPr>
        <w:t xml:space="preserve"> </w:t>
      </w:r>
      <w:r>
        <w:rPr>
          <w:rFonts w:ascii="Times New Roman" w:eastAsia="Arial Unicode MS" w:hAnsi="Times New Roman" w:cs="Arial Unicode MS"/>
          <w:b/>
          <w:bCs/>
          <w:i/>
          <w:iCs/>
          <w:color w:val="000000"/>
          <w:sz w:val="24"/>
          <w:szCs w:val="24"/>
          <w:u w:color="000000"/>
        </w:rPr>
        <w:t>5</w:t>
      </w:r>
    </w:p>
    <w:p w14:paraId="1B6B4CB3" w14:textId="77777777" w:rsidR="00691EB0" w:rsidRDefault="00691EB0" w:rsidP="00691EB0">
      <w:pPr>
        <w:spacing w:after="0" w:line="240" w:lineRule="auto"/>
        <w:rPr>
          <w:rFonts w:ascii="Times New Roman" w:eastAsia="Arial Unicode MS" w:hAnsi="Times New Roman" w:cs="Arial Unicode MS"/>
          <w:b/>
          <w:bCs/>
          <w:color w:val="000000"/>
          <w:sz w:val="24"/>
          <w:szCs w:val="24"/>
          <w:u w:color="000000"/>
        </w:rPr>
      </w:pPr>
    </w:p>
    <w:p w14:paraId="7E6A28A5" w14:textId="77777777" w:rsidR="00691EB0" w:rsidRPr="00AD0CB9" w:rsidRDefault="00691EB0" w:rsidP="00691EB0">
      <w:pPr>
        <w:spacing w:after="0" w:line="240" w:lineRule="auto"/>
        <w:rPr>
          <w:rFonts w:ascii="Calibri" w:eastAsia="Calibri" w:hAnsi="Calibri" w:cs="Times New Roman"/>
          <w:lang w:val="en-AU"/>
        </w:rPr>
      </w:pPr>
      <w:r w:rsidRPr="00AA2DD6">
        <w:rPr>
          <w:rFonts w:ascii="Calibri" w:eastAsia="Calibri" w:hAnsi="Calibri" w:cs="Times New Roman"/>
          <w:b/>
          <w:bCs/>
          <w:u w:val="single"/>
          <w:lang w:val="en-AU"/>
        </w:rPr>
        <w:t>Figure 1</w:t>
      </w:r>
      <w:r w:rsidRPr="00AD0CB9">
        <w:rPr>
          <w:rFonts w:ascii="Calibri" w:eastAsia="Calibri" w:hAnsi="Calibri" w:cs="Times New Roman"/>
          <w:b/>
          <w:bCs/>
          <w:lang w:val="en-AU"/>
        </w:rPr>
        <w:t xml:space="preserve">: </w:t>
      </w:r>
      <w:bookmarkStart w:id="54" w:name="_Hlk73990491"/>
      <w:r w:rsidRPr="00AD0CB9">
        <w:rPr>
          <w:rFonts w:ascii="Calibri" w:eastAsia="Calibri" w:hAnsi="Calibri" w:cs="Times New Roman"/>
          <w:lang w:val="en-AU"/>
        </w:rPr>
        <w:t>PRISMA diagram</w:t>
      </w:r>
      <w:bookmarkEnd w:id="54"/>
    </w:p>
    <w:p w14:paraId="49A635EE"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86912" behindDoc="0" locked="0" layoutInCell="1" allowOverlap="1" wp14:anchorId="3B77B166" wp14:editId="79DD6D7E">
                <wp:simplePos x="0" y="0"/>
                <wp:positionH relativeFrom="column">
                  <wp:posOffset>120701</wp:posOffset>
                </wp:positionH>
                <wp:positionV relativeFrom="paragraph">
                  <wp:posOffset>76937</wp:posOffset>
                </wp:positionV>
                <wp:extent cx="1455725" cy="262890"/>
                <wp:effectExtent l="0" t="0" r="11430" b="22860"/>
                <wp:wrapNone/>
                <wp:docPr id="28" name="Flowchart: Alternate Process 28"/>
                <wp:cNvGraphicFramePr/>
                <a:graphic xmlns:a="http://schemas.openxmlformats.org/drawingml/2006/main">
                  <a:graphicData uri="http://schemas.microsoft.com/office/word/2010/wordprocessingShape">
                    <wps:wsp>
                      <wps:cNvSpPr/>
                      <wps:spPr>
                        <a:xfrm>
                          <a:off x="0" y="0"/>
                          <a:ext cx="1455725" cy="262890"/>
                        </a:xfrm>
                        <a:prstGeom prst="flowChartAlternateProcess">
                          <a:avLst/>
                        </a:prstGeom>
                        <a:solidFill>
                          <a:srgbClr val="FFC000"/>
                        </a:solidFill>
                        <a:ln w="12700" cap="flat" cmpd="sng" algn="ctr">
                          <a:solidFill>
                            <a:srgbClr val="FFC000">
                              <a:shade val="50000"/>
                            </a:srgbClr>
                          </a:solidFill>
                          <a:prstDash val="solid"/>
                          <a:miter lim="800000"/>
                        </a:ln>
                        <a:effectLst/>
                      </wps:spPr>
                      <wps:txbx>
                        <w:txbxContent>
                          <w:p w14:paraId="38A77A29" w14:textId="77777777" w:rsidR="00691EB0" w:rsidRPr="00AD0CB9" w:rsidRDefault="00691EB0" w:rsidP="00691EB0">
                            <w:pPr>
                              <w:spacing w:after="0" w:line="240" w:lineRule="auto"/>
                              <w:jc w:val="center"/>
                              <w:rPr>
                                <w:rFonts w:ascii="Arial" w:hAnsi="Arial" w:cs="Arial"/>
                                <w:b/>
                                <w:color w:val="000000"/>
                                <w:sz w:val="18"/>
                                <w:szCs w:val="18"/>
                              </w:rPr>
                            </w:pPr>
                            <w:r w:rsidRPr="00AD0CB9">
                              <w:rPr>
                                <w:rFonts w:ascii="Arial" w:hAnsi="Arial" w:cs="Arial"/>
                                <w:b/>
                                <w:color w:val="000000"/>
                                <w:sz w:val="18"/>
                                <w:szCs w:val="18"/>
                              </w:rPr>
                              <w:t>Previous studies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77B166"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28" o:spid="_x0000_s1027" type="#_x0000_t176" style="position:absolute;margin-left:9.5pt;margin-top:6.05pt;width:114.6pt;height:20.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" fillcolor="#ffc000" strokecolor="#bc8c00" strokeweight="1pt">
                <v:textbox>
                  <w:txbxContent>
                    <w:p w14:paraId="38A77A29" w14:textId="77777777" w:rsidR="00691EB0" w:rsidRPr="00AD0CB9" w:rsidRDefault="00691EB0" w:rsidP="00691EB0">
                      <w:pPr>
                        <w:spacing w:after="0" w:line="240" w:lineRule="auto"/>
                        <w:jc w:val="center"/>
                        <w:rPr>
                          <w:rFonts w:ascii="Arial" w:hAnsi="Arial" w:cs="Arial"/>
                          <w:b/>
                          <w:color w:val="000000"/>
                          <w:sz w:val="18"/>
                          <w:szCs w:val="18"/>
                        </w:rPr>
                      </w:pPr>
                      <w:r w:rsidRPr="00AD0CB9">
                        <w:rPr>
                          <w:rFonts w:ascii="Arial" w:hAnsi="Arial" w:cs="Arial"/>
                          <w:b/>
                          <w:color w:val="000000"/>
                          <w:sz w:val="18"/>
                          <w:szCs w:val="18"/>
                        </w:rPr>
                        <w:t>Previous studies</w:t>
                      </w:r>
                    </w:p>
                  </w:txbxContent>
                </v:textbox>
              </v:shape>
            </w:pict>
          </mc:Fallback>
        </mc:AlternateContent>
      </w:r>
      <w:r w:rsidRPr="00AD0CB9">
        <w:rPr>
          <w:rFonts w:ascii="Calibri" w:eastAsia="Calibri" w:hAnsi="Calibri" w:cs="Times New Roman"/>
          <w:noProof/>
          <w:lang w:val="en-AU"/>
        </w:rPr>
        <mc:AlternateContent>
          <mc:Choice Requires="wps">
            <w:drawing>
              <wp:anchor distT="0" distB="0" distL="114300" distR="114300" simplePos="0" relativeHeight="251674624" behindDoc="0" locked="0" layoutInCell="1" allowOverlap="1" wp14:anchorId="3EBE7A01" wp14:editId="2C5B3C53">
                <wp:simplePos x="0" y="0"/>
                <wp:positionH relativeFrom="column">
                  <wp:posOffset>1746580</wp:posOffset>
                </wp:positionH>
                <wp:positionV relativeFrom="paragraph">
                  <wp:posOffset>73660</wp:posOffset>
                </wp:positionV>
                <wp:extent cx="4344670" cy="262890"/>
                <wp:effectExtent l="0" t="0" r="17780" b="22860"/>
                <wp:wrapNone/>
                <wp:docPr id="29" name="Flowchart: Alternate Process 29"/>
                <wp:cNvGraphicFramePr/>
                <a:graphic xmlns:a="http://schemas.openxmlformats.org/drawingml/2006/main">
                  <a:graphicData uri="http://schemas.microsoft.com/office/word/2010/wordprocessingShape">
                    <wps:wsp>
                      <wps:cNvSpPr/>
                      <wps:spPr>
                        <a:xfrm>
                          <a:off x="0" y="0"/>
                          <a:ext cx="4344670" cy="262890"/>
                        </a:xfrm>
                        <a:prstGeom prst="flowChartAlternateProcess">
                          <a:avLst/>
                        </a:prstGeom>
                        <a:solidFill>
                          <a:srgbClr val="FFC000"/>
                        </a:solidFill>
                        <a:ln w="12700" cap="flat" cmpd="sng" algn="ctr">
                          <a:solidFill>
                            <a:srgbClr val="FFC000">
                              <a:shade val="50000"/>
                            </a:srgbClr>
                          </a:solidFill>
                          <a:prstDash val="solid"/>
                          <a:miter lim="800000"/>
                        </a:ln>
                        <a:effectLst/>
                      </wps:spPr>
                      <wps:txbx>
                        <w:txbxContent>
                          <w:p w14:paraId="0C063F0E" w14:textId="77777777" w:rsidR="00691EB0" w:rsidRPr="00AD0CB9" w:rsidRDefault="00691EB0" w:rsidP="00691EB0">
                            <w:pPr>
                              <w:spacing w:after="0" w:line="240" w:lineRule="auto"/>
                              <w:jc w:val="center"/>
                              <w:rPr>
                                <w:rFonts w:ascii="Arial" w:hAnsi="Arial" w:cs="Arial"/>
                                <w:b/>
                                <w:color w:val="000000"/>
                                <w:sz w:val="18"/>
                                <w:szCs w:val="18"/>
                              </w:rPr>
                            </w:pPr>
                            <w:r w:rsidRPr="00AD0CB9">
                              <w:rPr>
                                <w:rFonts w:ascii="Arial" w:hAnsi="Arial" w:cs="Arial"/>
                                <w:b/>
                                <w:color w:val="000000"/>
                                <w:sz w:val="18"/>
                                <w:szCs w:val="18"/>
                              </w:rPr>
                              <w:t>Identification of new studies via databases and registers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BE7A01" id="Flowchart: Alternate Process 29" o:spid="_x0000_s1028" type="#_x0000_t176" style="position:absolute;margin-left:137.55pt;margin-top:5.8pt;width:342.1pt;height:20.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" fillcolor="#ffc000" strokecolor="#bc8c00" strokeweight="1pt">
                <v:textbox>
                  <w:txbxContent>
                    <w:p w14:paraId="0C063F0E" w14:textId="77777777" w:rsidR="00691EB0" w:rsidRPr="00AD0CB9" w:rsidRDefault="00691EB0" w:rsidP="00691EB0">
                      <w:pPr>
                        <w:spacing w:after="0" w:line="240" w:lineRule="auto"/>
                        <w:jc w:val="center"/>
                        <w:rPr>
                          <w:rFonts w:ascii="Arial" w:hAnsi="Arial" w:cs="Arial"/>
                          <w:b/>
                          <w:color w:val="000000"/>
                          <w:sz w:val="18"/>
                          <w:szCs w:val="18"/>
                        </w:rPr>
                      </w:pPr>
                      <w:r w:rsidRPr="00AD0CB9">
                        <w:rPr>
                          <w:rFonts w:ascii="Arial" w:hAnsi="Arial" w:cs="Arial"/>
                          <w:b/>
                          <w:color w:val="000000"/>
                          <w:sz w:val="18"/>
                          <w:szCs w:val="18"/>
                        </w:rPr>
                        <w:t>Identification of new studies via databases and registers</w:t>
                      </w:r>
                    </w:p>
                  </w:txbxContent>
                </v:textbox>
              </v:shape>
            </w:pict>
          </mc:Fallback>
        </mc:AlternateContent>
      </w:r>
    </w:p>
    <w:p w14:paraId="086FCC32" w14:textId="77777777" w:rsidR="00691EB0" w:rsidRPr="00AD0CB9" w:rsidRDefault="00691EB0" w:rsidP="00691EB0">
      <w:pPr>
        <w:spacing w:after="0" w:line="240" w:lineRule="auto"/>
        <w:rPr>
          <w:rFonts w:ascii="Calibri" w:eastAsia="Calibri" w:hAnsi="Calibri" w:cs="Times New Roman"/>
          <w:lang w:val="en-AU"/>
        </w:rPr>
      </w:pPr>
    </w:p>
    <w:p w14:paraId="43F960BF"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61312" behindDoc="0" locked="0" layoutInCell="1" allowOverlap="1" wp14:anchorId="43260C53" wp14:editId="25B3B3A1">
                <wp:simplePos x="0" y="0"/>
                <wp:positionH relativeFrom="column">
                  <wp:posOffset>1666875</wp:posOffset>
                </wp:positionH>
                <wp:positionV relativeFrom="paragraph">
                  <wp:posOffset>78740</wp:posOffset>
                </wp:positionV>
                <wp:extent cx="1982470" cy="1295400"/>
                <wp:effectExtent l="0" t="0" r="17780" b="19050"/>
                <wp:wrapNone/>
                <wp:docPr id="3" name="Rectangle 3"/>
                <wp:cNvGraphicFramePr/>
                <a:graphic xmlns:a="http://schemas.openxmlformats.org/drawingml/2006/main">
                  <a:graphicData uri="http://schemas.microsoft.com/office/word/2010/wordprocessingShape">
                    <wps:wsp>
                      <wps:cNvSpPr/>
                      <wps:spPr>
                        <a:xfrm>
                          <a:off x="0" y="0"/>
                          <a:ext cx="1982470" cy="1295400"/>
                        </a:xfrm>
                        <a:prstGeom prst="rect">
                          <a:avLst/>
                        </a:prstGeom>
                        <a:noFill/>
                        <a:ln w="12700" cap="flat" cmpd="sng" algn="ctr">
                          <a:solidFill>
                            <a:sysClr val="windowText" lastClr="000000"/>
                          </a:solidFill>
                          <a:prstDash val="solid"/>
                          <a:miter lim="800000"/>
                        </a:ln>
                        <a:effectLst/>
                      </wps:spPr>
                      <wps:txbx>
                        <w:txbxContent>
                          <w:p w14:paraId="66ADAC7D"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Records identified from*:</w:t>
                            </w:r>
                          </w:p>
                          <w:p w14:paraId="2FBF1E4A" w14:textId="77777777" w:rsidR="00691EB0" w:rsidRPr="00AD0CB9" w:rsidRDefault="00691EB0" w:rsidP="00691EB0">
                            <w:pPr>
                              <w:spacing w:after="0" w:line="240" w:lineRule="auto"/>
                              <w:ind w:left="284"/>
                              <w:rPr>
                                <w:rFonts w:ascii="Arial" w:hAnsi="Arial" w:cs="Arial"/>
                                <w:b/>
                                <w:bCs/>
                                <w:color w:val="000000"/>
                                <w:sz w:val="18"/>
                                <w:szCs w:val="20"/>
                              </w:rPr>
                            </w:pPr>
                            <w:r w:rsidRPr="00AD0CB9">
                              <w:rPr>
                                <w:rFonts w:ascii="Arial" w:hAnsi="Arial" w:cs="Arial"/>
                                <w:color w:val="000000"/>
                                <w:sz w:val="18"/>
                                <w:szCs w:val="20"/>
                              </w:rPr>
                              <w:t>Databases (n =</w:t>
                            </w:r>
                            <w:r w:rsidRPr="00AD0CB9">
                              <w:rPr>
                                <w:rFonts w:ascii="Arial" w:hAnsi="Arial" w:cs="Arial"/>
                                <w:b/>
                                <w:bCs/>
                                <w:color w:val="000000"/>
                                <w:sz w:val="18"/>
                                <w:szCs w:val="20"/>
                              </w:rPr>
                              <w:t>1896)</w:t>
                            </w:r>
                          </w:p>
                          <w:p w14:paraId="51F9BF6B" w14:textId="77777777" w:rsidR="00691EB0" w:rsidRPr="00AD0CB9" w:rsidRDefault="00691EB0" w:rsidP="00691EB0">
                            <w:pPr>
                              <w:spacing w:after="0" w:line="240" w:lineRule="auto"/>
                              <w:ind w:left="720"/>
                              <w:rPr>
                                <w:rFonts w:ascii="Arial" w:hAnsi="Arial" w:cs="Arial"/>
                                <w:color w:val="000000"/>
                                <w:sz w:val="14"/>
                                <w:szCs w:val="14"/>
                              </w:rPr>
                            </w:pPr>
                            <w:r w:rsidRPr="00AD0CB9">
                              <w:rPr>
                                <w:rFonts w:ascii="Arial" w:hAnsi="Arial" w:cs="Arial"/>
                                <w:color w:val="000000"/>
                                <w:sz w:val="14"/>
                                <w:szCs w:val="14"/>
                              </w:rPr>
                              <w:t>Embase: 508</w:t>
                            </w:r>
                          </w:p>
                          <w:p w14:paraId="75315119" w14:textId="77777777" w:rsidR="00691EB0" w:rsidRPr="00AD0CB9" w:rsidRDefault="00691EB0" w:rsidP="00691EB0">
                            <w:pPr>
                              <w:spacing w:after="0" w:line="240" w:lineRule="auto"/>
                              <w:ind w:left="720"/>
                              <w:rPr>
                                <w:rFonts w:ascii="Arial" w:hAnsi="Arial" w:cs="Arial"/>
                                <w:color w:val="000000"/>
                                <w:sz w:val="14"/>
                                <w:szCs w:val="14"/>
                              </w:rPr>
                            </w:pPr>
                            <w:r w:rsidRPr="00AD0CB9">
                              <w:rPr>
                                <w:rFonts w:ascii="Arial" w:hAnsi="Arial" w:cs="Arial"/>
                                <w:color w:val="000000"/>
                                <w:sz w:val="14"/>
                                <w:szCs w:val="14"/>
                              </w:rPr>
                              <w:t>Global Health: 334</w:t>
                            </w:r>
                          </w:p>
                          <w:p w14:paraId="00011523" w14:textId="77777777" w:rsidR="00691EB0" w:rsidRPr="00AD0CB9" w:rsidRDefault="00691EB0" w:rsidP="00691EB0">
                            <w:pPr>
                              <w:spacing w:after="0" w:line="240" w:lineRule="auto"/>
                              <w:ind w:left="720"/>
                              <w:rPr>
                                <w:rFonts w:ascii="Arial" w:hAnsi="Arial" w:cs="Arial"/>
                                <w:color w:val="000000"/>
                                <w:sz w:val="14"/>
                                <w:szCs w:val="14"/>
                              </w:rPr>
                            </w:pPr>
                            <w:r w:rsidRPr="00AD0CB9">
                              <w:rPr>
                                <w:rFonts w:ascii="Arial" w:hAnsi="Arial" w:cs="Arial"/>
                                <w:color w:val="000000"/>
                                <w:sz w:val="14"/>
                                <w:szCs w:val="14"/>
                              </w:rPr>
                              <w:t>Google Scholars: 99</w:t>
                            </w:r>
                          </w:p>
                          <w:p w14:paraId="4494864E" w14:textId="77777777" w:rsidR="00691EB0" w:rsidRPr="00AD0CB9" w:rsidRDefault="00691EB0" w:rsidP="00691EB0">
                            <w:pPr>
                              <w:spacing w:after="0" w:line="240" w:lineRule="auto"/>
                              <w:ind w:left="720"/>
                              <w:rPr>
                                <w:rFonts w:ascii="Arial" w:hAnsi="Arial" w:cs="Arial"/>
                                <w:color w:val="000000"/>
                                <w:sz w:val="14"/>
                                <w:szCs w:val="14"/>
                              </w:rPr>
                            </w:pPr>
                            <w:r w:rsidRPr="00AD0CB9">
                              <w:rPr>
                                <w:rFonts w:ascii="Arial" w:hAnsi="Arial" w:cs="Arial"/>
                                <w:color w:val="000000"/>
                                <w:sz w:val="14"/>
                                <w:szCs w:val="14"/>
                              </w:rPr>
                              <w:t>PubMed: 622</w:t>
                            </w:r>
                          </w:p>
                          <w:p w14:paraId="10F126B9" w14:textId="77777777" w:rsidR="00691EB0" w:rsidRPr="00AD0CB9" w:rsidRDefault="00691EB0" w:rsidP="00691EB0">
                            <w:pPr>
                              <w:spacing w:after="0" w:line="240" w:lineRule="auto"/>
                              <w:ind w:left="720"/>
                              <w:rPr>
                                <w:rFonts w:ascii="Arial" w:hAnsi="Arial" w:cs="Arial"/>
                                <w:color w:val="000000"/>
                                <w:sz w:val="14"/>
                                <w:szCs w:val="14"/>
                              </w:rPr>
                            </w:pPr>
                            <w:r w:rsidRPr="00AD0CB9">
                              <w:rPr>
                                <w:rFonts w:ascii="Arial" w:hAnsi="Arial" w:cs="Arial"/>
                                <w:color w:val="000000"/>
                                <w:sz w:val="14"/>
                                <w:szCs w:val="14"/>
                              </w:rPr>
                              <w:t>Web of Science: 333</w:t>
                            </w:r>
                          </w:p>
                          <w:p w14:paraId="0E673404" w14:textId="77777777" w:rsidR="00691EB0" w:rsidRPr="00AD0CB9" w:rsidRDefault="00691EB0" w:rsidP="00691EB0">
                            <w:pPr>
                              <w:spacing w:after="0" w:line="240" w:lineRule="auto"/>
                              <w:ind w:left="284"/>
                              <w:rPr>
                                <w:rFonts w:ascii="Arial" w:hAnsi="Arial" w:cs="Arial"/>
                                <w:color w:val="000000"/>
                                <w:sz w:val="18"/>
                                <w:szCs w:val="20"/>
                              </w:rPr>
                            </w:pPr>
                          </w:p>
                          <w:p w14:paraId="284348C2" w14:textId="77777777" w:rsidR="00691EB0" w:rsidRPr="00AD0CB9" w:rsidRDefault="00691EB0" w:rsidP="00691EB0">
                            <w:pPr>
                              <w:spacing w:after="0" w:line="240" w:lineRule="auto"/>
                              <w:ind w:left="284"/>
                              <w:rPr>
                                <w:rFonts w:ascii="Arial" w:hAnsi="Arial" w:cs="Arial"/>
                                <w:color w:val="000000"/>
                                <w:sz w:val="18"/>
                                <w:szCs w:val="20"/>
                              </w:rPr>
                            </w:pPr>
                            <w:r w:rsidRPr="00AD0CB9">
                              <w:rPr>
                                <w:rFonts w:ascii="Arial" w:hAnsi="Arial" w:cs="Arial"/>
                                <w:color w:val="000000"/>
                                <w:sz w:val="18"/>
                                <w:szCs w:val="20"/>
                              </w:rPr>
                              <w:t xml:space="preserve">Registers (n = </w:t>
                            </w:r>
                            <w:r w:rsidRPr="00AD0CB9">
                              <w:rPr>
                                <w:rFonts w:ascii="Arial" w:hAnsi="Arial" w:cs="Arial"/>
                                <w:b/>
                                <w:bCs/>
                                <w:color w:val="000000"/>
                                <w:sz w:val="18"/>
                                <w:szCs w:val="20"/>
                              </w:rPr>
                              <w:t>0</w:t>
                            </w:r>
                            <w:r w:rsidRPr="00AD0CB9">
                              <w:rPr>
                                <w:rFonts w:ascii="Arial" w:hAnsi="Arial" w:cs="Arial"/>
                                <w:color w:val="000000"/>
                                <w:sz w:val="18"/>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260C53" id="Rectangle 3" o:spid="_x0000_s1029" style="position:absolute;margin-left:131.25pt;margin-top:6.2pt;width:156.1pt;height:10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" filled="f" strokecolor="windowText" strokeweight="1pt">
                <v:textbox>
                  <w:txbxContent>
                    <w:p w14:paraId="66ADAC7D"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Records identified from*:</w:t>
                      </w:r>
                    </w:p>
                    <w:p w14:paraId="2FBF1E4A" w14:textId="77777777" w:rsidR="00691EB0" w:rsidRPr="00AD0CB9" w:rsidRDefault="00691EB0" w:rsidP="00691EB0">
                      <w:pPr>
                        <w:spacing w:after="0" w:line="240" w:lineRule="auto"/>
                        <w:ind w:left="284"/>
                        <w:rPr>
                          <w:rFonts w:ascii="Arial" w:hAnsi="Arial" w:cs="Arial"/>
                          <w:b/>
                          <w:bCs/>
                          <w:color w:val="000000"/>
                          <w:sz w:val="18"/>
                          <w:szCs w:val="20"/>
                        </w:rPr>
                      </w:pPr>
                      <w:r w:rsidRPr="00AD0CB9">
                        <w:rPr>
                          <w:rFonts w:ascii="Arial" w:hAnsi="Arial" w:cs="Arial"/>
                          <w:color w:val="000000"/>
                          <w:sz w:val="18"/>
                          <w:szCs w:val="20"/>
                        </w:rPr>
                        <w:t>Databases (n =</w:t>
                      </w:r>
                      <w:r w:rsidRPr="00AD0CB9">
                        <w:rPr>
                          <w:rFonts w:ascii="Arial" w:hAnsi="Arial" w:cs="Arial"/>
                          <w:b/>
                          <w:bCs/>
                          <w:color w:val="000000"/>
                          <w:sz w:val="18"/>
                          <w:szCs w:val="20"/>
                        </w:rPr>
                        <w:t>1896)</w:t>
                      </w:r>
                    </w:p>
                    <w:p w14:paraId="51F9BF6B" w14:textId="77777777" w:rsidR="00691EB0" w:rsidRPr="00AD0CB9" w:rsidRDefault="00691EB0" w:rsidP="00691EB0">
                      <w:pPr>
                        <w:spacing w:after="0" w:line="240" w:lineRule="auto"/>
                        <w:ind w:left="720"/>
                        <w:rPr>
                          <w:rFonts w:ascii="Arial" w:hAnsi="Arial" w:cs="Arial"/>
                          <w:color w:val="000000"/>
                          <w:sz w:val="14"/>
                          <w:szCs w:val="14"/>
                        </w:rPr>
                      </w:pPr>
                      <w:r w:rsidRPr="00AD0CB9">
                        <w:rPr>
                          <w:rFonts w:ascii="Arial" w:hAnsi="Arial" w:cs="Arial"/>
                          <w:color w:val="000000"/>
                          <w:sz w:val="14"/>
                          <w:szCs w:val="14"/>
                        </w:rPr>
                        <w:t>Embase: 508</w:t>
                      </w:r>
                    </w:p>
                    <w:p w14:paraId="75315119" w14:textId="77777777" w:rsidR="00691EB0" w:rsidRPr="00AD0CB9" w:rsidRDefault="00691EB0" w:rsidP="00691EB0">
                      <w:pPr>
                        <w:spacing w:after="0" w:line="240" w:lineRule="auto"/>
                        <w:ind w:left="720"/>
                        <w:rPr>
                          <w:rFonts w:ascii="Arial" w:hAnsi="Arial" w:cs="Arial"/>
                          <w:color w:val="000000"/>
                          <w:sz w:val="14"/>
                          <w:szCs w:val="14"/>
                        </w:rPr>
                      </w:pPr>
                      <w:r w:rsidRPr="00AD0CB9">
                        <w:rPr>
                          <w:rFonts w:ascii="Arial" w:hAnsi="Arial" w:cs="Arial"/>
                          <w:color w:val="000000"/>
                          <w:sz w:val="14"/>
                          <w:szCs w:val="14"/>
                        </w:rPr>
                        <w:t>Global Health: 334</w:t>
                      </w:r>
                    </w:p>
                    <w:p w14:paraId="00011523" w14:textId="77777777" w:rsidR="00691EB0" w:rsidRPr="00AD0CB9" w:rsidRDefault="00691EB0" w:rsidP="00691EB0">
                      <w:pPr>
                        <w:spacing w:after="0" w:line="240" w:lineRule="auto"/>
                        <w:ind w:left="720"/>
                        <w:rPr>
                          <w:rFonts w:ascii="Arial" w:hAnsi="Arial" w:cs="Arial"/>
                          <w:color w:val="000000"/>
                          <w:sz w:val="14"/>
                          <w:szCs w:val="14"/>
                        </w:rPr>
                      </w:pPr>
                      <w:r w:rsidRPr="00AD0CB9">
                        <w:rPr>
                          <w:rFonts w:ascii="Arial" w:hAnsi="Arial" w:cs="Arial"/>
                          <w:color w:val="000000"/>
                          <w:sz w:val="14"/>
                          <w:szCs w:val="14"/>
                        </w:rPr>
                        <w:t>Google Scholars: 99</w:t>
                      </w:r>
                    </w:p>
                    <w:p w14:paraId="4494864E" w14:textId="77777777" w:rsidR="00691EB0" w:rsidRPr="00AD0CB9" w:rsidRDefault="00691EB0" w:rsidP="00691EB0">
                      <w:pPr>
                        <w:spacing w:after="0" w:line="240" w:lineRule="auto"/>
                        <w:ind w:left="720"/>
                        <w:rPr>
                          <w:rFonts w:ascii="Arial" w:hAnsi="Arial" w:cs="Arial"/>
                          <w:color w:val="000000"/>
                          <w:sz w:val="14"/>
                          <w:szCs w:val="14"/>
                        </w:rPr>
                      </w:pPr>
                      <w:r w:rsidRPr="00AD0CB9">
                        <w:rPr>
                          <w:rFonts w:ascii="Arial" w:hAnsi="Arial" w:cs="Arial"/>
                          <w:color w:val="000000"/>
                          <w:sz w:val="14"/>
                          <w:szCs w:val="14"/>
                        </w:rPr>
                        <w:t>PubMed: 622</w:t>
                      </w:r>
                    </w:p>
                    <w:p w14:paraId="10F126B9" w14:textId="77777777" w:rsidR="00691EB0" w:rsidRPr="00AD0CB9" w:rsidRDefault="00691EB0" w:rsidP="00691EB0">
                      <w:pPr>
                        <w:spacing w:after="0" w:line="240" w:lineRule="auto"/>
                        <w:ind w:left="720"/>
                        <w:rPr>
                          <w:rFonts w:ascii="Arial" w:hAnsi="Arial" w:cs="Arial"/>
                          <w:color w:val="000000"/>
                          <w:sz w:val="14"/>
                          <w:szCs w:val="14"/>
                        </w:rPr>
                      </w:pPr>
                      <w:r w:rsidRPr="00AD0CB9">
                        <w:rPr>
                          <w:rFonts w:ascii="Arial" w:hAnsi="Arial" w:cs="Arial"/>
                          <w:color w:val="000000"/>
                          <w:sz w:val="14"/>
                          <w:szCs w:val="14"/>
                        </w:rPr>
                        <w:t>Web of Science: 333</w:t>
                      </w:r>
                    </w:p>
                    <w:p w14:paraId="0E673404" w14:textId="77777777" w:rsidR="00691EB0" w:rsidRPr="00AD0CB9" w:rsidRDefault="00691EB0" w:rsidP="00691EB0">
                      <w:pPr>
                        <w:spacing w:after="0" w:line="240" w:lineRule="auto"/>
                        <w:ind w:left="284"/>
                        <w:rPr>
                          <w:rFonts w:ascii="Arial" w:hAnsi="Arial" w:cs="Arial"/>
                          <w:color w:val="000000"/>
                          <w:sz w:val="18"/>
                          <w:szCs w:val="20"/>
                        </w:rPr>
                      </w:pPr>
                    </w:p>
                    <w:p w14:paraId="284348C2" w14:textId="77777777" w:rsidR="00691EB0" w:rsidRPr="00AD0CB9" w:rsidRDefault="00691EB0" w:rsidP="00691EB0">
                      <w:pPr>
                        <w:spacing w:after="0" w:line="240" w:lineRule="auto"/>
                        <w:ind w:left="284"/>
                        <w:rPr>
                          <w:rFonts w:ascii="Arial" w:hAnsi="Arial" w:cs="Arial"/>
                          <w:color w:val="000000"/>
                          <w:sz w:val="18"/>
                          <w:szCs w:val="20"/>
                        </w:rPr>
                      </w:pPr>
                      <w:r w:rsidRPr="00AD0CB9">
                        <w:rPr>
                          <w:rFonts w:ascii="Arial" w:hAnsi="Arial" w:cs="Arial"/>
                          <w:color w:val="000000"/>
                          <w:sz w:val="18"/>
                          <w:szCs w:val="20"/>
                        </w:rPr>
                        <w:t xml:space="preserve">Registers (n = </w:t>
                      </w:r>
                      <w:r w:rsidRPr="00AD0CB9">
                        <w:rPr>
                          <w:rFonts w:ascii="Arial" w:hAnsi="Arial" w:cs="Arial"/>
                          <w:b/>
                          <w:bCs/>
                          <w:color w:val="000000"/>
                          <w:sz w:val="18"/>
                          <w:szCs w:val="20"/>
                        </w:rPr>
                        <w:t>0</w:t>
                      </w:r>
                      <w:r w:rsidRPr="00AD0CB9">
                        <w:rPr>
                          <w:rFonts w:ascii="Arial" w:hAnsi="Arial" w:cs="Arial"/>
                          <w:color w:val="000000"/>
                          <w:sz w:val="18"/>
                          <w:szCs w:val="20"/>
                        </w:rPr>
                        <w:t>)</w:t>
                      </w:r>
                    </w:p>
                  </w:txbxContent>
                </v:textbox>
              </v:rect>
            </w:pict>
          </mc:Fallback>
        </mc:AlternateContent>
      </w:r>
      <w:r w:rsidRPr="00AD0CB9">
        <w:rPr>
          <w:rFonts w:ascii="Calibri" w:eastAsia="Calibri" w:hAnsi="Calibri" w:cs="Times New Roman"/>
          <w:noProof/>
          <w:lang w:val="en-AU"/>
        </w:rPr>
        <mc:AlternateContent>
          <mc:Choice Requires="wps">
            <w:drawing>
              <wp:anchor distT="0" distB="0" distL="114300" distR="114300" simplePos="0" relativeHeight="251684864" behindDoc="0" locked="0" layoutInCell="1" allowOverlap="1" wp14:anchorId="79FEFB68" wp14:editId="45FFAF67">
                <wp:simplePos x="0" y="0"/>
                <wp:positionH relativeFrom="column">
                  <wp:posOffset>113386</wp:posOffset>
                </wp:positionH>
                <wp:positionV relativeFrom="paragraph">
                  <wp:posOffset>79756</wp:posOffset>
                </wp:positionV>
                <wp:extent cx="1455420" cy="1250899"/>
                <wp:effectExtent l="0" t="0" r="11430" b="26035"/>
                <wp:wrapNone/>
                <wp:docPr id="20" name="Rectangle 20"/>
                <wp:cNvGraphicFramePr/>
                <a:graphic xmlns:a="http://schemas.openxmlformats.org/drawingml/2006/main">
                  <a:graphicData uri="http://schemas.microsoft.com/office/word/2010/wordprocessingShape">
                    <wps:wsp>
                      <wps:cNvSpPr/>
                      <wps:spPr>
                        <a:xfrm>
                          <a:off x="0" y="0"/>
                          <a:ext cx="1455420" cy="1250899"/>
                        </a:xfrm>
                        <a:prstGeom prst="rect">
                          <a:avLst/>
                        </a:prstGeom>
                        <a:noFill/>
                        <a:ln w="12700" cap="flat" cmpd="sng" algn="ctr">
                          <a:solidFill>
                            <a:sysClr val="windowText" lastClr="000000"/>
                          </a:solidFill>
                          <a:prstDash val="solid"/>
                          <a:miter lim="800000"/>
                        </a:ln>
                        <a:effectLst/>
                      </wps:spPr>
                      <wps:txbx>
                        <w:txbxContent>
                          <w:p w14:paraId="384B0302"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Studies included in previous version of review (n =</w:t>
                            </w:r>
                            <w:r>
                              <w:rPr>
                                <w:rFonts w:ascii="Arial" w:hAnsi="Arial" w:cs="Arial"/>
                                <w:b/>
                                <w:bCs/>
                                <w:color w:val="000000"/>
                                <w:sz w:val="18"/>
                                <w:szCs w:val="20"/>
                              </w:rPr>
                              <w:t>34</w:t>
                            </w:r>
                            <w:r w:rsidRPr="00AD0CB9">
                              <w:rPr>
                                <w:rFonts w:ascii="Arial" w:hAnsi="Arial" w:cs="Arial"/>
                                <w:color w:val="000000"/>
                                <w:sz w:val="18"/>
                                <w:szCs w:val="20"/>
                              </w:rPr>
                              <w:t>)</w:t>
                            </w:r>
                          </w:p>
                          <w:p w14:paraId="30BF36F9" w14:textId="77777777" w:rsidR="00691EB0" w:rsidRPr="00AD0CB9" w:rsidRDefault="00691EB0" w:rsidP="00691EB0">
                            <w:pPr>
                              <w:spacing w:after="0" w:line="240" w:lineRule="auto"/>
                              <w:rPr>
                                <w:rFonts w:ascii="Arial" w:hAnsi="Arial" w:cs="Arial"/>
                                <w:color w:val="000000"/>
                                <w:sz w:val="18"/>
                                <w:szCs w:val="20"/>
                              </w:rPr>
                            </w:pPr>
                          </w:p>
                          <w:p w14:paraId="32ACC0BB" w14:textId="1E6655B2"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Reports of studies included in previous version of review (n = </w:t>
                            </w:r>
                            <w:r w:rsidR="00ED3D23">
                              <w:rPr>
                                <w:rFonts w:ascii="Arial" w:hAnsi="Arial" w:cs="Arial"/>
                                <w:b/>
                                <w:bCs/>
                                <w:color w:val="000000"/>
                                <w:sz w:val="18"/>
                                <w:szCs w:val="20"/>
                              </w:rPr>
                              <w:t>42</w:t>
                            </w:r>
                            <w:r w:rsidRPr="00AD0CB9">
                              <w:rPr>
                                <w:rFonts w:ascii="Arial" w:hAnsi="Arial" w:cs="Arial"/>
                                <w:color w:val="000000"/>
                                <w:sz w:val="18"/>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FEFB68" id="Rectangle 20" o:spid="_x0000_s1030" style="position:absolute;margin-left:8.95pt;margin-top:6.3pt;width:114.6pt;height:98.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" filled="f" strokecolor="windowText" strokeweight="1pt">
                <v:textbox>
                  <w:txbxContent>
                    <w:p w14:paraId="384B0302"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Studies included in previous version of review (n =</w:t>
                      </w:r>
                      <w:r>
                        <w:rPr>
                          <w:rFonts w:ascii="Arial" w:hAnsi="Arial" w:cs="Arial"/>
                          <w:b/>
                          <w:bCs/>
                          <w:color w:val="000000"/>
                          <w:sz w:val="18"/>
                          <w:szCs w:val="20"/>
                        </w:rPr>
                        <w:t>34</w:t>
                      </w:r>
                      <w:r w:rsidRPr="00AD0CB9">
                        <w:rPr>
                          <w:rFonts w:ascii="Arial" w:hAnsi="Arial" w:cs="Arial"/>
                          <w:color w:val="000000"/>
                          <w:sz w:val="18"/>
                          <w:szCs w:val="20"/>
                        </w:rPr>
                        <w:t>)</w:t>
                      </w:r>
                    </w:p>
                    <w:p w14:paraId="30BF36F9" w14:textId="77777777" w:rsidR="00691EB0" w:rsidRPr="00AD0CB9" w:rsidRDefault="00691EB0" w:rsidP="00691EB0">
                      <w:pPr>
                        <w:spacing w:after="0" w:line="240" w:lineRule="auto"/>
                        <w:rPr>
                          <w:rFonts w:ascii="Arial" w:hAnsi="Arial" w:cs="Arial"/>
                          <w:color w:val="000000"/>
                          <w:sz w:val="18"/>
                          <w:szCs w:val="20"/>
                        </w:rPr>
                      </w:pPr>
                    </w:p>
                    <w:p w14:paraId="32ACC0BB" w14:textId="1E6655B2"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Reports of studies included in previous version of review (n = </w:t>
                      </w:r>
                      <w:r w:rsidR="00ED3D23">
                        <w:rPr>
                          <w:rFonts w:ascii="Arial" w:hAnsi="Arial" w:cs="Arial"/>
                          <w:b/>
                          <w:bCs/>
                          <w:color w:val="000000"/>
                          <w:sz w:val="18"/>
                          <w:szCs w:val="20"/>
                        </w:rPr>
                        <w:t>42</w:t>
                      </w:r>
                      <w:r w:rsidRPr="00AD0CB9">
                        <w:rPr>
                          <w:rFonts w:ascii="Arial" w:hAnsi="Arial" w:cs="Arial"/>
                          <w:color w:val="000000"/>
                          <w:sz w:val="18"/>
                          <w:szCs w:val="20"/>
                        </w:rPr>
                        <w:t>)</w:t>
                      </w:r>
                    </w:p>
                  </w:txbxContent>
                </v:textbox>
              </v:rect>
            </w:pict>
          </mc:Fallback>
        </mc:AlternateContent>
      </w:r>
      <w:r w:rsidRPr="00AD0CB9">
        <w:rPr>
          <w:rFonts w:ascii="Calibri" w:eastAsia="Calibri" w:hAnsi="Calibri" w:cs="Times New Roman"/>
          <w:noProof/>
          <w:lang w:val="en-AU"/>
        </w:rPr>
        <mc:AlternateContent>
          <mc:Choice Requires="wps">
            <w:drawing>
              <wp:anchor distT="0" distB="0" distL="114300" distR="114300" simplePos="0" relativeHeight="251662336" behindDoc="0" locked="0" layoutInCell="1" allowOverlap="1" wp14:anchorId="7CF8EE89" wp14:editId="74E40217">
                <wp:simplePos x="0" y="0"/>
                <wp:positionH relativeFrom="column">
                  <wp:posOffset>4219270</wp:posOffset>
                </wp:positionH>
                <wp:positionV relativeFrom="paragraph">
                  <wp:posOffset>76835</wp:posOffset>
                </wp:positionV>
                <wp:extent cx="1887220" cy="1242695"/>
                <wp:effectExtent l="0" t="0" r="17780" b="14605"/>
                <wp:wrapNone/>
                <wp:docPr id="4" name="Rectangle 4"/>
                <wp:cNvGraphicFramePr/>
                <a:graphic xmlns:a="http://schemas.openxmlformats.org/drawingml/2006/main">
                  <a:graphicData uri="http://schemas.microsoft.com/office/word/2010/wordprocessingShape">
                    <wps:wsp>
                      <wps:cNvSpPr/>
                      <wps:spPr>
                        <a:xfrm>
                          <a:off x="0" y="0"/>
                          <a:ext cx="1887220" cy="1242695"/>
                        </a:xfrm>
                        <a:prstGeom prst="rect">
                          <a:avLst/>
                        </a:prstGeom>
                        <a:noFill/>
                        <a:ln w="12700" cap="flat" cmpd="sng" algn="ctr">
                          <a:solidFill>
                            <a:sysClr val="windowText" lastClr="000000"/>
                          </a:solidFill>
                          <a:prstDash val="solid"/>
                          <a:miter lim="800000"/>
                        </a:ln>
                        <a:effectLst/>
                      </wps:spPr>
                      <wps:txbx>
                        <w:txbxContent>
                          <w:p w14:paraId="286A8A58"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Records removed </w:t>
                            </w:r>
                            <w:r w:rsidRPr="00AD0CB9">
                              <w:rPr>
                                <w:rFonts w:ascii="Arial" w:hAnsi="Arial" w:cs="Arial"/>
                                <w:i/>
                                <w:iCs/>
                                <w:color w:val="000000"/>
                                <w:sz w:val="18"/>
                                <w:szCs w:val="20"/>
                              </w:rPr>
                              <w:t>before screening</w:t>
                            </w:r>
                            <w:r w:rsidRPr="00AD0CB9">
                              <w:rPr>
                                <w:rFonts w:ascii="Arial" w:hAnsi="Arial" w:cs="Arial"/>
                                <w:color w:val="000000"/>
                                <w:sz w:val="18"/>
                                <w:szCs w:val="20"/>
                              </w:rPr>
                              <w:t>:</w:t>
                            </w:r>
                          </w:p>
                          <w:p w14:paraId="1A4A2597" w14:textId="77777777" w:rsidR="00691EB0" w:rsidRPr="00AD0CB9" w:rsidRDefault="00691EB0" w:rsidP="00691EB0">
                            <w:pPr>
                              <w:spacing w:after="0" w:line="240" w:lineRule="auto"/>
                              <w:ind w:left="284"/>
                              <w:rPr>
                                <w:rFonts w:ascii="Arial" w:hAnsi="Arial" w:cs="Arial"/>
                                <w:color w:val="000000"/>
                                <w:sz w:val="18"/>
                                <w:szCs w:val="20"/>
                              </w:rPr>
                            </w:pPr>
                            <w:r w:rsidRPr="00AD0CB9">
                              <w:rPr>
                                <w:rFonts w:ascii="Arial" w:hAnsi="Arial" w:cs="Arial"/>
                                <w:color w:val="000000"/>
                                <w:sz w:val="18"/>
                                <w:szCs w:val="20"/>
                              </w:rPr>
                              <w:t xml:space="preserve">Duplicate records removed (n = </w:t>
                            </w:r>
                            <w:r w:rsidRPr="00AD0CB9">
                              <w:rPr>
                                <w:rFonts w:ascii="Arial" w:hAnsi="Arial" w:cs="Arial"/>
                                <w:b/>
                                <w:bCs/>
                                <w:color w:val="000000"/>
                                <w:sz w:val="18"/>
                                <w:szCs w:val="20"/>
                              </w:rPr>
                              <w:t>1083</w:t>
                            </w:r>
                            <w:r w:rsidRPr="00AD0CB9">
                              <w:rPr>
                                <w:rFonts w:ascii="Arial" w:hAnsi="Arial" w:cs="Arial"/>
                                <w:color w:val="000000"/>
                                <w:sz w:val="18"/>
                                <w:szCs w:val="20"/>
                              </w:rPr>
                              <w:t>)</w:t>
                            </w:r>
                          </w:p>
                          <w:p w14:paraId="2990E09B" w14:textId="77777777" w:rsidR="00691EB0" w:rsidRPr="00AD0CB9" w:rsidRDefault="00691EB0" w:rsidP="00691EB0">
                            <w:pPr>
                              <w:spacing w:after="0" w:line="240" w:lineRule="auto"/>
                              <w:ind w:left="284"/>
                              <w:rPr>
                                <w:rFonts w:ascii="Arial" w:hAnsi="Arial" w:cs="Arial"/>
                                <w:color w:val="000000"/>
                                <w:sz w:val="18"/>
                                <w:szCs w:val="20"/>
                              </w:rPr>
                            </w:pPr>
                            <w:r w:rsidRPr="00AD0CB9">
                              <w:rPr>
                                <w:rFonts w:ascii="Arial" w:hAnsi="Arial" w:cs="Arial"/>
                                <w:color w:val="000000"/>
                                <w:sz w:val="18"/>
                                <w:szCs w:val="20"/>
                              </w:rPr>
                              <w:t>Records marked as ineligible by automation tools (n = 0)</w:t>
                            </w:r>
                          </w:p>
                          <w:p w14:paraId="3605707A" w14:textId="77777777" w:rsidR="00691EB0" w:rsidRPr="00AD0CB9" w:rsidRDefault="00691EB0" w:rsidP="00691EB0">
                            <w:pPr>
                              <w:spacing w:after="0" w:line="240" w:lineRule="auto"/>
                              <w:ind w:left="284"/>
                              <w:rPr>
                                <w:rFonts w:ascii="Arial" w:hAnsi="Arial" w:cs="Arial"/>
                                <w:color w:val="000000"/>
                                <w:sz w:val="18"/>
                                <w:szCs w:val="20"/>
                              </w:rPr>
                            </w:pPr>
                            <w:r w:rsidRPr="00AD0CB9">
                              <w:rPr>
                                <w:rFonts w:ascii="Arial" w:hAnsi="Arial" w:cs="Arial"/>
                                <w:color w:val="000000"/>
                                <w:sz w:val="18"/>
                                <w:szCs w:val="20"/>
                              </w:rPr>
                              <w:t>Records removed for other reasons (n = 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F8EE89" id="Rectangle 4" o:spid="_x0000_s1031" style="position:absolute;margin-left:332.25pt;margin-top:6.05pt;width:148.6pt;height:97.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" filled="f" strokecolor="windowText" strokeweight="1pt">
                <v:textbox>
                  <w:txbxContent>
                    <w:p w14:paraId="286A8A58"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Records removed </w:t>
                      </w:r>
                      <w:r w:rsidRPr="00AD0CB9">
                        <w:rPr>
                          <w:rFonts w:ascii="Arial" w:hAnsi="Arial" w:cs="Arial"/>
                          <w:i/>
                          <w:iCs/>
                          <w:color w:val="000000"/>
                          <w:sz w:val="18"/>
                          <w:szCs w:val="20"/>
                        </w:rPr>
                        <w:t>before screening</w:t>
                      </w:r>
                      <w:r w:rsidRPr="00AD0CB9">
                        <w:rPr>
                          <w:rFonts w:ascii="Arial" w:hAnsi="Arial" w:cs="Arial"/>
                          <w:color w:val="000000"/>
                          <w:sz w:val="18"/>
                          <w:szCs w:val="20"/>
                        </w:rPr>
                        <w:t>:</w:t>
                      </w:r>
                    </w:p>
                    <w:p w14:paraId="1A4A2597" w14:textId="77777777" w:rsidR="00691EB0" w:rsidRPr="00AD0CB9" w:rsidRDefault="00691EB0" w:rsidP="00691EB0">
                      <w:pPr>
                        <w:spacing w:after="0" w:line="240" w:lineRule="auto"/>
                        <w:ind w:left="284"/>
                        <w:rPr>
                          <w:rFonts w:ascii="Arial" w:hAnsi="Arial" w:cs="Arial"/>
                          <w:color w:val="000000"/>
                          <w:sz w:val="18"/>
                          <w:szCs w:val="20"/>
                        </w:rPr>
                      </w:pPr>
                      <w:r w:rsidRPr="00AD0CB9">
                        <w:rPr>
                          <w:rFonts w:ascii="Arial" w:hAnsi="Arial" w:cs="Arial"/>
                          <w:color w:val="000000"/>
                          <w:sz w:val="18"/>
                          <w:szCs w:val="20"/>
                        </w:rPr>
                        <w:t xml:space="preserve">Duplicate records removed (n = </w:t>
                      </w:r>
                      <w:r w:rsidRPr="00AD0CB9">
                        <w:rPr>
                          <w:rFonts w:ascii="Arial" w:hAnsi="Arial" w:cs="Arial"/>
                          <w:b/>
                          <w:bCs/>
                          <w:color w:val="000000"/>
                          <w:sz w:val="18"/>
                          <w:szCs w:val="20"/>
                        </w:rPr>
                        <w:t>1083</w:t>
                      </w:r>
                      <w:r w:rsidRPr="00AD0CB9">
                        <w:rPr>
                          <w:rFonts w:ascii="Arial" w:hAnsi="Arial" w:cs="Arial"/>
                          <w:color w:val="000000"/>
                          <w:sz w:val="18"/>
                          <w:szCs w:val="20"/>
                        </w:rPr>
                        <w:t>)</w:t>
                      </w:r>
                    </w:p>
                    <w:p w14:paraId="2990E09B" w14:textId="77777777" w:rsidR="00691EB0" w:rsidRPr="00AD0CB9" w:rsidRDefault="00691EB0" w:rsidP="00691EB0">
                      <w:pPr>
                        <w:spacing w:after="0" w:line="240" w:lineRule="auto"/>
                        <w:ind w:left="284"/>
                        <w:rPr>
                          <w:rFonts w:ascii="Arial" w:hAnsi="Arial" w:cs="Arial"/>
                          <w:color w:val="000000"/>
                          <w:sz w:val="18"/>
                          <w:szCs w:val="20"/>
                        </w:rPr>
                      </w:pPr>
                      <w:r w:rsidRPr="00AD0CB9">
                        <w:rPr>
                          <w:rFonts w:ascii="Arial" w:hAnsi="Arial" w:cs="Arial"/>
                          <w:color w:val="000000"/>
                          <w:sz w:val="18"/>
                          <w:szCs w:val="20"/>
                        </w:rPr>
                        <w:t>Records marked as ineligible by automation tools (n = 0)</w:t>
                      </w:r>
                    </w:p>
                    <w:p w14:paraId="3605707A" w14:textId="77777777" w:rsidR="00691EB0" w:rsidRPr="00AD0CB9" w:rsidRDefault="00691EB0" w:rsidP="00691EB0">
                      <w:pPr>
                        <w:spacing w:after="0" w:line="240" w:lineRule="auto"/>
                        <w:ind w:left="284"/>
                        <w:rPr>
                          <w:rFonts w:ascii="Arial" w:hAnsi="Arial" w:cs="Arial"/>
                          <w:color w:val="000000"/>
                          <w:sz w:val="18"/>
                          <w:szCs w:val="20"/>
                        </w:rPr>
                      </w:pPr>
                      <w:r w:rsidRPr="00AD0CB9">
                        <w:rPr>
                          <w:rFonts w:ascii="Arial" w:hAnsi="Arial" w:cs="Arial"/>
                          <w:color w:val="000000"/>
                          <w:sz w:val="18"/>
                          <w:szCs w:val="20"/>
                        </w:rPr>
                        <w:t>Records removed for other reasons (n = 0)</w:t>
                      </w:r>
                    </w:p>
                  </w:txbxContent>
                </v:textbox>
              </v:rect>
            </w:pict>
          </mc:Fallback>
        </mc:AlternateContent>
      </w:r>
    </w:p>
    <w:p w14:paraId="51015D45" w14:textId="77777777" w:rsidR="00691EB0" w:rsidRPr="00AD0CB9" w:rsidRDefault="00691EB0" w:rsidP="00691EB0">
      <w:pPr>
        <w:spacing w:after="0" w:line="240" w:lineRule="auto"/>
        <w:rPr>
          <w:rFonts w:ascii="Calibri" w:eastAsia="Calibri" w:hAnsi="Calibri" w:cs="Times New Roman"/>
          <w:lang w:val="en-AU"/>
        </w:rPr>
      </w:pPr>
    </w:p>
    <w:p w14:paraId="3C6410C2"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75648" behindDoc="0" locked="0" layoutInCell="1" allowOverlap="1" wp14:anchorId="6A31242A" wp14:editId="7A454A2D">
                <wp:simplePos x="0" y="0"/>
                <wp:positionH relativeFrom="column">
                  <wp:posOffset>-755810</wp:posOffset>
                </wp:positionH>
                <wp:positionV relativeFrom="paragraph">
                  <wp:posOffset>238285</wp:posOffset>
                </wp:positionV>
                <wp:extent cx="1283655" cy="262890"/>
                <wp:effectExtent l="0" t="4127" r="26987" b="26988"/>
                <wp:wrapNone/>
                <wp:docPr id="31" name="Flowchart: Alternate Process 31"/>
                <wp:cNvGraphicFramePr/>
                <a:graphic xmlns:a="http://schemas.openxmlformats.org/drawingml/2006/main">
                  <a:graphicData uri="http://schemas.microsoft.com/office/word/2010/wordprocessingShape">
                    <wps:wsp>
                      <wps:cNvSpPr/>
                      <wps:spPr>
                        <a:xfrm rot="16200000">
                          <a:off x="0" y="0"/>
                          <a:ext cx="1283655" cy="262890"/>
                        </a:xfrm>
                        <a:prstGeom prst="flowChartAlternateProcess">
                          <a:avLst/>
                        </a:prstGeom>
                        <a:solidFill>
                          <a:srgbClr val="5B9BD5">
                            <a:lumMod val="60000"/>
                            <a:lumOff val="40000"/>
                          </a:srgbClr>
                        </a:solidFill>
                        <a:ln w="12700" cap="flat" cmpd="sng" algn="ctr">
                          <a:solidFill>
                            <a:sysClr val="windowText" lastClr="000000"/>
                          </a:solidFill>
                          <a:prstDash val="solid"/>
                          <a:miter lim="800000"/>
                        </a:ln>
                        <a:effectLst/>
                      </wps:spPr>
                      <wps:txbx>
                        <w:txbxContent>
                          <w:p w14:paraId="09B8CDD1" w14:textId="77777777" w:rsidR="00691EB0" w:rsidRPr="00AD0CB9" w:rsidRDefault="00691EB0" w:rsidP="00691EB0">
                            <w:pPr>
                              <w:spacing w:after="0" w:line="240" w:lineRule="auto"/>
                              <w:jc w:val="center"/>
                              <w:rPr>
                                <w:rFonts w:ascii="Arial" w:hAnsi="Arial" w:cs="Arial"/>
                                <w:b/>
                                <w:color w:val="000000"/>
                                <w:sz w:val="18"/>
                                <w:szCs w:val="18"/>
                              </w:rPr>
                            </w:pPr>
                            <w:r w:rsidRPr="00AD0CB9">
                              <w:rPr>
                                <w:rFonts w:ascii="Arial" w:hAnsi="Arial" w:cs="Arial"/>
                                <w:b/>
                                <w:color w:val="000000"/>
                                <w:sz w:val="18"/>
                                <w:szCs w:val="18"/>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31242A" id="Flowchart: Alternate Process 31" o:spid="_x0000_s1032" type="#_x0000_t176" style="position:absolute;margin-left:-59.5pt;margin-top:18.75pt;width:101.1pt;height:20.7pt;rotation:-9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" fillcolor="#9dc3e6" strokecolor="windowText" strokeweight="1pt">
                <v:textbox>
                  <w:txbxContent>
                    <w:p w14:paraId="09B8CDD1" w14:textId="77777777" w:rsidR="00691EB0" w:rsidRPr="00AD0CB9" w:rsidRDefault="00691EB0" w:rsidP="00691EB0">
                      <w:pPr>
                        <w:spacing w:after="0" w:line="240" w:lineRule="auto"/>
                        <w:jc w:val="center"/>
                        <w:rPr>
                          <w:rFonts w:ascii="Arial" w:hAnsi="Arial" w:cs="Arial"/>
                          <w:b/>
                          <w:color w:val="000000"/>
                          <w:sz w:val="18"/>
                          <w:szCs w:val="18"/>
                        </w:rPr>
                      </w:pPr>
                      <w:r w:rsidRPr="00AD0CB9">
                        <w:rPr>
                          <w:rFonts w:ascii="Arial" w:hAnsi="Arial" w:cs="Arial"/>
                          <w:b/>
                          <w:color w:val="000000"/>
                          <w:sz w:val="18"/>
                          <w:szCs w:val="18"/>
                        </w:rPr>
                        <w:t>Identification</w:t>
                      </w:r>
                    </w:p>
                  </w:txbxContent>
                </v:textbox>
              </v:shape>
            </w:pict>
          </mc:Fallback>
        </mc:AlternateContent>
      </w:r>
    </w:p>
    <w:p w14:paraId="65E3C382" w14:textId="77777777" w:rsidR="00691EB0" w:rsidRPr="00AD0CB9" w:rsidRDefault="00691EB0" w:rsidP="00691EB0">
      <w:pPr>
        <w:spacing w:after="0" w:line="240" w:lineRule="auto"/>
        <w:rPr>
          <w:rFonts w:ascii="Calibri" w:eastAsia="Calibri" w:hAnsi="Calibri" w:cs="Times New Roman"/>
          <w:lang w:val="en-AU"/>
        </w:rPr>
      </w:pPr>
    </w:p>
    <w:p w14:paraId="6DD034AE"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70528" behindDoc="0" locked="0" layoutInCell="1" allowOverlap="1" wp14:anchorId="4F3BA844" wp14:editId="3EB325B9">
                <wp:simplePos x="0" y="0"/>
                <wp:positionH relativeFrom="column">
                  <wp:posOffset>3661105</wp:posOffset>
                </wp:positionH>
                <wp:positionV relativeFrom="paragraph">
                  <wp:posOffset>9525</wp:posOffset>
                </wp:positionV>
                <wp:extent cx="563270" cy="0"/>
                <wp:effectExtent l="0" t="76200" r="27305" b="95250"/>
                <wp:wrapNone/>
                <wp:docPr id="14" name="Straight Arrow Connector 14"/>
                <wp:cNvGraphicFramePr/>
                <a:graphic xmlns:a="http://schemas.openxmlformats.org/drawingml/2006/main">
                  <a:graphicData uri="http://schemas.microsoft.com/office/word/2010/wordprocessingShape">
                    <wps:wsp>
                      <wps:cNvCnPr/>
                      <wps:spPr>
                        <a:xfrm>
                          <a:off x="0" y="0"/>
                          <a:ext cx="563270"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type w14:anchorId="4F8AED51" id="_x0000_t32" coordsize="21600,21600" o:spt="32" o:oned="t" path="m,l21600,21600e" filled="f">
                <v:path arrowok="t" fillok="f" o:connecttype="none"/>
                <o:lock v:ext="edit" shapetype="t"/>
              </v:shapetype>
              <v:shape id="Straight Arrow Connector 14" o:spid="_x0000_s1026" type="#_x0000_t32" style="position:absolute;margin-left:288.3pt;margin-top:.75pt;width:44.35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" strokecolor="windowText" strokeweight=".5pt">
                <v:stroke endarrow="block" joinstyle="miter"/>
              </v:shape>
            </w:pict>
          </mc:Fallback>
        </mc:AlternateContent>
      </w:r>
    </w:p>
    <w:p w14:paraId="6781EAF9" w14:textId="77777777" w:rsidR="00691EB0" w:rsidRPr="00AD0CB9" w:rsidRDefault="00691EB0" w:rsidP="00691EB0">
      <w:pPr>
        <w:spacing w:after="0" w:line="240" w:lineRule="auto"/>
        <w:rPr>
          <w:rFonts w:ascii="Calibri" w:eastAsia="Calibri" w:hAnsi="Calibri" w:cs="Times New Roman"/>
          <w:lang w:val="en-AU"/>
        </w:rPr>
      </w:pPr>
    </w:p>
    <w:p w14:paraId="7E2044B8" w14:textId="77777777" w:rsidR="00691EB0" w:rsidRPr="00AD0CB9" w:rsidRDefault="00691EB0" w:rsidP="00691EB0">
      <w:pPr>
        <w:spacing w:after="0" w:line="240" w:lineRule="auto"/>
        <w:rPr>
          <w:rFonts w:ascii="Calibri" w:eastAsia="Calibri" w:hAnsi="Calibri" w:cs="Times New Roman"/>
          <w:lang w:val="en-AU"/>
        </w:rPr>
      </w:pPr>
    </w:p>
    <w:p w14:paraId="36F9471F"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85888" behindDoc="0" locked="0" layoutInCell="1" allowOverlap="1" wp14:anchorId="79BB0F0F" wp14:editId="183D9F06">
                <wp:simplePos x="0" y="0"/>
                <wp:positionH relativeFrom="column">
                  <wp:posOffset>749808</wp:posOffset>
                </wp:positionH>
                <wp:positionV relativeFrom="paragraph">
                  <wp:posOffset>136855</wp:posOffset>
                </wp:positionV>
                <wp:extent cx="914400" cy="4491533"/>
                <wp:effectExtent l="0" t="0" r="76200" b="99695"/>
                <wp:wrapNone/>
                <wp:docPr id="26" name="Connector: Elbow 26"/>
                <wp:cNvGraphicFramePr/>
                <a:graphic xmlns:a="http://schemas.openxmlformats.org/drawingml/2006/main">
                  <a:graphicData uri="http://schemas.microsoft.com/office/word/2010/wordprocessingShape">
                    <wps:wsp>
                      <wps:cNvCnPr/>
                      <wps:spPr>
                        <a:xfrm>
                          <a:off x="0" y="0"/>
                          <a:ext cx="914400" cy="4491533"/>
                        </a:xfrm>
                        <a:prstGeom prst="bentConnector3">
                          <a:avLst>
                            <a:gd name="adj1" fmla="val 1769"/>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05E42806"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26" o:spid="_x0000_s1026" type="#_x0000_t34" style="position:absolute;margin-left:59.05pt;margin-top:10.8pt;width:1in;height:353.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" adj="382" strokecolor="windowText" strokeweight=".5pt">
                <v:stroke endarrow="block"/>
              </v:shape>
            </w:pict>
          </mc:Fallback>
        </mc:AlternateContent>
      </w:r>
      <w:r w:rsidRPr="00AD0CB9">
        <w:rPr>
          <w:rFonts w:ascii="Calibri" w:eastAsia="Calibri" w:hAnsi="Calibri" w:cs="Times New Roman"/>
          <w:noProof/>
          <w:lang w:val="en-AU"/>
        </w:rPr>
        <mc:AlternateContent>
          <mc:Choice Requires="wps">
            <w:drawing>
              <wp:anchor distT="0" distB="0" distL="114300" distR="114300" simplePos="0" relativeHeight="251678720" behindDoc="0" locked="0" layoutInCell="1" allowOverlap="1" wp14:anchorId="0F0A644D" wp14:editId="1CB69D84">
                <wp:simplePos x="0" y="0"/>
                <wp:positionH relativeFrom="column">
                  <wp:posOffset>2607640</wp:posOffset>
                </wp:positionH>
                <wp:positionV relativeFrom="paragraph">
                  <wp:posOffset>128905</wp:posOffset>
                </wp:positionV>
                <wp:extent cx="0" cy="281305"/>
                <wp:effectExtent l="76200" t="0" r="57150" b="61595"/>
                <wp:wrapNone/>
                <wp:docPr id="27" name="Straight Arrow Connector 27"/>
                <wp:cNvGraphicFramePr/>
                <a:graphic xmlns:a="http://schemas.openxmlformats.org/drawingml/2006/main">
                  <a:graphicData uri="http://schemas.microsoft.com/office/word/2010/wordprocessingShape">
                    <wps:wsp>
                      <wps:cNvCnPr/>
                      <wps:spPr>
                        <a:xfrm>
                          <a:off x="0" y="0"/>
                          <a:ext cx="0" cy="28130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0390C466" id="Straight Arrow Connector 27" o:spid="_x0000_s1026" type="#_x0000_t32" style="position:absolute;margin-left:205.35pt;margin-top:10.15pt;width:0;height:22.1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" strokecolor="windowText" strokeweight=".5pt">
                <v:stroke endarrow="block" joinstyle="miter"/>
              </v:shape>
            </w:pict>
          </mc:Fallback>
        </mc:AlternateContent>
      </w:r>
    </w:p>
    <w:p w14:paraId="142A48E8" w14:textId="77777777" w:rsidR="00691EB0" w:rsidRPr="00AD0CB9" w:rsidRDefault="00691EB0" w:rsidP="00691EB0">
      <w:pPr>
        <w:spacing w:after="0" w:line="240" w:lineRule="auto"/>
        <w:rPr>
          <w:rFonts w:ascii="Calibri" w:eastAsia="Calibri" w:hAnsi="Calibri" w:cs="Times New Roman"/>
          <w:lang w:val="en-AU"/>
        </w:rPr>
      </w:pPr>
    </w:p>
    <w:p w14:paraId="353B9B30"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82816" behindDoc="0" locked="0" layoutInCell="1" allowOverlap="1" wp14:anchorId="24C585A1" wp14:editId="48A43F90">
                <wp:simplePos x="0" y="0"/>
                <wp:positionH relativeFrom="column">
                  <wp:posOffset>1722755</wp:posOffset>
                </wp:positionH>
                <wp:positionV relativeFrom="paragraph">
                  <wp:posOffset>3924300</wp:posOffset>
                </wp:positionV>
                <wp:extent cx="1887220" cy="723900"/>
                <wp:effectExtent l="0" t="0" r="17780" b="19050"/>
                <wp:wrapNone/>
                <wp:docPr id="7" name="Rectangle 7"/>
                <wp:cNvGraphicFramePr/>
                <a:graphic xmlns:a="http://schemas.openxmlformats.org/drawingml/2006/main">
                  <a:graphicData uri="http://schemas.microsoft.com/office/word/2010/wordprocessingShape">
                    <wps:wsp>
                      <wps:cNvSpPr/>
                      <wps:spPr>
                        <a:xfrm>
                          <a:off x="0" y="0"/>
                          <a:ext cx="1887220" cy="723900"/>
                        </a:xfrm>
                        <a:prstGeom prst="rect">
                          <a:avLst/>
                        </a:prstGeom>
                        <a:noFill/>
                        <a:ln w="12700" cap="flat" cmpd="sng" algn="ctr">
                          <a:solidFill>
                            <a:sysClr val="windowText" lastClr="000000"/>
                          </a:solidFill>
                          <a:prstDash val="solid"/>
                          <a:miter lim="800000"/>
                        </a:ln>
                        <a:effectLst/>
                      </wps:spPr>
                      <wps:txbx>
                        <w:txbxContent>
                          <w:p w14:paraId="11BC8812"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Total studies included in review</w:t>
                            </w:r>
                          </w:p>
                          <w:p w14:paraId="08BCD669"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(n = </w:t>
                            </w:r>
                            <w:r>
                              <w:rPr>
                                <w:rFonts w:ascii="Arial" w:hAnsi="Arial" w:cs="Arial"/>
                                <w:color w:val="000000"/>
                                <w:sz w:val="18"/>
                                <w:szCs w:val="20"/>
                              </w:rPr>
                              <w:t>78</w:t>
                            </w:r>
                            <w:r w:rsidRPr="00AD0CB9">
                              <w:rPr>
                                <w:rFonts w:ascii="Arial" w:hAnsi="Arial" w:cs="Arial"/>
                                <w:color w:val="000000"/>
                                <w:sz w:val="18"/>
                                <w:szCs w:val="20"/>
                              </w:rPr>
                              <w:t>)</w:t>
                            </w:r>
                          </w:p>
                          <w:p w14:paraId="4F7A32A4"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Reports of total included studies</w:t>
                            </w:r>
                          </w:p>
                          <w:p w14:paraId="1DF595C5" w14:textId="265F61DB"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(n = </w:t>
                            </w:r>
                            <w:r w:rsidR="00ED3D23">
                              <w:rPr>
                                <w:rFonts w:ascii="Arial" w:hAnsi="Arial" w:cs="Arial"/>
                                <w:color w:val="000000"/>
                                <w:sz w:val="18"/>
                                <w:szCs w:val="20"/>
                              </w:rPr>
                              <w:t>86</w:t>
                            </w:r>
                            <w:r w:rsidRPr="00AD0CB9">
                              <w:rPr>
                                <w:rFonts w:ascii="Arial" w:hAnsi="Arial" w:cs="Arial"/>
                                <w:color w:val="000000"/>
                                <w:sz w:val="18"/>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C585A1" id="Rectangle 7" o:spid="_x0000_s1033" style="position:absolute;margin-left:135.65pt;margin-top:309pt;width:148.6pt;height:5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" filled="f" strokecolor="windowText" strokeweight="1pt">
                <v:textbox>
                  <w:txbxContent>
                    <w:p w14:paraId="11BC8812"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Total studies included in review</w:t>
                      </w:r>
                    </w:p>
                    <w:p w14:paraId="08BCD669"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(n = </w:t>
                      </w:r>
                      <w:r>
                        <w:rPr>
                          <w:rFonts w:ascii="Arial" w:hAnsi="Arial" w:cs="Arial"/>
                          <w:color w:val="000000"/>
                          <w:sz w:val="18"/>
                          <w:szCs w:val="20"/>
                        </w:rPr>
                        <w:t>78</w:t>
                      </w:r>
                      <w:r w:rsidRPr="00AD0CB9">
                        <w:rPr>
                          <w:rFonts w:ascii="Arial" w:hAnsi="Arial" w:cs="Arial"/>
                          <w:color w:val="000000"/>
                          <w:sz w:val="18"/>
                          <w:szCs w:val="20"/>
                        </w:rPr>
                        <w:t>)</w:t>
                      </w:r>
                    </w:p>
                    <w:p w14:paraId="4F7A32A4"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Reports of total included studies</w:t>
                      </w:r>
                    </w:p>
                    <w:p w14:paraId="1DF595C5" w14:textId="265F61DB"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(n = </w:t>
                      </w:r>
                      <w:r w:rsidR="00ED3D23">
                        <w:rPr>
                          <w:rFonts w:ascii="Arial" w:hAnsi="Arial" w:cs="Arial"/>
                          <w:color w:val="000000"/>
                          <w:sz w:val="18"/>
                          <w:szCs w:val="20"/>
                        </w:rPr>
                        <w:t>86</w:t>
                      </w:r>
                      <w:r w:rsidRPr="00AD0CB9">
                        <w:rPr>
                          <w:rFonts w:ascii="Arial" w:hAnsi="Arial" w:cs="Arial"/>
                          <w:color w:val="000000"/>
                          <w:sz w:val="18"/>
                          <w:szCs w:val="20"/>
                        </w:rPr>
                        <w:t>)</w:t>
                      </w:r>
                    </w:p>
                  </w:txbxContent>
                </v:textbox>
              </v:rect>
            </w:pict>
          </mc:Fallback>
        </mc:AlternateContent>
      </w:r>
      <w:r w:rsidRPr="00AD0CB9">
        <w:rPr>
          <w:rFonts w:ascii="Calibri" w:eastAsia="Calibri" w:hAnsi="Calibri" w:cs="Times New Roman"/>
          <w:noProof/>
          <w:lang w:val="en-AU"/>
        </w:rPr>
        <mc:AlternateContent>
          <mc:Choice Requires="wps">
            <w:drawing>
              <wp:anchor distT="0" distB="0" distL="114300" distR="114300" simplePos="0" relativeHeight="251681792" behindDoc="0" locked="0" layoutInCell="1" allowOverlap="1" wp14:anchorId="60275B7D" wp14:editId="60EDC4FE">
                <wp:simplePos x="0" y="0"/>
                <wp:positionH relativeFrom="column">
                  <wp:posOffset>2635885</wp:posOffset>
                </wp:positionH>
                <wp:positionV relativeFrom="paragraph">
                  <wp:posOffset>2252345</wp:posOffset>
                </wp:positionV>
                <wp:extent cx="0" cy="616585"/>
                <wp:effectExtent l="76200" t="0" r="57150" b="50165"/>
                <wp:wrapNone/>
                <wp:docPr id="37" name="Straight Arrow Connector 37"/>
                <wp:cNvGraphicFramePr/>
                <a:graphic xmlns:a="http://schemas.openxmlformats.org/drawingml/2006/main">
                  <a:graphicData uri="http://schemas.microsoft.com/office/word/2010/wordprocessingShape">
                    <wps:wsp>
                      <wps:cNvCnPr/>
                      <wps:spPr>
                        <a:xfrm>
                          <a:off x="0" y="0"/>
                          <a:ext cx="0" cy="61658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38F0DF2D" id="Straight Arrow Connector 37" o:spid="_x0000_s1026" type="#_x0000_t32" style="position:absolute;margin-left:207.55pt;margin-top:177.35pt;width:0;height:48.5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" strokecolor="windowText" strokeweight=".5pt">
                <v:stroke endarrow="block" joinstyle="miter"/>
              </v:shape>
            </w:pict>
          </mc:Fallback>
        </mc:AlternateContent>
      </w:r>
      <w:r w:rsidRPr="00AD0CB9">
        <w:rPr>
          <w:rFonts w:ascii="Calibri" w:eastAsia="Calibri" w:hAnsi="Calibri" w:cs="Times New Roman"/>
          <w:noProof/>
          <w:lang w:val="en-AU"/>
        </w:rPr>
        <mc:AlternateContent>
          <mc:Choice Requires="wps">
            <w:drawing>
              <wp:anchor distT="0" distB="0" distL="114300" distR="114300" simplePos="0" relativeHeight="251667456" behindDoc="0" locked="0" layoutInCell="1" allowOverlap="1" wp14:anchorId="1CAB2469" wp14:editId="6CA08557">
                <wp:simplePos x="0" y="0"/>
                <wp:positionH relativeFrom="column">
                  <wp:posOffset>1769110</wp:posOffset>
                </wp:positionH>
                <wp:positionV relativeFrom="paragraph">
                  <wp:posOffset>1718945</wp:posOffset>
                </wp:positionV>
                <wp:extent cx="1887220" cy="526415"/>
                <wp:effectExtent l="0" t="0" r="17780" b="26035"/>
                <wp:wrapNone/>
                <wp:docPr id="8" name="Rectangle 8"/>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717F7863"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Reports assessed for eligibility.</w:t>
                            </w:r>
                          </w:p>
                          <w:p w14:paraId="423A554B"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(n = 69)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AB2469" id="Rectangle 8" o:spid="_x0000_s1034" style="position:absolute;margin-left:139.3pt;margin-top:135.35pt;width:148.6pt;height:41.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" filled="f" strokecolor="windowText" strokeweight="1pt">
                <v:textbox>
                  <w:txbxContent>
                    <w:p w14:paraId="717F7863"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Reports assessed for eligibility.</w:t>
                      </w:r>
                    </w:p>
                    <w:p w14:paraId="423A554B"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(n = 69)</w:t>
                      </w:r>
                    </w:p>
                  </w:txbxContent>
                </v:textbox>
              </v:rect>
            </w:pict>
          </mc:Fallback>
        </mc:AlternateContent>
      </w:r>
      <w:r w:rsidRPr="00AD0CB9">
        <w:rPr>
          <w:rFonts w:ascii="Calibri" w:eastAsia="Calibri" w:hAnsi="Calibri" w:cs="Times New Roman"/>
          <w:noProof/>
          <w:lang w:val="en-AU"/>
        </w:rPr>
        <mc:AlternateContent>
          <mc:Choice Requires="wps">
            <w:drawing>
              <wp:anchor distT="0" distB="0" distL="114300" distR="114300" simplePos="0" relativeHeight="251673600" behindDoc="0" locked="0" layoutInCell="1" allowOverlap="1" wp14:anchorId="65285975" wp14:editId="57FCCB46">
                <wp:simplePos x="0" y="0"/>
                <wp:positionH relativeFrom="column">
                  <wp:posOffset>3683635</wp:posOffset>
                </wp:positionH>
                <wp:positionV relativeFrom="paragraph">
                  <wp:posOffset>2000250</wp:posOffset>
                </wp:positionV>
                <wp:extent cx="563245" cy="0"/>
                <wp:effectExtent l="0" t="76200" r="27305" b="95250"/>
                <wp:wrapNone/>
                <wp:docPr id="17" name="Straight Arrow Connector 17"/>
                <wp:cNvGraphicFramePr/>
                <a:graphic xmlns:a="http://schemas.openxmlformats.org/drawingml/2006/main">
                  <a:graphicData uri="http://schemas.microsoft.com/office/word/2010/wordprocessingShape">
                    <wps:wsp>
                      <wps:cNvCnPr/>
                      <wps:spPr>
                        <a:xfrm>
                          <a:off x="0" y="0"/>
                          <a:ext cx="56324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16984E27" id="Straight Arrow Connector 17" o:spid="_x0000_s1026" type="#_x0000_t32" style="position:absolute;margin-left:290.05pt;margin-top:157.5pt;width:44.35pt;height:0;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" strokecolor="windowText" strokeweight=".5pt">
                <v:stroke endarrow="block" joinstyle="miter"/>
              </v:shape>
            </w:pict>
          </mc:Fallback>
        </mc:AlternateContent>
      </w:r>
      <w:r w:rsidRPr="00AD0CB9">
        <w:rPr>
          <w:rFonts w:ascii="Calibri" w:eastAsia="Calibri" w:hAnsi="Calibri" w:cs="Times New Roman"/>
          <w:noProof/>
          <w:lang w:val="en-AU"/>
        </w:rPr>
        <mc:AlternateContent>
          <mc:Choice Requires="wps">
            <w:drawing>
              <wp:anchor distT="0" distB="0" distL="114300" distR="114300" simplePos="0" relativeHeight="251672576" behindDoc="0" locked="0" layoutInCell="1" allowOverlap="1" wp14:anchorId="180F1A3E" wp14:editId="166E7FE3">
                <wp:simplePos x="0" y="0"/>
                <wp:positionH relativeFrom="column">
                  <wp:posOffset>3670300</wp:posOffset>
                </wp:positionH>
                <wp:positionV relativeFrom="paragraph">
                  <wp:posOffset>1173480</wp:posOffset>
                </wp:positionV>
                <wp:extent cx="563245" cy="0"/>
                <wp:effectExtent l="0" t="76200" r="27305" b="95250"/>
                <wp:wrapNone/>
                <wp:docPr id="16" name="Straight Arrow Connector 16"/>
                <wp:cNvGraphicFramePr/>
                <a:graphic xmlns:a="http://schemas.openxmlformats.org/drawingml/2006/main">
                  <a:graphicData uri="http://schemas.microsoft.com/office/word/2010/wordprocessingShape">
                    <wps:wsp>
                      <wps:cNvCnPr/>
                      <wps:spPr>
                        <a:xfrm>
                          <a:off x="0" y="0"/>
                          <a:ext cx="56324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14A66318" id="Straight Arrow Connector 16" o:spid="_x0000_s1026" type="#_x0000_t32" style="position:absolute;margin-left:289pt;margin-top:92.4pt;width:44.35pt;height:0;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" strokecolor="windowText" strokeweight=".5pt">
                <v:stroke endarrow="block" joinstyle="miter"/>
              </v:shape>
            </w:pict>
          </mc:Fallback>
        </mc:AlternateContent>
      </w:r>
      <w:r w:rsidRPr="00AD0CB9">
        <w:rPr>
          <w:rFonts w:ascii="Calibri" w:eastAsia="Calibri" w:hAnsi="Calibri" w:cs="Times New Roman"/>
          <w:noProof/>
          <w:lang w:val="en-AU"/>
        </w:rPr>
        <mc:AlternateContent>
          <mc:Choice Requires="wps">
            <w:drawing>
              <wp:anchor distT="0" distB="0" distL="114300" distR="114300" simplePos="0" relativeHeight="251665408" behindDoc="0" locked="0" layoutInCell="1" allowOverlap="1" wp14:anchorId="282CE642" wp14:editId="5D8A2DB1">
                <wp:simplePos x="0" y="0"/>
                <wp:positionH relativeFrom="column">
                  <wp:posOffset>1767840</wp:posOffset>
                </wp:positionH>
                <wp:positionV relativeFrom="paragraph">
                  <wp:posOffset>900430</wp:posOffset>
                </wp:positionV>
                <wp:extent cx="1887220" cy="526415"/>
                <wp:effectExtent l="0" t="0" r="17780" b="26035"/>
                <wp:wrapNone/>
                <wp:docPr id="5" name="Rectangle 5"/>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52E6E44E"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Reports sought for retrieval</w:t>
                            </w:r>
                          </w:p>
                          <w:p w14:paraId="7ED157CD"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(n =71)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2CE642" id="Rectangle 5" o:spid="_x0000_s1035" style="position:absolute;margin-left:139.2pt;margin-top:70.9pt;width:148.6pt;height:41.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" filled="f" strokecolor="windowText" strokeweight="1pt">
                <v:textbox>
                  <w:txbxContent>
                    <w:p w14:paraId="52E6E44E"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Reports sought for </w:t>
                      </w:r>
                      <w:proofErr w:type="gramStart"/>
                      <w:r w:rsidRPr="00AD0CB9">
                        <w:rPr>
                          <w:rFonts w:ascii="Arial" w:hAnsi="Arial" w:cs="Arial"/>
                          <w:color w:val="000000"/>
                          <w:sz w:val="18"/>
                          <w:szCs w:val="20"/>
                        </w:rPr>
                        <w:t>retrieval</w:t>
                      </w:r>
                      <w:proofErr w:type="gramEnd"/>
                    </w:p>
                    <w:p w14:paraId="7ED157CD"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(n =71)</w:t>
                      </w:r>
                    </w:p>
                  </w:txbxContent>
                </v:textbox>
              </v:rect>
            </w:pict>
          </mc:Fallback>
        </mc:AlternateContent>
      </w:r>
      <w:r w:rsidRPr="00AD0CB9">
        <w:rPr>
          <w:rFonts w:ascii="Calibri" w:eastAsia="Calibri" w:hAnsi="Calibri" w:cs="Times New Roman"/>
          <w:noProof/>
          <w:lang w:val="en-AU"/>
        </w:rPr>
        <mc:AlternateContent>
          <mc:Choice Requires="wps">
            <w:drawing>
              <wp:anchor distT="0" distB="0" distL="114300" distR="114300" simplePos="0" relativeHeight="251663360" behindDoc="0" locked="0" layoutInCell="1" allowOverlap="1" wp14:anchorId="1907D697" wp14:editId="5CC018EC">
                <wp:simplePos x="0" y="0"/>
                <wp:positionH relativeFrom="column">
                  <wp:posOffset>1766570</wp:posOffset>
                </wp:positionH>
                <wp:positionV relativeFrom="paragraph">
                  <wp:posOffset>74930</wp:posOffset>
                </wp:positionV>
                <wp:extent cx="1887220" cy="526415"/>
                <wp:effectExtent l="0" t="0" r="17780" b="26035"/>
                <wp:wrapNone/>
                <wp:docPr id="6" name="Rectangle 6"/>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40226103"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Records screened</w:t>
                            </w:r>
                          </w:p>
                          <w:p w14:paraId="01F08E94"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(n = 813)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07D697" id="Rectangle 6" o:spid="_x0000_s1036" style="position:absolute;margin-left:139.1pt;margin-top:5.9pt;width:148.6pt;height:41.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" filled="f" strokecolor="windowText" strokeweight="1pt">
                <v:textbox>
                  <w:txbxContent>
                    <w:p w14:paraId="40226103"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Records </w:t>
                      </w:r>
                      <w:proofErr w:type="gramStart"/>
                      <w:r w:rsidRPr="00AD0CB9">
                        <w:rPr>
                          <w:rFonts w:ascii="Arial" w:hAnsi="Arial" w:cs="Arial"/>
                          <w:color w:val="000000"/>
                          <w:sz w:val="18"/>
                          <w:szCs w:val="20"/>
                        </w:rPr>
                        <w:t>screened</w:t>
                      </w:r>
                      <w:proofErr w:type="gramEnd"/>
                    </w:p>
                    <w:p w14:paraId="01F08E94"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(n = 813)</w:t>
                      </w:r>
                    </w:p>
                  </w:txbxContent>
                </v:textbox>
              </v:rect>
            </w:pict>
          </mc:Fallback>
        </mc:AlternateContent>
      </w:r>
      <w:r w:rsidRPr="00AD0CB9">
        <w:rPr>
          <w:rFonts w:ascii="Calibri" w:eastAsia="Calibri" w:hAnsi="Calibri" w:cs="Times New Roman"/>
          <w:noProof/>
          <w:lang w:val="en-AU"/>
        </w:rPr>
        <mc:AlternateContent>
          <mc:Choice Requires="wps">
            <w:drawing>
              <wp:anchor distT="0" distB="0" distL="114300" distR="114300" simplePos="0" relativeHeight="251671552" behindDoc="0" locked="0" layoutInCell="1" allowOverlap="1" wp14:anchorId="50890D2B" wp14:editId="34CB18FE">
                <wp:simplePos x="0" y="0"/>
                <wp:positionH relativeFrom="column">
                  <wp:posOffset>3660775</wp:posOffset>
                </wp:positionH>
                <wp:positionV relativeFrom="paragraph">
                  <wp:posOffset>328295</wp:posOffset>
                </wp:positionV>
                <wp:extent cx="563245" cy="0"/>
                <wp:effectExtent l="0" t="76200" r="27305" b="95250"/>
                <wp:wrapNone/>
                <wp:docPr id="15" name="Straight Arrow Connector 15"/>
                <wp:cNvGraphicFramePr/>
                <a:graphic xmlns:a="http://schemas.openxmlformats.org/drawingml/2006/main">
                  <a:graphicData uri="http://schemas.microsoft.com/office/word/2010/wordprocessingShape">
                    <wps:wsp>
                      <wps:cNvCnPr/>
                      <wps:spPr>
                        <a:xfrm>
                          <a:off x="0" y="0"/>
                          <a:ext cx="56324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4721A74F" id="Straight Arrow Connector 15" o:spid="_x0000_s1026" type="#_x0000_t32" style="position:absolute;margin-left:288.25pt;margin-top:25.85pt;width:44.35pt;height:0;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" strokecolor="windowText" strokeweight=".5pt">
                <v:stroke endarrow="block" joinstyle="miter"/>
              </v:shape>
            </w:pict>
          </mc:Fallback>
        </mc:AlternateContent>
      </w:r>
      <w:r w:rsidRPr="00AD0CB9">
        <w:rPr>
          <w:rFonts w:ascii="Calibri" w:eastAsia="Calibri" w:hAnsi="Calibri" w:cs="Times New Roman"/>
          <w:noProof/>
          <w:lang w:val="en-AU"/>
        </w:rPr>
        <mc:AlternateContent>
          <mc:Choice Requires="wps">
            <w:drawing>
              <wp:anchor distT="0" distB="0" distL="114300" distR="114300" simplePos="0" relativeHeight="251664384" behindDoc="0" locked="0" layoutInCell="1" allowOverlap="1" wp14:anchorId="6E8A911A" wp14:editId="54ED8190">
                <wp:simplePos x="0" y="0"/>
                <wp:positionH relativeFrom="column">
                  <wp:posOffset>4228160</wp:posOffset>
                </wp:positionH>
                <wp:positionV relativeFrom="paragraph">
                  <wp:posOffset>74930</wp:posOffset>
                </wp:positionV>
                <wp:extent cx="1887220" cy="526415"/>
                <wp:effectExtent l="0" t="0" r="17780" b="26035"/>
                <wp:wrapNone/>
                <wp:docPr id="9" name="Rectangle 9"/>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049A791E"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Records excluded**</w:t>
                            </w:r>
                          </w:p>
                          <w:p w14:paraId="352533F7"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(n = 742)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A911A" id="Rectangle 9" o:spid="_x0000_s1037" style="position:absolute;margin-left:332.95pt;margin-top:5.9pt;width:148.6pt;height:41.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" filled="f" strokecolor="windowText" strokeweight="1pt">
                <v:textbox>
                  <w:txbxContent>
                    <w:p w14:paraId="049A791E"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Records excluded**</w:t>
                      </w:r>
                    </w:p>
                    <w:p w14:paraId="352533F7"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(n = 742)</w:t>
                      </w:r>
                    </w:p>
                  </w:txbxContent>
                </v:textbox>
              </v:rect>
            </w:pict>
          </mc:Fallback>
        </mc:AlternateContent>
      </w:r>
    </w:p>
    <w:p w14:paraId="4ABD4F09" w14:textId="77777777" w:rsidR="00691EB0" w:rsidRPr="00AD0CB9" w:rsidRDefault="00691EB0" w:rsidP="00691EB0">
      <w:pPr>
        <w:spacing w:after="0" w:line="240" w:lineRule="auto"/>
        <w:rPr>
          <w:rFonts w:ascii="Calibri" w:eastAsia="Calibri" w:hAnsi="Calibri" w:cs="Times New Roman"/>
          <w:lang w:val="en-AU"/>
        </w:rPr>
      </w:pPr>
    </w:p>
    <w:p w14:paraId="5B8DFADD" w14:textId="77777777" w:rsidR="00691EB0" w:rsidRPr="00AD0CB9" w:rsidRDefault="00691EB0" w:rsidP="00691EB0">
      <w:pPr>
        <w:spacing w:after="0" w:line="240" w:lineRule="auto"/>
        <w:rPr>
          <w:rFonts w:ascii="Calibri" w:eastAsia="Calibri" w:hAnsi="Calibri" w:cs="Times New Roman"/>
          <w:lang w:val="en-AU"/>
        </w:rPr>
      </w:pPr>
    </w:p>
    <w:p w14:paraId="70DDCE05"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79744" behindDoc="0" locked="0" layoutInCell="1" allowOverlap="1" wp14:anchorId="3690598A" wp14:editId="5AC7D002">
                <wp:simplePos x="0" y="0"/>
                <wp:positionH relativeFrom="column">
                  <wp:posOffset>2607640</wp:posOffset>
                </wp:positionH>
                <wp:positionV relativeFrom="paragraph">
                  <wp:posOffset>99695</wp:posOffset>
                </wp:positionV>
                <wp:extent cx="0" cy="281305"/>
                <wp:effectExtent l="76200" t="0" r="57150" b="61595"/>
                <wp:wrapNone/>
                <wp:docPr id="35" name="Straight Arrow Connector 35"/>
                <wp:cNvGraphicFramePr/>
                <a:graphic xmlns:a="http://schemas.openxmlformats.org/drawingml/2006/main">
                  <a:graphicData uri="http://schemas.microsoft.com/office/word/2010/wordprocessingShape">
                    <wps:wsp>
                      <wps:cNvCnPr/>
                      <wps:spPr>
                        <a:xfrm>
                          <a:off x="0" y="0"/>
                          <a:ext cx="0" cy="28130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0EBD4B68" id="Straight Arrow Connector 35" o:spid="_x0000_s1026" type="#_x0000_t32" style="position:absolute;margin-left:205.35pt;margin-top:7.85pt;width:0;height:22.1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" strokecolor="windowText" strokeweight=".5pt">
                <v:stroke endarrow="block" joinstyle="miter"/>
              </v:shape>
            </w:pict>
          </mc:Fallback>
        </mc:AlternateContent>
      </w:r>
    </w:p>
    <w:p w14:paraId="08357893" w14:textId="77777777" w:rsidR="00691EB0" w:rsidRPr="00AD0CB9" w:rsidRDefault="00691EB0" w:rsidP="00691EB0">
      <w:pPr>
        <w:spacing w:after="0" w:line="240" w:lineRule="auto"/>
        <w:rPr>
          <w:rFonts w:ascii="Calibri" w:eastAsia="Calibri" w:hAnsi="Calibri" w:cs="Times New Roman"/>
          <w:lang w:val="en-AU"/>
        </w:rPr>
      </w:pPr>
    </w:p>
    <w:p w14:paraId="065F6278"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66432" behindDoc="0" locked="0" layoutInCell="1" allowOverlap="1" wp14:anchorId="3E83C481" wp14:editId="6016524B">
                <wp:simplePos x="0" y="0"/>
                <wp:positionH relativeFrom="column">
                  <wp:posOffset>4229430</wp:posOffset>
                </wp:positionH>
                <wp:positionV relativeFrom="paragraph">
                  <wp:posOffset>66675</wp:posOffset>
                </wp:positionV>
                <wp:extent cx="1887220" cy="526415"/>
                <wp:effectExtent l="0" t="0" r="17780" b="26035"/>
                <wp:wrapNone/>
                <wp:docPr id="10" name="Rectangle 10"/>
                <wp:cNvGraphicFramePr/>
                <a:graphic xmlns:a="http://schemas.openxmlformats.org/drawingml/2006/main">
                  <a:graphicData uri="http://schemas.microsoft.com/office/word/2010/wordprocessingShape">
                    <wps:wsp>
                      <wps:cNvSpPr/>
                      <wps:spPr>
                        <a:xfrm>
                          <a:off x="0" y="0"/>
                          <a:ext cx="1887220" cy="526415"/>
                        </a:xfrm>
                        <a:prstGeom prst="rect">
                          <a:avLst/>
                        </a:prstGeom>
                        <a:noFill/>
                        <a:ln w="12700" cap="flat" cmpd="sng" algn="ctr">
                          <a:solidFill>
                            <a:sysClr val="windowText" lastClr="000000"/>
                          </a:solidFill>
                          <a:prstDash val="solid"/>
                          <a:miter lim="800000"/>
                        </a:ln>
                        <a:effectLst/>
                      </wps:spPr>
                      <wps:txbx>
                        <w:txbxContent>
                          <w:p w14:paraId="6F4760D0"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Reports not retrieved</w:t>
                            </w:r>
                          </w:p>
                          <w:p w14:paraId="2059F134"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(n =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83C481" id="Rectangle 10" o:spid="_x0000_s1038" style="position:absolute;margin-left:333.05pt;margin-top:5.25pt;width:148.6pt;height:41.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" filled="f" strokecolor="windowText" strokeweight="1pt">
                <v:textbox>
                  <w:txbxContent>
                    <w:p w14:paraId="6F4760D0"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Reports not </w:t>
                      </w:r>
                      <w:proofErr w:type="gramStart"/>
                      <w:r w:rsidRPr="00AD0CB9">
                        <w:rPr>
                          <w:rFonts w:ascii="Arial" w:hAnsi="Arial" w:cs="Arial"/>
                          <w:color w:val="000000"/>
                          <w:sz w:val="18"/>
                          <w:szCs w:val="20"/>
                        </w:rPr>
                        <w:t>retrieved</w:t>
                      </w:r>
                      <w:proofErr w:type="gramEnd"/>
                    </w:p>
                    <w:p w14:paraId="2059F134"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(n = 2)</w:t>
                      </w:r>
                    </w:p>
                  </w:txbxContent>
                </v:textbox>
              </v:rect>
            </w:pict>
          </mc:Fallback>
        </mc:AlternateContent>
      </w:r>
    </w:p>
    <w:p w14:paraId="14513883"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76672" behindDoc="0" locked="0" layoutInCell="1" allowOverlap="1" wp14:anchorId="535FE162" wp14:editId="20565A26">
                <wp:simplePos x="0" y="0"/>
                <wp:positionH relativeFrom="column">
                  <wp:posOffset>-1454163</wp:posOffset>
                </wp:positionH>
                <wp:positionV relativeFrom="paragraph">
                  <wp:posOffset>247968</wp:posOffset>
                </wp:positionV>
                <wp:extent cx="2666365" cy="262890"/>
                <wp:effectExtent l="1588" t="0" r="21272" b="21273"/>
                <wp:wrapNone/>
                <wp:docPr id="32" name="Flowchart: Alternate Process 32"/>
                <wp:cNvGraphicFramePr/>
                <a:graphic xmlns:a="http://schemas.openxmlformats.org/drawingml/2006/main">
                  <a:graphicData uri="http://schemas.microsoft.com/office/word/2010/wordprocessingShape">
                    <wps:wsp>
                      <wps:cNvSpPr/>
                      <wps:spPr>
                        <a:xfrm rot="16200000">
                          <a:off x="0" y="0"/>
                          <a:ext cx="2666365" cy="262890"/>
                        </a:xfrm>
                        <a:prstGeom prst="flowChartAlternateProcess">
                          <a:avLst/>
                        </a:prstGeom>
                        <a:solidFill>
                          <a:srgbClr val="5B9BD5">
                            <a:lumMod val="60000"/>
                            <a:lumOff val="40000"/>
                          </a:srgbClr>
                        </a:solidFill>
                        <a:ln w="12700" cap="flat" cmpd="sng" algn="ctr">
                          <a:solidFill>
                            <a:sysClr val="windowText" lastClr="000000"/>
                          </a:solidFill>
                          <a:prstDash val="solid"/>
                          <a:miter lim="800000"/>
                        </a:ln>
                        <a:effectLst/>
                      </wps:spPr>
                      <wps:txbx>
                        <w:txbxContent>
                          <w:p w14:paraId="35872DD6" w14:textId="77777777" w:rsidR="00691EB0" w:rsidRPr="00AD0CB9" w:rsidRDefault="00691EB0" w:rsidP="00691EB0">
                            <w:pPr>
                              <w:spacing w:after="0" w:line="240" w:lineRule="auto"/>
                              <w:jc w:val="center"/>
                              <w:rPr>
                                <w:rFonts w:ascii="Arial" w:hAnsi="Arial" w:cs="Arial"/>
                                <w:b/>
                                <w:color w:val="000000"/>
                                <w:sz w:val="18"/>
                                <w:szCs w:val="18"/>
                              </w:rPr>
                            </w:pPr>
                            <w:r w:rsidRPr="00AD0CB9">
                              <w:rPr>
                                <w:rFonts w:ascii="Arial" w:hAnsi="Arial" w:cs="Arial"/>
                                <w:b/>
                                <w:color w:val="000000"/>
                                <w:sz w:val="18"/>
                                <w:szCs w:val="18"/>
                              </w:rPr>
                              <w:t>Screening</w:t>
                            </w:r>
                          </w:p>
                          <w:p w14:paraId="1DF62B55" w14:textId="77777777" w:rsidR="00691EB0" w:rsidRPr="00AD0CB9" w:rsidRDefault="00691EB0" w:rsidP="00691EB0">
                            <w:pPr>
                              <w:spacing w:after="0" w:line="240" w:lineRule="auto"/>
                              <w:rPr>
                                <w:rFonts w:ascii="Arial" w:hAnsi="Arial" w:cs="Arial"/>
                                <w:b/>
                                <w:color w:val="000000"/>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5FE162" id="Flowchart: Alternate Process 32" o:spid="_x0000_s1039" type="#_x0000_t176" style="position:absolute;margin-left:-114.5pt;margin-top:19.55pt;width:209.95pt;height:20.7pt;rotation:-9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" fillcolor="#9dc3e6" strokecolor="windowText" strokeweight="1pt">
                <v:textbox>
                  <w:txbxContent>
                    <w:p w14:paraId="35872DD6" w14:textId="77777777" w:rsidR="00691EB0" w:rsidRPr="00AD0CB9" w:rsidRDefault="00691EB0" w:rsidP="00691EB0">
                      <w:pPr>
                        <w:spacing w:after="0" w:line="240" w:lineRule="auto"/>
                        <w:jc w:val="center"/>
                        <w:rPr>
                          <w:rFonts w:ascii="Arial" w:hAnsi="Arial" w:cs="Arial"/>
                          <w:b/>
                          <w:color w:val="000000"/>
                          <w:sz w:val="18"/>
                          <w:szCs w:val="18"/>
                        </w:rPr>
                      </w:pPr>
                      <w:r w:rsidRPr="00AD0CB9">
                        <w:rPr>
                          <w:rFonts w:ascii="Arial" w:hAnsi="Arial" w:cs="Arial"/>
                          <w:b/>
                          <w:color w:val="000000"/>
                          <w:sz w:val="18"/>
                          <w:szCs w:val="18"/>
                        </w:rPr>
                        <w:t>Screening</w:t>
                      </w:r>
                    </w:p>
                    <w:p w14:paraId="1DF62B55" w14:textId="77777777" w:rsidR="00691EB0" w:rsidRPr="00AD0CB9" w:rsidRDefault="00691EB0" w:rsidP="00691EB0">
                      <w:pPr>
                        <w:spacing w:after="0" w:line="240" w:lineRule="auto"/>
                        <w:rPr>
                          <w:rFonts w:ascii="Arial" w:hAnsi="Arial" w:cs="Arial"/>
                          <w:b/>
                          <w:color w:val="000000"/>
                          <w:sz w:val="18"/>
                          <w:szCs w:val="18"/>
                        </w:rPr>
                      </w:pPr>
                    </w:p>
                  </w:txbxContent>
                </v:textbox>
              </v:shape>
            </w:pict>
          </mc:Fallback>
        </mc:AlternateContent>
      </w:r>
    </w:p>
    <w:p w14:paraId="0AF1C5CC" w14:textId="77777777" w:rsidR="00691EB0" w:rsidRPr="00AD0CB9" w:rsidRDefault="00691EB0" w:rsidP="00691EB0">
      <w:pPr>
        <w:spacing w:after="0" w:line="240" w:lineRule="auto"/>
        <w:rPr>
          <w:rFonts w:ascii="Calibri" w:eastAsia="Calibri" w:hAnsi="Calibri" w:cs="Times New Roman"/>
          <w:lang w:val="en-AU"/>
        </w:rPr>
      </w:pPr>
    </w:p>
    <w:p w14:paraId="783DCC2B"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80768" behindDoc="0" locked="0" layoutInCell="1" allowOverlap="1" wp14:anchorId="2BCD2CB6" wp14:editId="793911D6">
                <wp:simplePos x="0" y="0"/>
                <wp:positionH relativeFrom="column">
                  <wp:posOffset>2616835</wp:posOffset>
                </wp:positionH>
                <wp:positionV relativeFrom="paragraph">
                  <wp:posOffset>62865</wp:posOffset>
                </wp:positionV>
                <wp:extent cx="0" cy="281305"/>
                <wp:effectExtent l="76200" t="0" r="57150" b="61595"/>
                <wp:wrapNone/>
                <wp:docPr id="36" name="Straight Arrow Connector 36"/>
                <wp:cNvGraphicFramePr/>
                <a:graphic xmlns:a="http://schemas.openxmlformats.org/drawingml/2006/main">
                  <a:graphicData uri="http://schemas.microsoft.com/office/word/2010/wordprocessingShape">
                    <wps:wsp>
                      <wps:cNvCnPr/>
                      <wps:spPr>
                        <a:xfrm>
                          <a:off x="0" y="0"/>
                          <a:ext cx="0" cy="28130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893DE12" id="Straight Arrow Connector 36" o:spid="_x0000_s1026" type="#_x0000_t32" style="position:absolute;margin-left:206.05pt;margin-top:4.95pt;width:0;height:22.1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" strokecolor="windowText" strokeweight=".5pt">
                <v:stroke endarrow="block" joinstyle="miter"/>
              </v:shape>
            </w:pict>
          </mc:Fallback>
        </mc:AlternateContent>
      </w:r>
    </w:p>
    <w:p w14:paraId="75CE7C23" w14:textId="77777777" w:rsidR="00691EB0" w:rsidRPr="00AD0CB9" w:rsidRDefault="00691EB0" w:rsidP="00691EB0">
      <w:pPr>
        <w:spacing w:after="0" w:line="240" w:lineRule="auto"/>
        <w:rPr>
          <w:rFonts w:ascii="Calibri" w:eastAsia="Calibri" w:hAnsi="Calibri" w:cs="Times New Roman"/>
          <w:lang w:val="en-AU"/>
        </w:rPr>
      </w:pPr>
    </w:p>
    <w:p w14:paraId="0D7D47EC"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68480" behindDoc="0" locked="0" layoutInCell="1" allowOverlap="1" wp14:anchorId="1D6E4923" wp14:editId="2AF88A13">
                <wp:simplePos x="0" y="0"/>
                <wp:positionH relativeFrom="column">
                  <wp:posOffset>4235450</wp:posOffset>
                </wp:positionH>
                <wp:positionV relativeFrom="paragraph">
                  <wp:posOffset>10796</wp:posOffset>
                </wp:positionV>
                <wp:extent cx="1887220" cy="990600"/>
                <wp:effectExtent l="0" t="0" r="17780" b="19050"/>
                <wp:wrapNone/>
                <wp:docPr id="11" name="Rectangle 11"/>
                <wp:cNvGraphicFramePr/>
                <a:graphic xmlns:a="http://schemas.openxmlformats.org/drawingml/2006/main">
                  <a:graphicData uri="http://schemas.microsoft.com/office/word/2010/wordprocessingShape">
                    <wps:wsp>
                      <wps:cNvSpPr/>
                      <wps:spPr>
                        <a:xfrm>
                          <a:off x="0" y="0"/>
                          <a:ext cx="1887220" cy="990600"/>
                        </a:xfrm>
                        <a:prstGeom prst="rect">
                          <a:avLst/>
                        </a:prstGeom>
                        <a:noFill/>
                        <a:ln w="12700" cap="flat" cmpd="sng" algn="ctr">
                          <a:solidFill>
                            <a:sysClr val="windowText" lastClr="000000"/>
                          </a:solidFill>
                          <a:prstDash val="solid"/>
                          <a:miter lim="800000"/>
                        </a:ln>
                        <a:effectLst/>
                      </wps:spPr>
                      <wps:txbx>
                        <w:txbxContent>
                          <w:p w14:paraId="07E92563"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Reports excluded: 25</w:t>
                            </w:r>
                          </w:p>
                          <w:p w14:paraId="164C01B6" w14:textId="66CDB860" w:rsidR="00691EB0" w:rsidRPr="00AD0CB9" w:rsidRDefault="00956D1C" w:rsidP="00691EB0">
                            <w:pPr>
                              <w:spacing w:after="0" w:line="240" w:lineRule="auto"/>
                              <w:ind w:left="284"/>
                              <w:rPr>
                                <w:rFonts w:ascii="Arial" w:hAnsi="Arial" w:cs="Arial"/>
                                <w:color w:val="000000"/>
                                <w:sz w:val="18"/>
                                <w:szCs w:val="20"/>
                              </w:rPr>
                            </w:pPr>
                            <w:r>
                              <w:rPr>
                                <w:rFonts w:ascii="Arial" w:hAnsi="Arial" w:cs="Arial"/>
                                <w:color w:val="000000"/>
                                <w:sz w:val="18"/>
                                <w:szCs w:val="20"/>
                              </w:rPr>
                              <w:t>(</w:t>
                            </w:r>
                            <w:r w:rsidR="00691EB0" w:rsidRPr="00AD0CB9">
                              <w:rPr>
                                <w:rFonts w:ascii="Arial" w:hAnsi="Arial" w:cs="Arial"/>
                                <w:color w:val="000000"/>
                                <w:sz w:val="18"/>
                                <w:szCs w:val="20"/>
                              </w:rPr>
                              <w:t>Lack sufficient description of CHW/HF supplies= 25)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6E4923" id="Rectangle 11" o:spid="_x0000_s1040" style="position:absolute;margin-left:333.5pt;margin-top:.85pt;width:148.6pt;height:7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" filled="f" strokecolor="windowText" strokeweight="1pt">
                <v:textbox>
                  <w:txbxContent>
                    <w:p w14:paraId="07E92563"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Reports excluded: 25</w:t>
                      </w:r>
                    </w:p>
                    <w:p w14:paraId="164C01B6" w14:textId="66CDB860" w:rsidR="00691EB0" w:rsidRPr="00AD0CB9" w:rsidRDefault="00956D1C" w:rsidP="00691EB0">
                      <w:pPr>
                        <w:spacing w:after="0" w:line="240" w:lineRule="auto"/>
                        <w:ind w:left="284"/>
                        <w:rPr>
                          <w:rFonts w:ascii="Arial" w:hAnsi="Arial" w:cs="Arial"/>
                          <w:color w:val="000000"/>
                          <w:sz w:val="18"/>
                          <w:szCs w:val="20"/>
                        </w:rPr>
                      </w:pPr>
                      <w:r>
                        <w:rPr>
                          <w:rFonts w:ascii="Arial" w:hAnsi="Arial" w:cs="Arial"/>
                          <w:color w:val="000000"/>
                          <w:sz w:val="18"/>
                          <w:szCs w:val="20"/>
                        </w:rPr>
                        <w:t>(</w:t>
                      </w:r>
                      <w:r w:rsidR="00691EB0" w:rsidRPr="00AD0CB9">
                        <w:rPr>
                          <w:rFonts w:ascii="Arial" w:hAnsi="Arial" w:cs="Arial"/>
                          <w:color w:val="000000"/>
                          <w:sz w:val="18"/>
                          <w:szCs w:val="20"/>
                        </w:rPr>
                        <w:t>Lack sufficient description of CHW/HF supplies= 25)</w:t>
                      </w:r>
                    </w:p>
                  </w:txbxContent>
                </v:textbox>
              </v:rect>
            </w:pict>
          </mc:Fallback>
        </mc:AlternateContent>
      </w:r>
    </w:p>
    <w:p w14:paraId="1A3CF04B" w14:textId="77777777" w:rsidR="00691EB0" w:rsidRPr="00AD0CB9" w:rsidRDefault="00691EB0" w:rsidP="00691EB0">
      <w:pPr>
        <w:spacing w:after="0" w:line="240" w:lineRule="auto"/>
        <w:rPr>
          <w:rFonts w:ascii="Calibri" w:eastAsia="Calibri" w:hAnsi="Calibri" w:cs="Times New Roman"/>
          <w:lang w:val="en-AU"/>
        </w:rPr>
      </w:pPr>
    </w:p>
    <w:p w14:paraId="2EDB32A2" w14:textId="77777777" w:rsidR="00691EB0" w:rsidRPr="00AD0CB9" w:rsidRDefault="00691EB0" w:rsidP="00691EB0">
      <w:pPr>
        <w:spacing w:after="0" w:line="240" w:lineRule="auto"/>
        <w:rPr>
          <w:rFonts w:ascii="Calibri" w:eastAsia="Calibri" w:hAnsi="Calibri" w:cs="Times New Roman"/>
          <w:lang w:val="en-AU"/>
        </w:rPr>
      </w:pPr>
    </w:p>
    <w:p w14:paraId="2A322BF9" w14:textId="77777777" w:rsidR="00691EB0" w:rsidRPr="00AD0CB9" w:rsidRDefault="00691EB0" w:rsidP="00691EB0">
      <w:pPr>
        <w:spacing w:after="0" w:line="240" w:lineRule="auto"/>
        <w:rPr>
          <w:rFonts w:ascii="Calibri" w:eastAsia="Calibri" w:hAnsi="Calibri" w:cs="Times New Roman"/>
          <w:lang w:val="en-AU"/>
        </w:rPr>
      </w:pPr>
    </w:p>
    <w:p w14:paraId="61CDAEFF" w14:textId="77777777" w:rsidR="00691EB0" w:rsidRPr="00AD0CB9" w:rsidRDefault="00691EB0" w:rsidP="00691EB0">
      <w:pPr>
        <w:spacing w:after="0" w:line="240" w:lineRule="auto"/>
        <w:rPr>
          <w:rFonts w:ascii="Calibri" w:eastAsia="Calibri" w:hAnsi="Calibri" w:cs="Times New Roman"/>
          <w:lang w:val="en-AU"/>
        </w:rPr>
      </w:pPr>
    </w:p>
    <w:p w14:paraId="2ABF47AD" w14:textId="77777777" w:rsidR="00691EB0" w:rsidRPr="00AD0CB9" w:rsidRDefault="00691EB0" w:rsidP="00691EB0">
      <w:pPr>
        <w:spacing w:after="0" w:line="240" w:lineRule="auto"/>
        <w:rPr>
          <w:rFonts w:ascii="Calibri" w:eastAsia="Calibri" w:hAnsi="Calibri" w:cs="Times New Roman"/>
          <w:lang w:val="en-AU"/>
        </w:rPr>
      </w:pPr>
    </w:p>
    <w:p w14:paraId="072D85ED" w14:textId="77777777" w:rsidR="00691EB0" w:rsidRPr="00AD0CB9" w:rsidRDefault="00691EB0" w:rsidP="00691EB0">
      <w:pPr>
        <w:spacing w:after="0" w:line="240" w:lineRule="auto"/>
        <w:rPr>
          <w:rFonts w:ascii="Calibri" w:eastAsia="Calibri" w:hAnsi="Calibri" w:cs="Times New Roman"/>
          <w:lang w:val="en-AU"/>
        </w:rPr>
      </w:pPr>
    </w:p>
    <w:p w14:paraId="787792E9"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69504" behindDoc="0" locked="0" layoutInCell="1" allowOverlap="1" wp14:anchorId="1BD5C3E3" wp14:editId="72C88BCA">
                <wp:simplePos x="0" y="0"/>
                <wp:positionH relativeFrom="column">
                  <wp:posOffset>1732610</wp:posOffset>
                </wp:positionH>
                <wp:positionV relativeFrom="paragraph">
                  <wp:posOffset>2540</wp:posOffset>
                </wp:positionV>
                <wp:extent cx="1887220" cy="723900"/>
                <wp:effectExtent l="0" t="0" r="17780" b="19050"/>
                <wp:wrapNone/>
                <wp:docPr id="13" name="Rectangle 13"/>
                <wp:cNvGraphicFramePr/>
                <a:graphic xmlns:a="http://schemas.openxmlformats.org/drawingml/2006/main">
                  <a:graphicData uri="http://schemas.microsoft.com/office/word/2010/wordprocessingShape">
                    <wps:wsp>
                      <wps:cNvSpPr/>
                      <wps:spPr>
                        <a:xfrm>
                          <a:off x="0" y="0"/>
                          <a:ext cx="1887220" cy="723900"/>
                        </a:xfrm>
                        <a:prstGeom prst="rect">
                          <a:avLst/>
                        </a:prstGeom>
                        <a:noFill/>
                        <a:ln w="12700" cap="flat" cmpd="sng" algn="ctr">
                          <a:solidFill>
                            <a:sysClr val="windowText" lastClr="000000"/>
                          </a:solidFill>
                          <a:prstDash val="solid"/>
                          <a:miter lim="800000"/>
                        </a:ln>
                        <a:effectLst/>
                      </wps:spPr>
                      <wps:txbx>
                        <w:txbxContent>
                          <w:p w14:paraId="475EBBFE"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New studies included in review</w:t>
                            </w:r>
                          </w:p>
                          <w:p w14:paraId="185ECBA1"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(n = </w:t>
                            </w:r>
                            <w:r>
                              <w:rPr>
                                <w:rFonts w:ascii="Arial" w:hAnsi="Arial" w:cs="Arial"/>
                                <w:color w:val="000000"/>
                                <w:sz w:val="18"/>
                                <w:szCs w:val="20"/>
                              </w:rPr>
                              <w:t>44</w:t>
                            </w:r>
                            <w:r w:rsidRPr="00AD0CB9">
                              <w:rPr>
                                <w:rFonts w:ascii="Arial" w:hAnsi="Arial" w:cs="Arial"/>
                                <w:color w:val="000000"/>
                                <w:sz w:val="18"/>
                                <w:szCs w:val="20"/>
                              </w:rPr>
                              <w:t>)</w:t>
                            </w:r>
                          </w:p>
                          <w:p w14:paraId="07B6967D"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Reports of new included studies</w:t>
                            </w:r>
                          </w:p>
                          <w:p w14:paraId="02B7F954" w14:textId="7543246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(n = </w:t>
                            </w:r>
                            <w:r w:rsidR="00ED3D23">
                              <w:rPr>
                                <w:rFonts w:ascii="Arial" w:hAnsi="Arial" w:cs="Arial"/>
                                <w:color w:val="000000"/>
                                <w:sz w:val="18"/>
                                <w:szCs w:val="20"/>
                              </w:rPr>
                              <w:t>44</w:t>
                            </w:r>
                            <w:r w:rsidRPr="00AD0CB9">
                              <w:rPr>
                                <w:rFonts w:ascii="Arial" w:hAnsi="Arial" w:cs="Arial"/>
                                <w:color w:val="000000"/>
                                <w:sz w:val="18"/>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D5C3E3" id="Rectangle 13" o:spid="_x0000_s1041" style="position:absolute;margin-left:136.45pt;margin-top:.2pt;width:148.6pt;height:5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" filled="f" strokecolor="windowText" strokeweight="1pt">
                <v:textbox>
                  <w:txbxContent>
                    <w:p w14:paraId="475EBBFE"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New studies included in review</w:t>
                      </w:r>
                    </w:p>
                    <w:p w14:paraId="185ECBA1"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(n = </w:t>
                      </w:r>
                      <w:r>
                        <w:rPr>
                          <w:rFonts w:ascii="Arial" w:hAnsi="Arial" w:cs="Arial"/>
                          <w:color w:val="000000"/>
                          <w:sz w:val="18"/>
                          <w:szCs w:val="20"/>
                        </w:rPr>
                        <w:t>44</w:t>
                      </w:r>
                      <w:r w:rsidRPr="00AD0CB9">
                        <w:rPr>
                          <w:rFonts w:ascii="Arial" w:hAnsi="Arial" w:cs="Arial"/>
                          <w:color w:val="000000"/>
                          <w:sz w:val="18"/>
                          <w:szCs w:val="20"/>
                        </w:rPr>
                        <w:t>)</w:t>
                      </w:r>
                    </w:p>
                    <w:p w14:paraId="07B6967D" w14:textId="7777777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Reports of new included studies</w:t>
                      </w:r>
                    </w:p>
                    <w:p w14:paraId="02B7F954" w14:textId="75432467" w:rsidR="00691EB0" w:rsidRPr="00AD0CB9" w:rsidRDefault="00691EB0" w:rsidP="00691EB0">
                      <w:pPr>
                        <w:spacing w:after="0" w:line="240" w:lineRule="auto"/>
                        <w:rPr>
                          <w:rFonts w:ascii="Arial" w:hAnsi="Arial" w:cs="Arial"/>
                          <w:color w:val="000000"/>
                          <w:sz w:val="18"/>
                          <w:szCs w:val="20"/>
                        </w:rPr>
                      </w:pPr>
                      <w:r w:rsidRPr="00AD0CB9">
                        <w:rPr>
                          <w:rFonts w:ascii="Arial" w:hAnsi="Arial" w:cs="Arial"/>
                          <w:color w:val="000000"/>
                          <w:sz w:val="18"/>
                          <w:szCs w:val="20"/>
                        </w:rPr>
                        <w:t xml:space="preserve">(n = </w:t>
                      </w:r>
                      <w:r w:rsidR="00ED3D23">
                        <w:rPr>
                          <w:rFonts w:ascii="Arial" w:hAnsi="Arial" w:cs="Arial"/>
                          <w:color w:val="000000"/>
                          <w:sz w:val="18"/>
                          <w:szCs w:val="20"/>
                        </w:rPr>
                        <w:t>44</w:t>
                      </w:r>
                      <w:r w:rsidRPr="00AD0CB9">
                        <w:rPr>
                          <w:rFonts w:ascii="Arial" w:hAnsi="Arial" w:cs="Arial"/>
                          <w:color w:val="000000"/>
                          <w:sz w:val="18"/>
                          <w:szCs w:val="20"/>
                        </w:rPr>
                        <w:t>)</w:t>
                      </w:r>
                    </w:p>
                  </w:txbxContent>
                </v:textbox>
              </v:rect>
            </w:pict>
          </mc:Fallback>
        </mc:AlternateContent>
      </w:r>
    </w:p>
    <w:p w14:paraId="1E4BEF3B" w14:textId="77777777" w:rsidR="00691EB0" w:rsidRPr="00AD0CB9" w:rsidRDefault="00691EB0" w:rsidP="00691EB0">
      <w:pPr>
        <w:spacing w:after="0" w:line="240" w:lineRule="auto"/>
        <w:rPr>
          <w:rFonts w:ascii="Calibri" w:eastAsia="Calibri" w:hAnsi="Calibri" w:cs="Times New Roman"/>
          <w:lang w:val="en-AU"/>
        </w:rPr>
      </w:pPr>
    </w:p>
    <w:p w14:paraId="62256434" w14:textId="77777777" w:rsidR="00691EB0" w:rsidRPr="00AD0CB9" w:rsidRDefault="00691EB0" w:rsidP="00691EB0">
      <w:pPr>
        <w:spacing w:after="0" w:line="240" w:lineRule="auto"/>
        <w:rPr>
          <w:rFonts w:ascii="Calibri" w:eastAsia="Calibri" w:hAnsi="Calibri" w:cs="Times New Roman"/>
          <w:lang w:val="en-AU"/>
        </w:rPr>
      </w:pPr>
    </w:p>
    <w:p w14:paraId="4F81FA74"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77696" behindDoc="0" locked="0" layoutInCell="1" allowOverlap="1" wp14:anchorId="12A7CAA8" wp14:editId="4A1655B0">
                <wp:simplePos x="0" y="0"/>
                <wp:positionH relativeFrom="column">
                  <wp:posOffset>-995998</wp:posOffset>
                </wp:positionH>
                <wp:positionV relativeFrom="paragraph">
                  <wp:posOffset>224473</wp:posOffset>
                </wp:positionV>
                <wp:extent cx="1776095" cy="262890"/>
                <wp:effectExtent l="0" t="5397" r="28257" b="28258"/>
                <wp:wrapNone/>
                <wp:docPr id="33" name="Flowchart: Alternate Process 33"/>
                <wp:cNvGraphicFramePr/>
                <a:graphic xmlns:a="http://schemas.openxmlformats.org/drawingml/2006/main">
                  <a:graphicData uri="http://schemas.microsoft.com/office/word/2010/wordprocessingShape">
                    <wps:wsp>
                      <wps:cNvSpPr/>
                      <wps:spPr>
                        <a:xfrm rot="16200000">
                          <a:off x="0" y="0"/>
                          <a:ext cx="1776095" cy="262890"/>
                        </a:xfrm>
                        <a:prstGeom prst="flowChartAlternateProcess">
                          <a:avLst/>
                        </a:prstGeom>
                        <a:solidFill>
                          <a:srgbClr val="5B9BD5">
                            <a:lumMod val="60000"/>
                            <a:lumOff val="40000"/>
                          </a:srgbClr>
                        </a:solidFill>
                        <a:ln w="12700" cap="flat" cmpd="sng" algn="ctr">
                          <a:solidFill>
                            <a:sysClr val="windowText" lastClr="000000"/>
                          </a:solidFill>
                          <a:prstDash val="solid"/>
                          <a:miter lim="800000"/>
                        </a:ln>
                        <a:effectLst/>
                      </wps:spPr>
                      <wps:txbx>
                        <w:txbxContent>
                          <w:p w14:paraId="66E4BCAB" w14:textId="77777777" w:rsidR="00691EB0" w:rsidRPr="00AD0CB9" w:rsidRDefault="00691EB0" w:rsidP="00691EB0">
                            <w:pPr>
                              <w:spacing w:after="0" w:line="240" w:lineRule="auto"/>
                              <w:jc w:val="center"/>
                              <w:rPr>
                                <w:rFonts w:ascii="Arial" w:hAnsi="Arial" w:cs="Arial"/>
                                <w:b/>
                                <w:color w:val="000000"/>
                                <w:sz w:val="18"/>
                                <w:szCs w:val="18"/>
                              </w:rPr>
                            </w:pPr>
                            <w:r w:rsidRPr="00AD0CB9">
                              <w:rPr>
                                <w:rFonts w:ascii="Arial" w:hAnsi="Arial" w:cs="Arial"/>
                                <w:b/>
                                <w:color w:val="000000"/>
                                <w:sz w:val="18"/>
                                <w:szCs w:val="18"/>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A7CAA8" id="Flowchart: Alternate Process 33" o:spid="_x0000_s1042" type="#_x0000_t176" style="position:absolute;margin-left:-78.45pt;margin-top:17.7pt;width:139.85pt;height:20.7pt;rotation:-9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" fillcolor="#9dc3e6" strokecolor="windowText" strokeweight="1pt">
                <v:textbox>
                  <w:txbxContent>
                    <w:p w14:paraId="66E4BCAB" w14:textId="77777777" w:rsidR="00691EB0" w:rsidRPr="00AD0CB9" w:rsidRDefault="00691EB0" w:rsidP="00691EB0">
                      <w:pPr>
                        <w:spacing w:after="0" w:line="240" w:lineRule="auto"/>
                        <w:jc w:val="center"/>
                        <w:rPr>
                          <w:rFonts w:ascii="Arial" w:hAnsi="Arial" w:cs="Arial"/>
                          <w:b/>
                          <w:color w:val="000000"/>
                          <w:sz w:val="18"/>
                          <w:szCs w:val="18"/>
                        </w:rPr>
                      </w:pPr>
                      <w:r w:rsidRPr="00AD0CB9">
                        <w:rPr>
                          <w:rFonts w:ascii="Arial" w:hAnsi="Arial" w:cs="Arial"/>
                          <w:b/>
                          <w:color w:val="000000"/>
                          <w:sz w:val="18"/>
                          <w:szCs w:val="18"/>
                        </w:rPr>
                        <w:t>Included</w:t>
                      </w:r>
                    </w:p>
                  </w:txbxContent>
                </v:textbox>
              </v:shape>
            </w:pict>
          </mc:Fallback>
        </mc:AlternateContent>
      </w:r>
    </w:p>
    <w:p w14:paraId="48720CA1" w14:textId="77777777" w:rsidR="00691EB0" w:rsidRPr="00AD0CB9" w:rsidRDefault="00691EB0" w:rsidP="00691EB0">
      <w:pPr>
        <w:spacing w:after="0" w:line="240" w:lineRule="auto"/>
        <w:rPr>
          <w:rFonts w:ascii="Calibri" w:eastAsia="Calibri" w:hAnsi="Calibri" w:cs="Times New Roman"/>
          <w:lang w:val="en-AU"/>
        </w:rPr>
      </w:pPr>
      <w:r w:rsidRPr="00AD0CB9">
        <w:rPr>
          <w:rFonts w:ascii="Calibri" w:eastAsia="Calibri" w:hAnsi="Calibri" w:cs="Times New Roman"/>
          <w:noProof/>
          <w:lang w:val="en-AU"/>
        </w:rPr>
        <mc:AlternateContent>
          <mc:Choice Requires="wps">
            <w:drawing>
              <wp:anchor distT="0" distB="0" distL="114300" distR="114300" simplePos="0" relativeHeight="251683840" behindDoc="0" locked="0" layoutInCell="1" allowOverlap="1" wp14:anchorId="55E225CA" wp14:editId="5FD0A2F4">
                <wp:simplePos x="0" y="0"/>
                <wp:positionH relativeFrom="column">
                  <wp:posOffset>2636215</wp:posOffset>
                </wp:positionH>
                <wp:positionV relativeFrom="paragraph">
                  <wp:posOffset>58420</wp:posOffset>
                </wp:positionV>
                <wp:extent cx="0" cy="281305"/>
                <wp:effectExtent l="76200" t="0" r="57150" b="61595"/>
                <wp:wrapNone/>
                <wp:docPr id="19" name="Straight Arrow Connector 19"/>
                <wp:cNvGraphicFramePr/>
                <a:graphic xmlns:a="http://schemas.openxmlformats.org/drawingml/2006/main">
                  <a:graphicData uri="http://schemas.microsoft.com/office/word/2010/wordprocessingShape">
                    <wps:wsp>
                      <wps:cNvCnPr/>
                      <wps:spPr>
                        <a:xfrm>
                          <a:off x="0" y="0"/>
                          <a:ext cx="0" cy="28130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391ED930" id="Straight Arrow Connector 19" o:spid="_x0000_s1026" type="#_x0000_t32" style="position:absolute;margin-left:207.6pt;margin-top:4.6pt;width:0;height:22.1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" strokecolor="windowText" strokeweight=".5pt">
                <v:stroke endarrow="block" joinstyle="miter"/>
              </v:shape>
            </w:pict>
          </mc:Fallback>
        </mc:AlternateContent>
      </w:r>
    </w:p>
    <w:p w14:paraId="5A5B6A2F" w14:textId="77777777" w:rsidR="00691EB0" w:rsidRPr="00AD0CB9" w:rsidRDefault="00691EB0" w:rsidP="00691EB0">
      <w:pPr>
        <w:spacing w:after="0" w:line="240" w:lineRule="auto"/>
        <w:rPr>
          <w:rFonts w:ascii="Calibri" w:eastAsia="Calibri" w:hAnsi="Calibri" w:cs="Times New Roman"/>
          <w:lang w:val="en-AU"/>
        </w:rPr>
      </w:pPr>
    </w:p>
    <w:p w14:paraId="000563EC" w14:textId="77777777" w:rsidR="00691EB0" w:rsidRPr="00AD0CB9" w:rsidRDefault="00691EB0" w:rsidP="00691EB0">
      <w:pPr>
        <w:spacing w:after="0" w:line="240" w:lineRule="auto"/>
        <w:rPr>
          <w:rFonts w:ascii="Calibri" w:eastAsia="Calibri" w:hAnsi="Calibri" w:cs="Times New Roman"/>
          <w:lang w:val="en-AU"/>
        </w:rPr>
      </w:pPr>
    </w:p>
    <w:p w14:paraId="69D6F5DA" w14:textId="77777777" w:rsidR="00691EB0" w:rsidRPr="00AD0CB9" w:rsidRDefault="00691EB0" w:rsidP="00691EB0">
      <w:pPr>
        <w:spacing w:after="0" w:line="240" w:lineRule="auto"/>
        <w:rPr>
          <w:rFonts w:ascii="Calibri" w:eastAsia="Calibri" w:hAnsi="Calibri" w:cs="Times New Roman"/>
          <w:lang w:val="en-AU"/>
        </w:rPr>
      </w:pPr>
    </w:p>
    <w:p w14:paraId="76A290F9" w14:textId="77777777" w:rsidR="00691EB0" w:rsidRPr="00AD0CB9" w:rsidRDefault="00691EB0" w:rsidP="00691EB0">
      <w:pPr>
        <w:spacing w:after="0" w:line="240" w:lineRule="auto"/>
        <w:rPr>
          <w:rFonts w:ascii="Calibri" w:eastAsia="Calibri" w:hAnsi="Calibri" w:cs="Times New Roman"/>
          <w:lang w:val="en-AU"/>
        </w:rPr>
      </w:pPr>
    </w:p>
    <w:p w14:paraId="55A093EC" w14:textId="77777777" w:rsidR="00691EB0" w:rsidRPr="00AD0CB9" w:rsidRDefault="00691EB0" w:rsidP="00691EB0">
      <w:pPr>
        <w:spacing w:after="0" w:line="240" w:lineRule="auto"/>
        <w:rPr>
          <w:rFonts w:ascii="Calibri" w:eastAsia="Calibri" w:hAnsi="Calibri" w:cs="Times New Roman"/>
          <w:lang w:val="en-AU"/>
        </w:rPr>
      </w:pPr>
    </w:p>
    <w:p w14:paraId="0C579B21" w14:textId="77777777" w:rsidR="00691EB0" w:rsidRPr="00AD0CB9" w:rsidRDefault="00691EB0" w:rsidP="00691EB0">
      <w:pPr>
        <w:spacing w:after="0" w:line="240" w:lineRule="auto"/>
        <w:rPr>
          <w:rFonts w:ascii="Calibri" w:eastAsia="Calibri" w:hAnsi="Calibri" w:cs="Times New Roman"/>
          <w:lang w:val="en-AU"/>
        </w:rPr>
      </w:pPr>
    </w:p>
    <w:p w14:paraId="17E70507" w14:textId="77777777" w:rsidR="00691EB0" w:rsidRPr="00AD0CB9" w:rsidRDefault="00691EB0" w:rsidP="00691EB0">
      <w:pPr>
        <w:spacing w:after="0" w:line="240" w:lineRule="auto"/>
        <w:rPr>
          <w:rFonts w:ascii="Calibri" w:eastAsia="Calibri" w:hAnsi="Calibri" w:cs="Times New Roman"/>
          <w:lang w:val="en-AU"/>
        </w:rPr>
      </w:pPr>
    </w:p>
    <w:p w14:paraId="14B88E53" w14:textId="77777777" w:rsidR="00691EB0" w:rsidRPr="00AD0CB9" w:rsidRDefault="00691EB0" w:rsidP="00691EB0">
      <w:pPr>
        <w:spacing w:after="0" w:line="240" w:lineRule="auto"/>
        <w:rPr>
          <w:rFonts w:ascii="Calibri" w:eastAsia="Calibri" w:hAnsi="Calibri" w:cs="Times New Roman"/>
          <w:lang w:val="en-AU"/>
        </w:rPr>
      </w:pPr>
    </w:p>
    <w:p w14:paraId="0738C326" w14:textId="77777777" w:rsidR="00691EB0" w:rsidRPr="00AD0CB9" w:rsidRDefault="00691EB0" w:rsidP="00691EB0">
      <w:pPr>
        <w:spacing w:line="240" w:lineRule="auto"/>
        <w:rPr>
          <w:rFonts w:ascii="Arial" w:eastAsia="Times New Roman" w:hAnsi="Arial" w:cs="Arial"/>
          <w:sz w:val="18"/>
          <w:szCs w:val="18"/>
          <w:lang w:val="en-AU" w:eastAsia="zh-CN"/>
        </w:rPr>
      </w:pPr>
      <w:r w:rsidRPr="00AD0CB9">
        <w:rPr>
          <w:rFonts w:ascii="Arial" w:eastAsia="Times New Roman" w:hAnsi="Arial" w:cs="Arial"/>
          <w:sz w:val="18"/>
          <w:szCs w:val="18"/>
          <w:lang w:val="en-AU" w:eastAsia="zh-CN"/>
        </w:rPr>
        <w:t>*Consider, if feasible to do so, reporting the number of records identified from each database or register searched (rather than the total number across all databases/registers).</w:t>
      </w:r>
    </w:p>
    <w:p w14:paraId="7A487920" w14:textId="38534EA2" w:rsidR="00691EB0" w:rsidRDefault="00691EB0" w:rsidP="00691EB0">
      <w:pPr>
        <w:spacing w:line="240" w:lineRule="auto"/>
        <w:rPr>
          <w:rFonts w:ascii="Arial" w:hAnsi="Arial" w:cs="Arial"/>
          <w:color w:val="202124"/>
          <w:shd w:val="clear" w:color="auto" w:fill="FFFFFF"/>
        </w:rPr>
        <w:sectPr w:rsidR="00691EB0" w:rsidSect="00691EB0">
          <w:headerReference w:type="default" r:id="rId10"/>
          <w:pgSz w:w="12240" w:h="15840"/>
          <w:pgMar w:top="1440" w:right="1089" w:bottom="1440" w:left="1440" w:header="0" w:footer="720" w:gutter="0"/>
          <w:pgNumType w:start="1"/>
          <w:cols w:space="720"/>
          <w:docGrid w:linePitch="299"/>
        </w:sectPr>
      </w:pPr>
      <w:r w:rsidRPr="00AD0CB9">
        <w:rPr>
          <w:rFonts w:ascii="Arial" w:eastAsia="Times New Roman" w:hAnsi="Arial" w:cs="Arial"/>
          <w:sz w:val="18"/>
          <w:szCs w:val="18"/>
          <w:lang w:val="en-AU" w:eastAsia="zh-CN"/>
        </w:rPr>
        <w:t>**If automation tools were used, indicate how many records were excluded by a human and how many were excluded by automation tools.</w:t>
      </w:r>
    </w:p>
    <w:p w14:paraId="35CF9E47" w14:textId="3B104589" w:rsidR="00301FAF" w:rsidRPr="00301FAF" w:rsidRDefault="00301FAF" w:rsidP="00301FAF">
      <w:pPr>
        <w:spacing w:after="0" w:line="240" w:lineRule="auto"/>
        <w:rPr>
          <w:rFonts w:ascii="Arial" w:hAnsi="Arial" w:cs="Arial"/>
          <w:color w:val="202124"/>
          <w:shd w:val="clear" w:color="auto" w:fill="FFFFFF"/>
        </w:rPr>
      </w:pPr>
    </w:p>
    <w:p w14:paraId="78F7D564" w14:textId="77777777" w:rsidR="00301FAF" w:rsidRPr="00301FAF" w:rsidRDefault="00301FAF" w:rsidP="00301FAF">
      <w:pPr>
        <w:spacing w:after="0" w:line="240" w:lineRule="auto"/>
        <w:rPr>
          <w:rFonts w:ascii="Arial" w:hAnsi="Arial" w:cs="Arial"/>
          <w:color w:val="202124"/>
          <w:shd w:val="clear" w:color="auto" w:fill="FFFFFF"/>
        </w:rPr>
      </w:pPr>
    </w:p>
    <w:p w14:paraId="66B6DC2B" w14:textId="267F9ECC" w:rsidR="00AA2DD6" w:rsidRDefault="00691EB0" w:rsidP="00943404">
      <w:pPr>
        <w:rPr>
          <w:rFonts w:ascii="Times New Roman" w:eastAsia="Arial Unicode MS" w:hAnsi="Times New Roman" w:cs="Arial Unicode MS"/>
          <w:b/>
          <w:bCs/>
          <w:i/>
          <w:iCs/>
          <w:color w:val="000000"/>
          <w:sz w:val="24"/>
          <w:szCs w:val="24"/>
          <w:u w:color="000000"/>
        </w:rPr>
      </w:pPr>
      <w:r w:rsidRPr="00874B94">
        <w:rPr>
          <w:rFonts w:ascii="Times New Roman" w:eastAsia="Arial Unicode MS" w:hAnsi="Times New Roman" w:cs="Arial Unicode MS"/>
          <w:color w:val="000000"/>
          <w:sz w:val="24"/>
          <w:szCs w:val="24"/>
          <w:u w:color="000000"/>
        </w:rPr>
        <w:t>A</w:t>
      </w:r>
      <w:r w:rsidR="00874B94">
        <w:rPr>
          <w:rFonts w:ascii="Times New Roman" w:eastAsia="Arial Unicode MS" w:hAnsi="Times New Roman" w:cs="Arial Unicode MS"/>
          <w:color w:val="000000"/>
          <w:sz w:val="24"/>
          <w:szCs w:val="24"/>
          <w:u w:color="000000"/>
        </w:rPr>
        <w:t>ppendix 6</w:t>
      </w:r>
      <w:r w:rsidR="00AA2DD6">
        <w:rPr>
          <w:rFonts w:ascii="Times New Roman" w:eastAsia="Arial Unicode MS" w:hAnsi="Times New Roman" w:cs="Arial Unicode MS"/>
          <w:color w:val="000000"/>
          <w:sz w:val="24"/>
          <w:szCs w:val="24"/>
          <w:u w:color="000000"/>
        </w:rPr>
        <w:t>: Risk of bias of q</w:t>
      </w:r>
      <w:r w:rsidR="00AA2DD6" w:rsidRPr="00AA2DD6">
        <w:rPr>
          <w:rFonts w:ascii="Times New Roman" w:eastAsia="Arial Unicode MS" w:hAnsi="Times New Roman" w:cs="Arial Unicode MS"/>
          <w:color w:val="000000"/>
          <w:sz w:val="24"/>
          <w:szCs w:val="24"/>
          <w:u w:color="000000"/>
        </w:rPr>
        <w:t>uantitative findings</w:t>
      </w:r>
    </w:p>
    <w:p w14:paraId="2DA24F8D" w14:textId="4590D275" w:rsidR="00DA5292" w:rsidRPr="00AA2DD6" w:rsidRDefault="00AA2DD6" w:rsidP="00AA2DD6">
      <w:pPr>
        <w:spacing w:after="0"/>
        <w:rPr>
          <w:rFonts w:ascii="Times New Roman" w:eastAsia="Arial Unicode MS" w:hAnsi="Times New Roman" w:cs="Arial Unicode MS"/>
          <w:color w:val="000000"/>
          <w:sz w:val="24"/>
          <w:szCs w:val="24"/>
          <w:u w:color="000000"/>
        </w:rPr>
      </w:pPr>
      <w:r w:rsidRPr="00AA2DD6">
        <w:rPr>
          <w:rFonts w:ascii="Times New Roman" w:eastAsia="Arial Unicode MS" w:hAnsi="Times New Roman" w:cs="Arial Unicode MS"/>
          <w:color w:val="000000"/>
          <w:sz w:val="24"/>
          <w:szCs w:val="24"/>
          <w:u w:val="single" w:color="000000"/>
        </w:rPr>
        <w:t>Table 6</w:t>
      </w:r>
      <w:r w:rsidRPr="00AA2DD6">
        <w:rPr>
          <w:rFonts w:ascii="Times New Roman" w:eastAsia="Arial Unicode MS" w:hAnsi="Times New Roman" w:cs="Arial Unicode MS"/>
          <w:color w:val="000000"/>
          <w:sz w:val="24"/>
          <w:szCs w:val="24"/>
          <w:u w:color="000000"/>
        </w:rPr>
        <w:t xml:space="preserve">: </w:t>
      </w:r>
      <w:r w:rsidR="009415E8" w:rsidRPr="00AA2DD6">
        <w:rPr>
          <w:rFonts w:ascii="Times New Roman" w:eastAsia="Arial Unicode MS" w:hAnsi="Times New Roman" w:cs="Arial Unicode MS"/>
          <w:color w:val="000000"/>
          <w:sz w:val="24"/>
          <w:szCs w:val="24"/>
          <w:u w:color="000000"/>
        </w:rPr>
        <w:t xml:space="preserve"> </w:t>
      </w:r>
      <w:bookmarkStart w:id="55" w:name="_Hlk73990523"/>
      <w:r w:rsidR="00DA5292" w:rsidRPr="00AA2DD6">
        <w:rPr>
          <w:rFonts w:ascii="Times New Roman" w:eastAsia="Arial Unicode MS" w:hAnsi="Times New Roman" w:cs="Arial Unicode MS"/>
          <w:color w:val="000000"/>
          <w:sz w:val="24"/>
          <w:szCs w:val="24"/>
          <w:u w:color="000000"/>
        </w:rPr>
        <w:t>Risk of bias</w:t>
      </w:r>
      <w:r w:rsidR="00DA5292" w:rsidRPr="00AA2DD6">
        <w:rPr>
          <w:rFonts w:ascii="Calibri" w:eastAsia="Times New Roman" w:hAnsi="Calibri" w:cs="Calibri"/>
          <w:color w:val="000000"/>
          <w:sz w:val="32"/>
          <w:szCs w:val="32"/>
        </w:rPr>
        <w:t xml:space="preserve"> </w:t>
      </w:r>
      <w:r w:rsidRPr="00AA2DD6">
        <w:rPr>
          <w:rFonts w:ascii="Times New Roman" w:eastAsia="Arial Unicode MS" w:hAnsi="Times New Roman" w:cs="Arial Unicode MS"/>
          <w:color w:val="000000"/>
          <w:sz w:val="24"/>
          <w:szCs w:val="24"/>
          <w:u w:color="000000"/>
        </w:rPr>
        <w:t xml:space="preserve">using </w:t>
      </w:r>
      <w:r w:rsidR="00DA5292" w:rsidRPr="00AA2DD6">
        <w:rPr>
          <w:rFonts w:ascii="Times New Roman" w:eastAsia="Arial Unicode MS" w:hAnsi="Times New Roman" w:cs="Arial Unicode MS"/>
          <w:color w:val="000000"/>
          <w:sz w:val="24"/>
          <w:szCs w:val="24"/>
          <w:u w:color="000000"/>
        </w:rPr>
        <w:t>ROBINS</w:t>
      </w:r>
      <w:r>
        <w:rPr>
          <w:rFonts w:ascii="Times New Roman" w:eastAsia="Arial Unicode MS" w:hAnsi="Times New Roman" w:cs="Arial Unicode MS"/>
          <w:color w:val="000000"/>
          <w:sz w:val="24"/>
          <w:szCs w:val="24"/>
          <w:u w:color="000000"/>
        </w:rPr>
        <w:t>-</w:t>
      </w:r>
      <w:r w:rsidR="009415E8" w:rsidRPr="00AA2DD6">
        <w:rPr>
          <w:rFonts w:ascii="Times New Roman" w:eastAsia="Arial Unicode MS" w:hAnsi="Times New Roman" w:cs="Arial Unicode MS"/>
          <w:color w:val="000000"/>
          <w:sz w:val="24"/>
          <w:szCs w:val="24"/>
          <w:u w:color="000000"/>
        </w:rPr>
        <w:t>I</w:t>
      </w:r>
      <w:r w:rsidR="00DA5292" w:rsidRPr="00AA2DD6">
        <w:rPr>
          <w:rFonts w:ascii="Times New Roman" w:eastAsia="Arial Unicode MS" w:hAnsi="Times New Roman" w:cs="Arial Unicode MS"/>
          <w:color w:val="000000"/>
          <w:sz w:val="24"/>
          <w:szCs w:val="24"/>
          <w:u w:color="000000"/>
        </w:rPr>
        <w:t xml:space="preserve"> </w:t>
      </w:r>
      <w:bookmarkEnd w:id="55"/>
      <w:r>
        <w:rPr>
          <w:rFonts w:ascii="Times New Roman" w:eastAsia="Arial Unicode MS" w:hAnsi="Times New Roman" w:cs="Arial Unicode MS"/>
          <w:color w:val="000000"/>
          <w:sz w:val="24"/>
          <w:szCs w:val="24"/>
          <w:u w:color="000000"/>
        </w:rPr>
        <w:t>domains</w:t>
      </w:r>
    </w:p>
    <w:tbl>
      <w:tblPr>
        <w:tblW w:w="13315" w:type="dxa"/>
        <w:jc w:val="center"/>
        <w:tblLook w:val="04A0" w:firstRow="1" w:lastRow="0" w:firstColumn="1" w:lastColumn="0" w:noHBand="0" w:noVBand="1"/>
      </w:tblPr>
      <w:tblGrid>
        <w:gridCol w:w="4045"/>
        <w:gridCol w:w="630"/>
        <w:gridCol w:w="720"/>
        <w:gridCol w:w="809"/>
        <w:gridCol w:w="1261"/>
        <w:gridCol w:w="720"/>
        <w:gridCol w:w="990"/>
        <w:gridCol w:w="990"/>
        <w:gridCol w:w="3150"/>
      </w:tblGrid>
      <w:tr w:rsidR="00DA5292" w:rsidRPr="00DA5292" w14:paraId="5265EEA5" w14:textId="77777777" w:rsidTr="00BD7C50">
        <w:trPr>
          <w:cantSplit/>
          <w:trHeight w:val="1224"/>
          <w:jc w:val="center"/>
        </w:trPr>
        <w:tc>
          <w:tcPr>
            <w:tcW w:w="40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00F59B" w14:textId="4252F070" w:rsidR="00DA5292" w:rsidRPr="00DA5292" w:rsidRDefault="00DA5292" w:rsidP="00DA5292">
            <w:pPr>
              <w:spacing w:after="0" w:line="240" w:lineRule="auto"/>
              <w:rPr>
                <w:rFonts w:ascii="Calibri" w:eastAsia="Times New Roman" w:hAnsi="Calibri" w:cs="Calibri"/>
                <w:color w:val="000000"/>
                <w:sz w:val="18"/>
                <w:szCs w:val="18"/>
              </w:rPr>
            </w:pPr>
            <w:r w:rsidRPr="00DA5292">
              <w:rPr>
                <w:rFonts w:ascii="Calibri" w:eastAsia="Times New Roman" w:hAnsi="Calibri" w:cs="Calibri"/>
                <w:color w:val="000000"/>
                <w:sz w:val="18"/>
                <w:szCs w:val="18"/>
              </w:rPr>
              <w:t>First author</w:t>
            </w:r>
          </w:p>
        </w:tc>
        <w:tc>
          <w:tcPr>
            <w:tcW w:w="630" w:type="dxa"/>
            <w:tcBorders>
              <w:top w:val="single" w:sz="4" w:space="0" w:color="auto"/>
              <w:left w:val="nil"/>
              <w:bottom w:val="single" w:sz="4" w:space="0" w:color="auto"/>
              <w:right w:val="single" w:sz="4" w:space="0" w:color="auto"/>
            </w:tcBorders>
            <w:shd w:val="clear" w:color="auto" w:fill="auto"/>
            <w:textDirection w:val="btLr"/>
            <w:hideMark/>
          </w:tcPr>
          <w:p w14:paraId="2DDB25DC" w14:textId="56766E3D" w:rsidR="00DA5292" w:rsidRPr="00DA5292" w:rsidRDefault="00DA5292" w:rsidP="00DA5292">
            <w:pPr>
              <w:spacing w:after="0" w:line="240" w:lineRule="auto"/>
              <w:ind w:left="113" w:right="113"/>
              <w:jc w:val="center"/>
              <w:rPr>
                <w:rFonts w:ascii="Calibri" w:eastAsia="Times New Roman" w:hAnsi="Calibri" w:cs="Calibri"/>
                <w:color w:val="000000"/>
                <w:sz w:val="18"/>
                <w:szCs w:val="18"/>
              </w:rPr>
            </w:pPr>
            <w:r w:rsidRPr="00BD7C50">
              <w:rPr>
                <w:rFonts w:ascii="Calibri" w:eastAsia="Times New Roman" w:hAnsi="Calibri" w:cs="Calibri"/>
                <w:color w:val="000000"/>
                <w:sz w:val="18"/>
                <w:szCs w:val="18"/>
              </w:rPr>
              <w:t>C</w:t>
            </w:r>
            <w:r w:rsidRPr="00DA5292">
              <w:rPr>
                <w:rFonts w:ascii="Calibri" w:eastAsia="Times New Roman" w:hAnsi="Calibri" w:cs="Calibri"/>
                <w:color w:val="000000"/>
                <w:sz w:val="18"/>
                <w:szCs w:val="18"/>
              </w:rPr>
              <w:t>onfounding</w:t>
            </w:r>
          </w:p>
        </w:tc>
        <w:tc>
          <w:tcPr>
            <w:tcW w:w="720" w:type="dxa"/>
            <w:tcBorders>
              <w:top w:val="single" w:sz="4" w:space="0" w:color="auto"/>
              <w:left w:val="nil"/>
              <w:bottom w:val="single" w:sz="4" w:space="0" w:color="auto"/>
              <w:right w:val="single" w:sz="4" w:space="0" w:color="auto"/>
            </w:tcBorders>
            <w:shd w:val="clear" w:color="auto" w:fill="auto"/>
            <w:textDirection w:val="btLr"/>
            <w:hideMark/>
          </w:tcPr>
          <w:p w14:paraId="4B4827A3" w14:textId="19DF3673" w:rsidR="00DA5292" w:rsidRPr="00DA5292" w:rsidRDefault="00DA5292" w:rsidP="00DA5292">
            <w:pPr>
              <w:spacing w:after="0" w:line="240" w:lineRule="auto"/>
              <w:ind w:left="113" w:right="113"/>
              <w:jc w:val="center"/>
              <w:rPr>
                <w:rFonts w:ascii="Calibri" w:eastAsia="Times New Roman" w:hAnsi="Calibri" w:cs="Calibri"/>
                <w:color w:val="000000"/>
                <w:sz w:val="18"/>
                <w:szCs w:val="18"/>
              </w:rPr>
            </w:pPr>
            <w:r w:rsidRPr="00DA5292">
              <w:rPr>
                <w:rFonts w:ascii="Calibri" w:eastAsia="Times New Roman" w:hAnsi="Calibri" w:cs="Calibri"/>
                <w:color w:val="000000"/>
                <w:sz w:val="18"/>
                <w:szCs w:val="18"/>
              </w:rPr>
              <w:t>Selection</w:t>
            </w:r>
          </w:p>
        </w:tc>
        <w:tc>
          <w:tcPr>
            <w:tcW w:w="809" w:type="dxa"/>
            <w:tcBorders>
              <w:top w:val="single" w:sz="4" w:space="0" w:color="auto"/>
              <w:left w:val="nil"/>
              <w:bottom w:val="single" w:sz="4" w:space="0" w:color="auto"/>
              <w:right w:val="single" w:sz="4" w:space="0" w:color="auto"/>
            </w:tcBorders>
            <w:shd w:val="clear" w:color="auto" w:fill="auto"/>
            <w:textDirection w:val="btLr"/>
            <w:hideMark/>
          </w:tcPr>
          <w:p w14:paraId="2A257354" w14:textId="7721767B" w:rsidR="00DA5292" w:rsidRPr="00DA5292" w:rsidRDefault="00DA5292" w:rsidP="00DA5292">
            <w:pPr>
              <w:spacing w:after="0" w:line="240" w:lineRule="auto"/>
              <w:ind w:left="113" w:right="113"/>
              <w:jc w:val="center"/>
              <w:rPr>
                <w:rFonts w:ascii="Calibri" w:eastAsia="Times New Roman" w:hAnsi="Calibri" w:cs="Calibri"/>
                <w:color w:val="000000"/>
                <w:sz w:val="18"/>
                <w:szCs w:val="18"/>
              </w:rPr>
            </w:pPr>
            <w:r w:rsidRPr="00BD7C50">
              <w:rPr>
                <w:rFonts w:ascii="Calibri" w:eastAsia="Times New Roman" w:hAnsi="Calibri" w:cs="Calibri"/>
                <w:color w:val="000000"/>
                <w:sz w:val="18"/>
                <w:szCs w:val="18"/>
              </w:rPr>
              <w:t>C</w:t>
            </w:r>
            <w:r w:rsidRPr="00DA5292">
              <w:rPr>
                <w:rFonts w:ascii="Calibri" w:eastAsia="Times New Roman" w:hAnsi="Calibri" w:cs="Calibri"/>
                <w:color w:val="000000"/>
                <w:sz w:val="18"/>
                <w:szCs w:val="18"/>
              </w:rPr>
              <w:t>lassification</w:t>
            </w:r>
          </w:p>
        </w:tc>
        <w:tc>
          <w:tcPr>
            <w:tcW w:w="1261" w:type="dxa"/>
            <w:tcBorders>
              <w:top w:val="single" w:sz="4" w:space="0" w:color="auto"/>
              <w:left w:val="nil"/>
              <w:bottom w:val="single" w:sz="4" w:space="0" w:color="auto"/>
              <w:right w:val="single" w:sz="4" w:space="0" w:color="auto"/>
            </w:tcBorders>
            <w:shd w:val="clear" w:color="000000" w:fill="FFFFFF"/>
            <w:textDirection w:val="btLr"/>
            <w:hideMark/>
          </w:tcPr>
          <w:p w14:paraId="79C6328E" w14:textId="0425D5A4" w:rsidR="00DA5292" w:rsidRPr="00DA5292" w:rsidRDefault="00DA5292" w:rsidP="00DA5292">
            <w:pPr>
              <w:spacing w:after="0" w:line="240" w:lineRule="auto"/>
              <w:ind w:left="113" w:right="113"/>
              <w:jc w:val="center"/>
              <w:rPr>
                <w:rFonts w:ascii="Calibri" w:eastAsia="Times New Roman" w:hAnsi="Calibri" w:cs="Calibri"/>
                <w:color w:val="000000"/>
                <w:sz w:val="18"/>
                <w:szCs w:val="18"/>
              </w:rPr>
            </w:pPr>
            <w:r w:rsidRPr="00BD7C50">
              <w:rPr>
                <w:rFonts w:ascii="Calibri" w:eastAsia="Times New Roman" w:hAnsi="Calibri" w:cs="Calibri"/>
                <w:color w:val="000000"/>
                <w:sz w:val="18"/>
                <w:szCs w:val="18"/>
              </w:rPr>
              <w:t>D</w:t>
            </w:r>
            <w:r w:rsidRPr="00DA5292">
              <w:rPr>
                <w:rFonts w:ascii="Calibri" w:eastAsia="Times New Roman" w:hAnsi="Calibri" w:cs="Calibri"/>
                <w:color w:val="000000"/>
                <w:sz w:val="18"/>
                <w:szCs w:val="18"/>
              </w:rPr>
              <w:t>eviations</w:t>
            </w:r>
            <w:r w:rsidRPr="00DA5292">
              <w:rPr>
                <w:rFonts w:ascii="Calibri" w:eastAsia="Times New Roman" w:hAnsi="Calibri" w:cs="Calibri"/>
                <w:color w:val="000000"/>
                <w:sz w:val="18"/>
                <w:szCs w:val="18"/>
              </w:rPr>
              <w:br/>
              <w:t>from intended</w:t>
            </w:r>
            <w:r w:rsidRPr="00DA5292">
              <w:rPr>
                <w:rFonts w:ascii="Calibri" w:eastAsia="Times New Roman" w:hAnsi="Calibri" w:cs="Calibri"/>
                <w:color w:val="000000"/>
                <w:sz w:val="18"/>
                <w:szCs w:val="18"/>
              </w:rPr>
              <w:br/>
              <w:t>interventions</w:t>
            </w:r>
          </w:p>
        </w:tc>
        <w:tc>
          <w:tcPr>
            <w:tcW w:w="720" w:type="dxa"/>
            <w:tcBorders>
              <w:top w:val="single" w:sz="4" w:space="0" w:color="auto"/>
              <w:left w:val="nil"/>
              <w:bottom w:val="single" w:sz="4" w:space="0" w:color="auto"/>
              <w:right w:val="single" w:sz="4" w:space="0" w:color="auto"/>
            </w:tcBorders>
            <w:shd w:val="clear" w:color="000000" w:fill="FFFFFF"/>
            <w:textDirection w:val="btLr"/>
            <w:hideMark/>
          </w:tcPr>
          <w:p w14:paraId="438E7802" w14:textId="3C33FFDC" w:rsidR="00DA5292" w:rsidRPr="00DA5292" w:rsidRDefault="00DA5292" w:rsidP="00DA5292">
            <w:pPr>
              <w:spacing w:after="0" w:line="240" w:lineRule="auto"/>
              <w:ind w:left="113" w:right="113"/>
              <w:jc w:val="center"/>
              <w:rPr>
                <w:rFonts w:ascii="Calibri" w:eastAsia="Times New Roman" w:hAnsi="Calibri" w:cs="Calibri"/>
                <w:color w:val="000000"/>
                <w:sz w:val="18"/>
                <w:szCs w:val="18"/>
              </w:rPr>
            </w:pPr>
            <w:r w:rsidRPr="00BD7C50">
              <w:rPr>
                <w:rFonts w:ascii="Calibri" w:eastAsia="Times New Roman" w:hAnsi="Calibri" w:cs="Calibri"/>
                <w:color w:val="000000"/>
                <w:sz w:val="18"/>
                <w:szCs w:val="18"/>
              </w:rPr>
              <w:t>M</w:t>
            </w:r>
            <w:r w:rsidRPr="00DA5292">
              <w:rPr>
                <w:rFonts w:ascii="Calibri" w:eastAsia="Times New Roman" w:hAnsi="Calibri" w:cs="Calibri"/>
                <w:color w:val="000000"/>
                <w:sz w:val="18"/>
                <w:szCs w:val="18"/>
              </w:rPr>
              <w:t>issing data</w:t>
            </w:r>
          </w:p>
        </w:tc>
        <w:tc>
          <w:tcPr>
            <w:tcW w:w="990" w:type="dxa"/>
            <w:tcBorders>
              <w:top w:val="single" w:sz="4" w:space="0" w:color="auto"/>
              <w:left w:val="nil"/>
              <w:bottom w:val="single" w:sz="4" w:space="0" w:color="auto"/>
              <w:right w:val="single" w:sz="4" w:space="0" w:color="auto"/>
            </w:tcBorders>
            <w:shd w:val="clear" w:color="000000" w:fill="FFFFFF"/>
            <w:textDirection w:val="btLr"/>
            <w:hideMark/>
          </w:tcPr>
          <w:p w14:paraId="4B9EB978" w14:textId="45C6ECF8" w:rsidR="00DA5292" w:rsidRPr="00DA5292" w:rsidRDefault="00DA5292" w:rsidP="00DA5292">
            <w:pPr>
              <w:spacing w:after="0" w:line="240" w:lineRule="auto"/>
              <w:ind w:left="113" w:right="113"/>
              <w:jc w:val="center"/>
              <w:rPr>
                <w:rFonts w:ascii="Calibri" w:eastAsia="Times New Roman" w:hAnsi="Calibri" w:cs="Calibri"/>
                <w:color w:val="000000"/>
                <w:sz w:val="18"/>
                <w:szCs w:val="18"/>
              </w:rPr>
            </w:pPr>
            <w:r w:rsidRPr="00BD7C50">
              <w:rPr>
                <w:rFonts w:ascii="Calibri" w:eastAsia="Times New Roman" w:hAnsi="Calibri" w:cs="Calibri"/>
                <w:color w:val="000000"/>
                <w:sz w:val="18"/>
                <w:szCs w:val="18"/>
              </w:rPr>
              <w:t>M</w:t>
            </w:r>
            <w:r w:rsidRPr="00DA5292">
              <w:rPr>
                <w:rFonts w:ascii="Calibri" w:eastAsia="Times New Roman" w:hAnsi="Calibri" w:cs="Calibri"/>
                <w:color w:val="000000"/>
                <w:sz w:val="18"/>
                <w:szCs w:val="18"/>
              </w:rPr>
              <w:t>easurement</w:t>
            </w:r>
            <w:r w:rsidRPr="00DA5292">
              <w:rPr>
                <w:rFonts w:ascii="Calibri" w:eastAsia="Times New Roman" w:hAnsi="Calibri" w:cs="Calibri"/>
                <w:color w:val="000000"/>
                <w:sz w:val="18"/>
                <w:szCs w:val="18"/>
              </w:rPr>
              <w:br/>
              <w:t>of outcomes</w:t>
            </w:r>
          </w:p>
        </w:tc>
        <w:tc>
          <w:tcPr>
            <w:tcW w:w="990" w:type="dxa"/>
            <w:tcBorders>
              <w:top w:val="single" w:sz="4" w:space="0" w:color="auto"/>
              <w:left w:val="nil"/>
              <w:bottom w:val="single" w:sz="4" w:space="0" w:color="auto"/>
              <w:right w:val="single" w:sz="4" w:space="0" w:color="auto"/>
            </w:tcBorders>
            <w:shd w:val="clear" w:color="auto" w:fill="auto"/>
            <w:textDirection w:val="btLr"/>
            <w:hideMark/>
          </w:tcPr>
          <w:p w14:paraId="233E1B25" w14:textId="218E40F3" w:rsidR="00DA5292" w:rsidRPr="00DA5292" w:rsidRDefault="00DA5292" w:rsidP="00DA5292">
            <w:pPr>
              <w:spacing w:after="0" w:line="240" w:lineRule="auto"/>
              <w:ind w:left="113" w:right="113"/>
              <w:jc w:val="center"/>
              <w:rPr>
                <w:rFonts w:ascii="Calibri" w:eastAsia="Times New Roman" w:hAnsi="Calibri" w:cs="Calibri"/>
                <w:color w:val="000000"/>
                <w:sz w:val="18"/>
                <w:szCs w:val="18"/>
              </w:rPr>
            </w:pPr>
            <w:r w:rsidRPr="00BD7C50">
              <w:rPr>
                <w:rFonts w:ascii="Calibri" w:eastAsia="Times New Roman" w:hAnsi="Calibri" w:cs="Calibri"/>
                <w:color w:val="000000"/>
                <w:sz w:val="18"/>
                <w:szCs w:val="18"/>
              </w:rPr>
              <w:t>S</w:t>
            </w:r>
            <w:r w:rsidRPr="00DA5292">
              <w:rPr>
                <w:rFonts w:ascii="Calibri" w:eastAsia="Times New Roman" w:hAnsi="Calibri" w:cs="Calibri"/>
                <w:color w:val="000000"/>
                <w:sz w:val="18"/>
                <w:szCs w:val="18"/>
              </w:rPr>
              <w:t>election of</w:t>
            </w:r>
            <w:r w:rsidRPr="00DA5292">
              <w:rPr>
                <w:rFonts w:ascii="Calibri" w:eastAsia="Times New Roman" w:hAnsi="Calibri" w:cs="Calibri"/>
                <w:color w:val="000000"/>
                <w:sz w:val="18"/>
                <w:szCs w:val="18"/>
              </w:rPr>
              <w:br/>
              <w:t>reported</w:t>
            </w:r>
            <w:r w:rsidRPr="00DA5292">
              <w:rPr>
                <w:rFonts w:ascii="Calibri" w:eastAsia="Times New Roman" w:hAnsi="Calibri" w:cs="Calibri"/>
                <w:color w:val="000000"/>
                <w:sz w:val="18"/>
                <w:szCs w:val="18"/>
              </w:rPr>
              <w:br/>
              <w:t>result</w:t>
            </w:r>
          </w:p>
        </w:tc>
        <w:tc>
          <w:tcPr>
            <w:tcW w:w="3150" w:type="dxa"/>
            <w:tcBorders>
              <w:top w:val="single" w:sz="4" w:space="0" w:color="auto"/>
              <w:left w:val="nil"/>
              <w:bottom w:val="single" w:sz="4" w:space="0" w:color="auto"/>
              <w:right w:val="single" w:sz="4" w:space="0" w:color="auto"/>
            </w:tcBorders>
            <w:shd w:val="clear" w:color="auto" w:fill="auto"/>
            <w:hideMark/>
          </w:tcPr>
          <w:p w14:paraId="20A41929" w14:textId="11E2C6B3" w:rsidR="00DA5292" w:rsidRPr="00DA5292" w:rsidRDefault="00DA5292" w:rsidP="00DA5292">
            <w:pPr>
              <w:spacing w:after="0" w:line="240" w:lineRule="auto"/>
              <w:jc w:val="center"/>
              <w:rPr>
                <w:rFonts w:ascii="Calibri" w:eastAsia="Times New Roman" w:hAnsi="Calibri" w:cs="Calibri"/>
                <w:color w:val="000000"/>
                <w:sz w:val="18"/>
                <w:szCs w:val="18"/>
              </w:rPr>
            </w:pPr>
            <w:r w:rsidRPr="00DA5292">
              <w:rPr>
                <w:rFonts w:ascii="Calibri" w:eastAsia="Times New Roman" w:hAnsi="Calibri" w:cs="Calibri"/>
                <w:color w:val="000000"/>
                <w:sz w:val="18"/>
                <w:szCs w:val="18"/>
              </w:rPr>
              <w:t>Overall judgment</w:t>
            </w:r>
          </w:p>
        </w:tc>
      </w:tr>
      <w:tr w:rsidR="00DA5292" w:rsidRPr="00DA5292" w14:paraId="5C93BCE8" w14:textId="77777777" w:rsidTr="00BD7C50">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2B8104FD"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Akulayi  2017</w:t>
            </w:r>
          </w:p>
        </w:tc>
        <w:tc>
          <w:tcPr>
            <w:tcW w:w="630" w:type="dxa"/>
            <w:tcBorders>
              <w:top w:val="single" w:sz="4" w:space="0" w:color="auto"/>
              <w:left w:val="nil"/>
              <w:bottom w:val="single" w:sz="4" w:space="0" w:color="auto"/>
              <w:right w:val="single" w:sz="4" w:space="0" w:color="auto"/>
            </w:tcBorders>
            <w:shd w:val="clear" w:color="000000" w:fill="A9D08E"/>
            <w:hideMark/>
          </w:tcPr>
          <w:p w14:paraId="0FA9179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64FB69E7"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single" w:sz="4" w:space="0" w:color="auto"/>
              <w:left w:val="nil"/>
              <w:bottom w:val="single" w:sz="4" w:space="0" w:color="auto"/>
              <w:right w:val="single" w:sz="4" w:space="0" w:color="auto"/>
            </w:tcBorders>
            <w:shd w:val="clear" w:color="000000" w:fill="A9D08E"/>
            <w:hideMark/>
          </w:tcPr>
          <w:p w14:paraId="1C1A9F88"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single" w:sz="4" w:space="0" w:color="auto"/>
              <w:left w:val="nil"/>
              <w:bottom w:val="single" w:sz="4" w:space="0" w:color="auto"/>
              <w:right w:val="single" w:sz="4" w:space="0" w:color="auto"/>
            </w:tcBorders>
            <w:shd w:val="clear" w:color="000000" w:fill="F2F2F2"/>
            <w:hideMark/>
          </w:tcPr>
          <w:p w14:paraId="4466EB5D"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720" w:type="dxa"/>
            <w:tcBorders>
              <w:top w:val="single" w:sz="4" w:space="0" w:color="auto"/>
              <w:left w:val="nil"/>
              <w:bottom w:val="single" w:sz="4" w:space="0" w:color="auto"/>
              <w:right w:val="single" w:sz="4" w:space="0" w:color="auto"/>
            </w:tcBorders>
            <w:shd w:val="clear" w:color="000000" w:fill="A9D08E"/>
            <w:hideMark/>
          </w:tcPr>
          <w:p w14:paraId="3B602926"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single" w:sz="4" w:space="0" w:color="auto"/>
              <w:left w:val="nil"/>
              <w:bottom w:val="single" w:sz="4" w:space="0" w:color="auto"/>
              <w:right w:val="single" w:sz="4" w:space="0" w:color="auto"/>
            </w:tcBorders>
            <w:shd w:val="clear" w:color="000000" w:fill="A9D08E"/>
            <w:hideMark/>
          </w:tcPr>
          <w:p w14:paraId="731772E4"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single" w:sz="4" w:space="0" w:color="auto"/>
              <w:left w:val="nil"/>
              <w:bottom w:val="single" w:sz="4" w:space="0" w:color="auto"/>
              <w:right w:val="single" w:sz="4" w:space="0" w:color="auto"/>
            </w:tcBorders>
            <w:shd w:val="clear" w:color="000000" w:fill="A9D08E"/>
            <w:hideMark/>
          </w:tcPr>
          <w:p w14:paraId="659F77BB"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single" w:sz="4" w:space="0" w:color="auto"/>
              <w:left w:val="nil"/>
              <w:bottom w:val="single" w:sz="4" w:space="0" w:color="auto"/>
              <w:right w:val="single" w:sz="4" w:space="0" w:color="auto"/>
            </w:tcBorders>
            <w:shd w:val="clear" w:color="000000" w:fill="A9D08E"/>
            <w:hideMark/>
          </w:tcPr>
          <w:p w14:paraId="31C13825"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LOW RISK</w:t>
            </w:r>
          </w:p>
        </w:tc>
      </w:tr>
      <w:tr w:rsidR="00DA5292" w:rsidRPr="00DA5292" w14:paraId="28A68857" w14:textId="77777777" w:rsidTr="00BD7C50">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2AC2E57A"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Anand 2020</w:t>
            </w:r>
          </w:p>
        </w:tc>
        <w:tc>
          <w:tcPr>
            <w:tcW w:w="630" w:type="dxa"/>
            <w:tcBorders>
              <w:top w:val="nil"/>
              <w:left w:val="nil"/>
              <w:bottom w:val="single" w:sz="4" w:space="0" w:color="auto"/>
              <w:right w:val="single" w:sz="4" w:space="0" w:color="auto"/>
            </w:tcBorders>
            <w:shd w:val="clear" w:color="000000" w:fill="A9D08E"/>
            <w:hideMark/>
          </w:tcPr>
          <w:p w14:paraId="11EA40F4"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62CA9CFE"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A9D08E"/>
            <w:hideMark/>
          </w:tcPr>
          <w:p w14:paraId="11F599A3"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F2F2F2"/>
            <w:hideMark/>
          </w:tcPr>
          <w:p w14:paraId="1613C222"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720" w:type="dxa"/>
            <w:tcBorders>
              <w:top w:val="nil"/>
              <w:left w:val="nil"/>
              <w:bottom w:val="single" w:sz="4" w:space="0" w:color="auto"/>
              <w:right w:val="single" w:sz="4" w:space="0" w:color="auto"/>
            </w:tcBorders>
            <w:shd w:val="clear" w:color="000000" w:fill="FFFF99"/>
            <w:hideMark/>
          </w:tcPr>
          <w:p w14:paraId="0F0B4382"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2</w:t>
            </w:r>
          </w:p>
        </w:tc>
        <w:tc>
          <w:tcPr>
            <w:tcW w:w="990" w:type="dxa"/>
            <w:tcBorders>
              <w:top w:val="nil"/>
              <w:left w:val="nil"/>
              <w:bottom w:val="single" w:sz="4" w:space="0" w:color="auto"/>
              <w:right w:val="single" w:sz="4" w:space="0" w:color="auto"/>
            </w:tcBorders>
            <w:shd w:val="clear" w:color="000000" w:fill="A9D08E"/>
            <w:hideMark/>
          </w:tcPr>
          <w:p w14:paraId="3E298BB2"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5AE111B7"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FFFF99"/>
            <w:hideMark/>
          </w:tcPr>
          <w:p w14:paraId="07718275"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MODERATE</w:t>
            </w:r>
          </w:p>
        </w:tc>
      </w:tr>
      <w:tr w:rsidR="00DA5292" w:rsidRPr="00DA5292" w14:paraId="7DF22895" w14:textId="77777777" w:rsidTr="00BD7C50">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17C9302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Andersson 2013</w:t>
            </w:r>
          </w:p>
        </w:tc>
        <w:tc>
          <w:tcPr>
            <w:tcW w:w="630" w:type="dxa"/>
            <w:tcBorders>
              <w:top w:val="nil"/>
              <w:left w:val="nil"/>
              <w:bottom w:val="single" w:sz="4" w:space="0" w:color="auto"/>
              <w:right w:val="single" w:sz="4" w:space="0" w:color="auto"/>
            </w:tcBorders>
            <w:shd w:val="clear" w:color="000000" w:fill="FFCCFF"/>
            <w:hideMark/>
          </w:tcPr>
          <w:p w14:paraId="1C49D52A"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000000" w:fill="FFCCFF"/>
            <w:hideMark/>
          </w:tcPr>
          <w:p w14:paraId="5783632E"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809" w:type="dxa"/>
            <w:tcBorders>
              <w:top w:val="nil"/>
              <w:left w:val="nil"/>
              <w:bottom w:val="single" w:sz="4" w:space="0" w:color="auto"/>
              <w:right w:val="single" w:sz="4" w:space="0" w:color="auto"/>
            </w:tcBorders>
            <w:shd w:val="clear" w:color="000000" w:fill="FFCCFF"/>
            <w:hideMark/>
          </w:tcPr>
          <w:p w14:paraId="6680BB05"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1261" w:type="dxa"/>
            <w:tcBorders>
              <w:top w:val="nil"/>
              <w:left w:val="nil"/>
              <w:bottom w:val="single" w:sz="4" w:space="0" w:color="auto"/>
              <w:right w:val="single" w:sz="4" w:space="0" w:color="auto"/>
            </w:tcBorders>
            <w:shd w:val="clear" w:color="000000" w:fill="FFCCFF"/>
            <w:hideMark/>
          </w:tcPr>
          <w:p w14:paraId="73938A73"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auto" w:fill="auto"/>
            <w:hideMark/>
          </w:tcPr>
          <w:p w14:paraId="7E336399" w14:textId="77777777" w:rsidR="00DA5292" w:rsidRPr="00DA5292" w:rsidRDefault="00DA5292" w:rsidP="00BD7C50">
            <w:pPr>
              <w:spacing w:after="0" w:line="240" w:lineRule="auto"/>
              <w:rPr>
                <w:rFonts w:ascii="Calibri" w:eastAsia="Times New Roman" w:hAnsi="Calibri" w:cs="Calibri"/>
                <w:color w:val="000000"/>
                <w:u w:val="single"/>
              </w:rPr>
            </w:pPr>
            <w:r w:rsidRPr="00DA5292">
              <w:rPr>
                <w:rFonts w:ascii="Calibri" w:eastAsia="Times New Roman" w:hAnsi="Calibri" w:cs="Calibri"/>
                <w:color w:val="000000"/>
                <w:u w:val="single"/>
              </w:rPr>
              <w:t>?</w:t>
            </w:r>
          </w:p>
        </w:tc>
        <w:tc>
          <w:tcPr>
            <w:tcW w:w="990" w:type="dxa"/>
            <w:tcBorders>
              <w:top w:val="nil"/>
              <w:left w:val="nil"/>
              <w:bottom w:val="single" w:sz="4" w:space="0" w:color="auto"/>
              <w:right w:val="single" w:sz="4" w:space="0" w:color="auto"/>
            </w:tcBorders>
            <w:shd w:val="clear" w:color="000000" w:fill="A9D08E"/>
            <w:hideMark/>
          </w:tcPr>
          <w:p w14:paraId="1480CE4F"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2C776B91"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FFCCFF"/>
            <w:hideMark/>
          </w:tcPr>
          <w:p w14:paraId="7C665C5C" w14:textId="6FC31193"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SERIOUS</w:t>
            </w:r>
            <w:r>
              <w:rPr>
                <w:rFonts w:ascii="Calibri" w:eastAsia="Times New Roman" w:hAnsi="Calibri" w:cs="Calibri"/>
                <w:color w:val="000000"/>
              </w:rPr>
              <w:t xml:space="preserve"> RISK</w:t>
            </w:r>
          </w:p>
        </w:tc>
      </w:tr>
      <w:tr w:rsidR="00DA5292" w:rsidRPr="00DA5292" w14:paraId="3C345CAB" w14:textId="77777777" w:rsidTr="00BD7C50">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4E0BE360"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Bagonza 2014</w:t>
            </w:r>
          </w:p>
        </w:tc>
        <w:tc>
          <w:tcPr>
            <w:tcW w:w="630" w:type="dxa"/>
            <w:tcBorders>
              <w:top w:val="nil"/>
              <w:left w:val="nil"/>
              <w:bottom w:val="single" w:sz="4" w:space="0" w:color="auto"/>
              <w:right w:val="single" w:sz="4" w:space="0" w:color="auto"/>
            </w:tcBorders>
            <w:shd w:val="clear" w:color="000000" w:fill="A9D08E"/>
            <w:hideMark/>
          </w:tcPr>
          <w:p w14:paraId="391EAE78"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69180E34"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F2F2F2"/>
            <w:hideMark/>
          </w:tcPr>
          <w:p w14:paraId="5AE5CE36"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1261" w:type="dxa"/>
            <w:tcBorders>
              <w:top w:val="nil"/>
              <w:left w:val="nil"/>
              <w:bottom w:val="single" w:sz="4" w:space="0" w:color="auto"/>
              <w:right w:val="single" w:sz="4" w:space="0" w:color="auto"/>
            </w:tcBorders>
            <w:shd w:val="clear" w:color="000000" w:fill="F2F2F2"/>
            <w:hideMark/>
          </w:tcPr>
          <w:p w14:paraId="3D24C7FB"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720" w:type="dxa"/>
            <w:tcBorders>
              <w:top w:val="nil"/>
              <w:left w:val="nil"/>
              <w:bottom w:val="single" w:sz="4" w:space="0" w:color="auto"/>
              <w:right w:val="single" w:sz="4" w:space="0" w:color="auto"/>
            </w:tcBorders>
            <w:shd w:val="clear" w:color="000000" w:fill="A9D08E"/>
            <w:hideMark/>
          </w:tcPr>
          <w:p w14:paraId="4718C445"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1C2E6DF9"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3C3DBA4E"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A9D08E"/>
            <w:hideMark/>
          </w:tcPr>
          <w:p w14:paraId="27211BCD"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LOW RISK</w:t>
            </w:r>
          </w:p>
        </w:tc>
      </w:tr>
      <w:tr w:rsidR="00DA5292" w:rsidRPr="00DA5292" w14:paraId="42DAE679" w14:textId="77777777" w:rsidTr="00BD7C50">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3FD3D3C1"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 xml:space="preserve">Bagonza 2015 </w:t>
            </w:r>
          </w:p>
        </w:tc>
        <w:tc>
          <w:tcPr>
            <w:tcW w:w="630" w:type="dxa"/>
            <w:tcBorders>
              <w:top w:val="nil"/>
              <w:left w:val="nil"/>
              <w:bottom w:val="single" w:sz="4" w:space="0" w:color="auto"/>
              <w:right w:val="single" w:sz="4" w:space="0" w:color="auto"/>
            </w:tcBorders>
            <w:shd w:val="clear" w:color="000000" w:fill="A9D08E"/>
            <w:hideMark/>
          </w:tcPr>
          <w:p w14:paraId="3C6F5F77"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FFFF99"/>
            <w:hideMark/>
          </w:tcPr>
          <w:p w14:paraId="17AE3598"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2</w:t>
            </w:r>
          </w:p>
        </w:tc>
        <w:tc>
          <w:tcPr>
            <w:tcW w:w="809" w:type="dxa"/>
            <w:tcBorders>
              <w:top w:val="nil"/>
              <w:left w:val="nil"/>
              <w:bottom w:val="single" w:sz="4" w:space="0" w:color="auto"/>
              <w:right w:val="single" w:sz="4" w:space="0" w:color="auto"/>
            </w:tcBorders>
            <w:shd w:val="clear" w:color="000000" w:fill="F2F2F2"/>
            <w:hideMark/>
          </w:tcPr>
          <w:p w14:paraId="114AC823"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1261" w:type="dxa"/>
            <w:tcBorders>
              <w:top w:val="nil"/>
              <w:left w:val="nil"/>
              <w:bottom w:val="single" w:sz="4" w:space="0" w:color="auto"/>
              <w:right w:val="single" w:sz="4" w:space="0" w:color="auto"/>
            </w:tcBorders>
            <w:shd w:val="clear" w:color="000000" w:fill="F2F2F2"/>
            <w:hideMark/>
          </w:tcPr>
          <w:p w14:paraId="7CEC97DD"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720" w:type="dxa"/>
            <w:tcBorders>
              <w:top w:val="nil"/>
              <w:left w:val="nil"/>
              <w:bottom w:val="single" w:sz="4" w:space="0" w:color="auto"/>
              <w:right w:val="single" w:sz="4" w:space="0" w:color="auto"/>
            </w:tcBorders>
            <w:shd w:val="clear" w:color="000000" w:fill="A9D08E"/>
            <w:hideMark/>
          </w:tcPr>
          <w:p w14:paraId="1B8AFF7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3E77F7D0"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1B6AB025"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FFFF99"/>
            <w:hideMark/>
          </w:tcPr>
          <w:p w14:paraId="66F43D27"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MODERATE RISK</w:t>
            </w:r>
          </w:p>
        </w:tc>
      </w:tr>
      <w:tr w:rsidR="00DA5292" w:rsidRPr="00DA5292" w14:paraId="5970A07C" w14:textId="77777777" w:rsidTr="00BD7C50">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62C8799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Brunie 2018</w:t>
            </w:r>
          </w:p>
        </w:tc>
        <w:tc>
          <w:tcPr>
            <w:tcW w:w="630" w:type="dxa"/>
            <w:tcBorders>
              <w:top w:val="nil"/>
              <w:left w:val="nil"/>
              <w:bottom w:val="single" w:sz="4" w:space="0" w:color="auto"/>
              <w:right w:val="single" w:sz="4" w:space="0" w:color="auto"/>
            </w:tcBorders>
            <w:shd w:val="clear" w:color="000000" w:fill="A9D08E"/>
            <w:hideMark/>
          </w:tcPr>
          <w:p w14:paraId="3FEE44B7"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32CF01AA"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F2F2F2"/>
            <w:hideMark/>
          </w:tcPr>
          <w:p w14:paraId="4A7FA0C9"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1261" w:type="dxa"/>
            <w:tcBorders>
              <w:top w:val="nil"/>
              <w:left w:val="nil"/>
              <w:bottom w:val="single" w:sz="4" w:space="0" w:color="auto"/>
              <w:right w:val="single" w:sz="4" w:space="0" w:color="auto"/>
            </w:tcBorders>
            <w:shd w:val="clear" w:color="000000" w:fill="F2F2F2"/>
            <w:hideMark/>
          </w:tcPr>
          <w:p w14:paraId="1D482A8B"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720" w:type="dxa"/>
            <w:tcBorders>
              <w:top w:val="nil"/>
              <w:left w:val="nil"/>
              <w:bottom w:val="single" w:sz="4" w:space="0" w:color="auto"/>
              <w:right w:val="single" w:sz="4" w:space="0" w:color="auto"/>
            </w:tcBorders>
            <w:shd w:val="clear" w:color="000000" w:fill="FFFF99"/>
            <w:hideMark/>
          </w:tcPr>
          <w:p w14:paraId="7494E312"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2</w:t>
            </w:r>
          </w:p>
        </w:tc>
        <w:tc>
          <w:tcPr>
            <w:tcW w:w="990" w:type="dxa"/>
            <w:tcBorders>
              <w:top w:val="nil"/>
              <w:left w:val="nil"/>
              <w:bottom w:val="single" w:sz="4" w:space="0" w:color="auto"/>
              <w:right w:val="single" w:sz="4" w:space="0" w:color="auto"/>
            </w:tcBorders>
            <w:shd w:val="clear" w:color="000000" w:fill="A9D08E"/>
            <w:hideMark/>
          </w:tcPr>
          <w:p w14:paraId="0ED81BCF"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13AF87D4"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FFFF99"/>
            <w:hideMark/>
          </w:tcPr>
          <w:p w14:paraId="4FFA8943"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MODERATE RISK</w:t>
            </w:r>
          </w:p>
        </w:tc>
      </w:tr>
      <w:tr w:rsidR="00660B99" w:rsidRPr="00DA5292" w14:paraId="0E7B03FF" w14:textId="77777777" w:rsidTr="00660B99">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50C9AA62" w14:textId="77777777" w:rsidR="00660B99" w:rsidRPr="00DA5292" w:rsidRDefault="00660B99" w:rsidP="00660B99">
            <w:pPr>
              <w:spacing w:after="0" w:line="240" w:lineRule="auto"/>
              <w:rPr>
                <w:rFonts w:ascii="Calibri" w:eastAsia="Times New Roman" w:hAnsi="Calibri" w:cs="Calibri"/>
                <w:color w:val="000000"/>
              </w:rPr>
            </w:pPr>
            <w:r w:rsidRPr="00DA5292">
              <w:rPr>
                <w:rFonts w:ascii="Calibri" w:eastAsia="Times New Roman" w:hAnsi="Calibri" w:cs="Calibri"/>
                <w:color w:val="000000"/>
              </w:rPr>
              <w:t>Callaghan-Koru 2013</w:t>
            </w:r>
          </w:p>
        </w:tc>
        <w:tc>
          <w:tcPr>
            <w:tcW w:w="630" w:type="dxa"/>
            <w:tcBorders>
              <w:top w:val="nil"/>
              <w:left w:val="nil"/>
              <w:bottom w:val="single" w:sz="4" w:space="0" w:color="auto"/>
              <w:right w:val="single" w:sz="4" w:space="0" w:color="auto"/>
            </w:tcBorders>
            <w:shd w:val="clear" w:color="000000" w:fill="FFCCFF"/>
            <w:hideMark/>
          </w:tcPr>
          <w:p w14:paraId="639A5CAC" w14:textId="77777777" w:rsidR="00660B99" w:rsidRPr="00DA5292" w:rsidRDefault="00660B99" w:rsidP="00660B99">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000000" w:fill="A9D08E"/>
            <w:hideMark/>
          </w:tcPr>
          <w:p w14:paraId="33E221FB" w14:textId="77777777" w:rsidR="00660B99" w:rsidRPr="00DA5292" w:rsidRDefault="00660B99" w:rsidP="00660B99">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A9D08E"/>
            <w:hideMark/>
          </w:tcPr>
          <w:p w14:paraId="053E5874" w14:textId="77777777" w:rsidR="00660B99" w:rsidRPr="00DA5292" w:rsidRDefault="00660B99" w:rsidP="00660B99">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43D40B72" w14:textId="77777777" w:rsidR="00660B99" w:rsidRPr="00DA5292" w:rsidRDefault="00660B99" w:rsidP="00660B99">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38C7DBD2" w14:textId="77777777" w:rsidR="00660B99" w:rsidRPr="00DA5292" w:rsidRDefault="00660B99" w:rsidP="00660B99">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6648E519" w14:textId="77777777" w:rsidR="00660B99" w:rsidRPr="00DA5292" w:rsidRDefault="00660B99" w:rsidP="00660B99">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1589D9CF" w14:textId="77777777" w:rsidR="00660B99" w:rsidRPr="00DA5292" w:rsidRDefault="00660B99" w:rsidP="00660B99">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auto" w:fill="FFCCFF"/>
            <w:hideMark/>
          </w:tcPr>
          <w:p w14:paraId="647598FD" w14:textId="525EEF04" w:rsidR="00660B99" w:rsidRPr="00DA5292" w:rsidRDefault="00660B99" w:rsidP="00660B99">
            <w:pPr>
              <w:spacing w:after="0" w:line="240" w:lineRule="auto"/>
              <w:rPr>
                <w:rFonts w:ascii="Calibri" w:eastAsia="Times New Roman" w:hAnsi="Calibri" w:cs="Calibri"/>
                <w:color w:val="000000"/>
              </w:rPr>
            </w:pPr>
            <w:r w:rsidRPr="00DA5292">
              <w:rPr>
                <w:rFonts w:ascii="Calibri" w:eastAsia="Times New Roman" w:hAnsi="Calibri" w:cs="Calibri"/>
                <w:color w:val="000000"/>
              </w:rPr>
              <w:t>SERIOUS</w:t>
            </w:r>
            <w:r>
              <w:rPr>
                <w:rFonts w:ascii="Calibri" w:eastAsia="Times New Roman" w:hAnsi="Calibri" w:cs="Calibri"/>
                <w:color w:val="000000"/>
              </w:rPr>
              <w:t xml:space="preserve"> RISK</w:t>
            </w:r>
          </w:p>
        </w:tc>
      </w:tr>
      <w:tr w:rsidR="00DA5292" w:rsidRPr="00DA5292" w14:paraId="12458B93" w14:textId="77777777" w:rsidTr="00BD7C50">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2054F833"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Chandani (Ethiopia) 2012</w:t>
            </w:r>
          </w:p>
        </w:tc>
        <w:tc>
          <w:tcPr>
            <w:tcW w:w="630" w:type="dxa"/>
            <w:tcBorders>
              <w:top w:val="nil"/>
              <w:left w:val="nil"/>
              <w:bottom w:val="single" w:sz="4" w:space="0" w:color="auto"/>
              <w:right w:val="single" w:sz="4" w:space="0" w:color="auto"/>
            </w:tcBorders>
            <w:shd w:val="clear" w:color="000000" w:fill="A9D08E"/>
            <w:hideMark/>
          </w:tcPr>
          <w:p w14:paraId="76C27698"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FFFF99"/>
            <w:hideMark/>
          </w:tcPr>
          <w:p w14:paraId="1D4C9CA8"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2</w:t>
            </w:r>
          </w:p>
        </w:tc>
        <w:tc>
          <w:tcPr>
            <w:tcW w:w="809" w:type="dxa"/>
            <w:tcBorders>
              <w:top w:val="nil"/>
              <w:left w:val="nil"/>
              <w:bottom w:val="single" w:sz="4" w:space="0" w:color="auto"/>
              <w:right w:val="single" w:sz="4" w:space="0" w:color="auto"/>
            </w:tcBorders>
            <w:shd w:val="clear" w:color="000000" w:fill="A9D08E"/>
            <w:hideMark/>
          </w:tcPr>
          <w:p w14:paraId="1F22A131"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0E8E8535"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0C9902C5"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650C021A"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18B984AD"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FFFF99"/>
            <w:hideMark/>
          </w:tcPr>
          <w:p w14:paraId="2023A389"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MODERATE RISK</w:t>
            </w:r>
          </w:p>
        </w:tc>
      </w:tr>
      <w:tr w:rsidR="00DA5292" w:rsidRPr="00DA5292" w14:paraId="1D71248D" w14:textId="77777777" w:rsidTr="00BD7C50">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110840D9"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Chandani (Ethiopia) 2014</w:t>
            </w:r>
          </w:p>
        </w:tc>
        <w:tc>
          <w:tcPr>
            <w:tcW w:w="630" w:type="dxa"/>
            <w:tcBorders>
              <w:top w:val="nil"/>
              <w:left w:val="nil"/>
              <w:bottom w:val="single" w:sz="4" w:space="0" w:color="auto"/>
              <w:right w:val="single" w:sz="4" w:space="0" w:color="auto"/>
            </w:tcBorders>
            <w:shd w:val="clear" w:color="000000" w:fill="FFFF99"/>
            <w:hideMark/>
          </w:tcPr>
          <w:p w14:paraId="04AC9263"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2</w:t>
            </w:r>
          </w:p>
        </w:tc>
        <w:tc>
          <w:tcPr>
            <w:tcW w:w="720" w:type="dxa"/>
            <w:tcBorders>
              <w:top w:val="nil"/>
              <w:left w:val="nil"/>
              <w:bottom w:val="single" w:sz="4" w:space="0" w:color="auto"/>
              <w:right w:val="single" w:sz="4" w:space="0" w:color="auto"/>
            </w:tcBorders>
            <w:shd w:val="clear" w:color="000000" w:fill="FFFF99"/>
            <w:hideMark/>
          </w:tcPr>
          <w:p w14:paraId="6B78935D"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2</w:t>
            </w:r>
          </w:p>
        </w:tc>
        <w:tc>
          <w:tcPr>
            <w:tcW w:w="809" w:type="dxa"/>
            <w:tcBorders>
              <w:top w:val="nil"/>
              <w:left w:val="nil"/>
              <w:bottom w:val="single" w:sz="4" w:space="0" w:color="auto"/>
              <w:right w:val="single" w:sz="4" w:space="0" w:color="auto"/>
            </w:tcBorders>
            <w:shd w:val="clear" w:color="000000" w:fill="A9D08E"/>
            <w:hideMark/>
          </w:tcPr>
          <w:p w14:paraId="0BBA47DB"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046353C9"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7191F479"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075CB77A"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0AF77DFE"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FFFF99"/>
            <w:hideMark/>
          </w:tcPr>
          <w:p w14:paraId="53A9355D"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MODERATE RISK</w:t>
            </w:r>
          </w:p>
        </w:tc>
      </w:tr>
      <w:tr w:rsidR="00DA5292" w:rsidRPr="00DA5292" w14:paraId="3D675516" w14:textId="77777777" w:rsidTr="00660B99">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1894010E" w14:textId="577910DE"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Chipukuma</w:t>
            </w:r>
            <w:r>
              <w:rPr>
                <w:rFonts w:ascii="Calibri" w:eastAsia="Times New Roman" w:hAnsi="Calibri" w:cs="Calibri"/>
                <w:color w:val="000000"/>
              </w:rPr>
              <w:t xml:space="preserve"> </w:t>
            </w:r>
            <w:r w:rsidRPr="00DA5292">
              <w:rPr>
                <w:rFonts w:ascii="Calibri" w:eastAsia="Times New Roman" w:hAnsi="Calibri" w:cs="Calibri"/>
                <w:color w:val="000000"/>
              </w:rPr>
              <w:t>2020</w:t>
            </w:r>
          </w:p>
        </w:tc>
        <w:tc>
          <w:tcPr>
            <w:tcW w:w="630" w:type="dxa"/>
            <w:tcBorders>
              <w:top w:val="nil"/>
              <w:left w:val="nil"/>
              <w:bottom w:val="single" w:sz="4" w:space="0" w:color="auto"/>
              <w:right w:val="single" w:sz="4" w:space="0" w:color="auto"/>
            </w:tcBorders>
            <w:shd w:val="clear" w:color="000000" w:fill="FFCCFF"/>
            <w:hideMark/>
          </w:tcPr>
          <w:p w14:paraId="00F922A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000000" w:fill="A9D08E"/>
            <w:hideMark/>
          </w:tcPr>
          <w:p w14:paraId="70B3D6E1"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A9D08E"/>
            <w:hideMark/>
          </w:tcPr>
          <w:p w14:paraId="3E4770FF"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F2F2F2"/>
            <w:hideMark/>
          </w:tcPr>
          <w:p w14:paraId="55C6C45F"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720" w:type="dxa"/>
            <w:tcBorders>
              <w:top w:val="nil"/>
              <w:left w:val="nil"/>
              <w:bottom w:val="single" w:sz="4" w:space="0" w:color="auto"/>
              <w:right w:val="single" w:sz="4" w:space="0" w:color="auto"/>
            </w:tcBorders>
            <w:shd w:val="clear" w:color="000000" w:fill="A9D08E"/>
            <w:hideMark/>
          </w:tcPr>
          <w:p w14:paraId="45685344"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4E4F40FA"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517C9887"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auto" w:fill="FFCCFF"/>
            <w:hideMark/>
          </w:tcPr>
          <w:p w14:paraId="33F4477D" w14:textId="0B718785" w:rsidR="00DA5292" w:rsidRPr="00DA5292" w:rsidRDefault="00660B99"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SERIOUS</w:t>
            </w:r>
            <w:r>
              <w:rPr>
                <w:rFonts w:ascii="Calibri" w:eastAsia="Times New Roman" w:hAnsi="Calibri" w:cs="Calibri"/>
                <w:color w:val="000000"/>
              </w:rPr>
              <w:t xml:space="preserve"> RISK</w:t>
            </w:r>
          </w:p>
        </w:tc>
      </w:tr>
      <w:tr w:rsidR="00DA5292" w:rsidRPr="00DA5292" w14:paraId="418976EA" w14:textId="77777777" w:rsidTr="00BD7C50">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4037FC31"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Colin 2018</w:t>
            </w:r>
          </w:p>
        </w:tc>
        <w:tc>
          <w:tcPr>
            <w:tcW w:w="630" w:type="dxa"/>
            <w:tcBorders>
              <w:top w:val="nil"/>
              <w:left w:val="nil"/>
              <w:bottom w:val="single" w:sz="4" w:space="0" w:color="auto"/>
              <w:right w:val="single" w:sz="4" w:space="0" w:color="auto"/>
            </w:tcBorders>
            <w:shd w:val="clear" w:color="000000" w:fill="FFCCFF"/>
            <w:hideMark/>
          </w:tcPr>
          <w:p w14:paraId="3ED2BD6A"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000000" w:fill="A9D08E"/>
            <w:hideMark/>
          </w:tcPr>
          <w:p w14:paraId="35B96EA4"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A9D08E"/>
            <w:hideMark/>
          </w:tcPr>
          <w:p w14:paraId="25D648F8"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28BA1F32"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074B977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79FF2D1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4D728CC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FFFF99"/>
            <w:hideMark/>
          </w:tcPr>
          <w:p w14:paraId="3E90513D"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MODERATE RISK</w:t>
            </w:r>
          </w:p>
        </w:tc>
      </w:tr>
      <w:tr w:rsidR="00DA5292" w:rsidRPr="00DA5292" w14:paraId="0F7575E4" w14:textId="77777777" w:rsidTr="00BD7C50">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51A3BC1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Cover 2014</w:t>
            </w:r>
          </w:p>
        </w:tc>
        <w:tc>
          <w:tcPr>
            <w:tcW w:w="630" w:type="dxa"/>
            <w:tcBorders>
              <w:top w:val="nil"/>
              <w:left w:val="nil"/>
              <w:bottom w:val="single" w:sz="4" w:space="0" w:color="auto"/>
              <w:right w:val="single" w:sz="4" w:space="0" w:color="auto"/>
            </w:tcBorders>
            <w:shd w:val="clear" w:color="000000" w:fill="A9D08E"/>
            <w:hideMark/>
          </w:tcPr>
          <w:p w14:paraId="1174547E"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FFFF99"/>
            <w:hideMark/>
          </w:tcPr>
          <w:p w14:paraId="36DA22D7"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2</w:t>
            </w:r>
          </w:p>
        </w:tc>
        <w:tc>
          <w:tcPr>
            <w:tcW w:w="809" w:type="dxa"/>
            <w:tcBorders>
              <w:top w:val="nil"/>
              <w:left w:val="nil"/>
              <w:bottom w:val="single" w:sz="4" w:space="0" w:color="auto"/>
              <w:right w:val="single" w:sz="4" w:space="0" w:color="auto"/>
            </w:tcBorders>
            <w:shd w:val="clear" w:color="000000" w:fill="F2F2F2"/>
            <w:hideMark/>
          </w:tcPr>
          <w:p w14:paraId="69776D5E"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1261" w:type="dxa"/>
            <w:tcBorders>
              <w:top w:val="nil"/>
              <w:left w:val="nil"/>
              <w:bottom w:val="single" w:sz="4" w:space="0" w:color="auto"/>
              <w:right w:val="single" w:sz="4" w:space="0" w:color="auto"/>
            </w:tcBorders>
            <w:shd w:val="clear" w:color="000000" w:fill="F2F2F2"/>
            <w:hideMark/>
          </w:tcPr>
          <w:p w14:paraId="25AB9221"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720" w:type="dxa"/>
            <w:tcBorders>
              <w:top w:val="nil"/>
              <w:left w:val="nil"/>
              <w:bottom w:val="single" w:sz="4" w:space="0" w:color="auto"/>
              <w:right w:val="single" w:sz="4" w:space="0" w:color="auto"/>
            </w:tcBorders>
            <w:shd w:val="clear" w:color="000000" w:fill="A9D08E"/>
            <w:hideMark/>
          </w:tcPr>
          <w:p w14:paraId="4211D3CE"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40F75B2E"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6C71C947"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FFFF99"/>
            <w:hideMark/>
          </w:tcPr>
          <w:p w14:paraId="64439344"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MODERATE RISK</w:t>
            </w:r>
          </w:p>
        </w:tc>
      </w:tr>
      <w:tr w:rsidR="00DA5292" w:rsidRPr="00DA5292" w14:paraId="57BFF834" w14:textId="77777777" w:rsidTr="00BD7C50">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28386BAB"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CTwatch Group, Cyprien Zinsou 2017</w:t>
            </w:r>
          </w:p>
        </w:tc>
        <w:tc>
          <w:tcPr>
            <w:tcW w:w="630" w:type="dxa"/>
            <w:tcBorders>
              <w:top w:val="nil"/>
              <w:left w:val="nil"/>
              <w:bottom w:val="single" w:sz="4" w:space="0" w:color="auto"/>
              <w:right w:val="single" w:sz="4" w:space="0" w:color="auto"/>
            </w:tcBorders>
            <w:shd w:val="clear" w:color="000000" w:fill="A9D08E"/>
            <w:hideMark/>
          </w:tcPr>
          <w:p w14:paraId="17874FA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3D083713"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F2F2F2"/>
            <w:hideMark/>
          </w:tcPr>
          <w:p w14:paraId="7F35B994"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1261" w:type="dxa"/>
            <w:tcBorders>
              <w:top w:val="nil"/>
              <w:left w:val="nil"/>
              <w:bottom w:val="single" w:sz="4" w:space="0" w:color="auto"/>
              <w:right w:val="single" w:sz="4" w:space="0" w:color="auto"/>
            </w:tcBorders>
            <w:shd w:val="clear" w:color="000000" w:fill="F2F2F2"/>
            <w:hideMark/>
          </w:tcPr>
          <w:p w14:paraId="4B1D4F43"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720" w:type="dxa"/>
            <w:tcBorders>
              <w:top w:val="nil"/>
              <w:left w:val="nil"/>
              <w:bottom w:val="single" w:sz="4" w:space="0" w:color="auto"/>
              <w:right w:val="single" w:sz="4" w:space="0" w:color="auto"/>
            </w:tcBorders>
            <w:shd w:val="clear" w:color="000000" w:fill="A9D08E"/>
            <w:hideMark/>
          </w:tcPr>
          <w:p w14:paraId="3E7697C7"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66A99059"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1213851F"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A9D08E"/>
            <w:hideMark/>
          </w:tcPr>
          <w:p w14:paraId="11E6A120"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LOW RISK</w:t>
            </w:r>
          </w:p>
        </w:tc>
      </w:tr>
      <w:tr w:rsidR="00DA5292" w:rsidRPr="00DA5292" w14:paraId="1F0661FF" w14:textId="77777777" w:rsidTr="00660B99">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7AA1C9D7"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Doherty (Ethiopia) 2014</w:t>
            </w:r>
          </w:p>
        </w:tc>
        <w:tc>
          <w:tcPr>
            <w:tcW w:w="630" w:type="dxa"/>
            <w:tcBorders>
              <w:top w:val="nil"/>
              <w:left w:val="nil"/>
              <w:bottom w:val="single" w:sz="4" w:space="0" w:color="auto"/>
              <w:right w:val="single" w:sz="4" w:space="0" w:color="auto"/>
            </w:tcBorders>
            <w:shd w:val="clear" w:color="000000" w:fill="FFCCFF"/>
            <w:hideMark/>
          </w:tcPr>
          <w:p w14:paraId="2BC92CFA"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000000" w:fill="A9D08E"/>
            <w:hideMark/>
          </w:tcPr>
          <w:p w14:paraId="5FCF2DA3"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A9D08E"/>
            <w:hideMark/>
          </w:tcPr>
          <w:p w14:paraId="2A16B69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446843D5"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6EFF0EF4"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49ED98E8"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3B0FD645"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auto" w:fill="FFCCFF"/>
            <w:hideMark/>
          </w:tcPr>
          <w:p w14:paraId="699BF4AC" w14:textId="413C9E51" w:rsidR="00DA5292" w:rsidRPr="00DA5292" w:rsidRDefault="00660B99"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SERIOUS</w:t>
            </w:r>
            <w:r>
              <w:rPr>
                <w:rFonts w:ascii="Calibri" w:eastAsia="Times New Roman" w:hAnsi="Calibri" w:cs="Calibri"/>
                <w:color w:val="000000"/>
              </w:rPr>
              <w:t xml:space="preserve"> RISK</w:t>
            </w:r>
          </w:p>
        </w:tc>
      </w:tr>
      <w:tr w:rsidR="00DA5292" w:rsidRPr="00DA5292" w14:paraId="0B79594A" w14:textId="77777777" w:rsidTr="00660B99">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52EA429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Garg 2020</w:t>
            </w:r>
          </w:p>
        </w:tc>
        <w:tc>
          <w:tcPr>
            <w:tcW w:w="630" w:type="dxa"/>
            <w:tcBorders>
              <w:top w:val="nil"/>
              <w:left w:val="nil"/>
              <w:bottom w:val="single" w:sz="4" w:space="0" w:color="auto"/>
              <w:right w:val="single" w:sz="4" w:space="0" w:color="auto"/>
            </w:tcBorders>
            <w:shd w:val="clear" w:color="000000" w:fill="FFCCFF"/>
            <w:hideMark/>
          </w:tcPr>
          <w:p w14:paraId="000A45C0"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000000" w:fill="A9D08E"/>
            <w:hideMark/>
          </w:tcPr>
          <w:p w14:paraId="25227985"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A9D08E"/>
            <w:hideMark/>
          </w:tcPr>
          <w:p w14:paraId="369CA196"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31EFB66F"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543689FA"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4B582ADD"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10714178"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auto" w:fill="FFCCFF"/>
            <w:hideMark/>
          </w:tcPr>
          <w:p w14:paraId="63E9629F" w14:textId="01731659" w:rsidR="00DA5292" w:rsidRPr="00DA5292" w:rsidRDefault="00660B99"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SERIOUS</w:t>
            </w:r>
            <w:r>
              <w:rPr>
                <w:rFonts w:ascii="Calibri" w:eastAsia="Times New Roman" w:hAnsi="Calibri" w:cs="Calibri"/>
                <w:color w:val="000000"/>
              </w:rPr>
              <w:t xml:space="preserve"> RISK</w:t>
            </w:r>
          </w:p>
        </w:tc>
      </w:tr>
      <w:tr w:rsidR="00DA5292" w:rsidRPr="00DA5292" w14:paraId="6D1EE499" w14:textId="77777777" w:rsidTr="00BD7C50">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49631219"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Gilroy 2012</w:t>
            </w:r>
          </w:p>
        </w:tc>
        <w:tc>
          <w:tcPr>
            <w:tcW w:w="630" w:type="dxa"/>
            <w:tcBorders>
              <w:top w:val="nil"/>
              <w:left w:val="nil"/>
              <w:bottom w:val="single" w:sz="4" w:space="0" w:color="auto"/>
              <w:right w:val="single" w:sz="4" w:space="0" w:color="auto"/>
            </w:tcBorders>
            <w:shd w:val="clear" w:color="000000" w:fill="A9D08E"/>
            <w:hideMark/>
          </w:tcPr>
          <w:p w14:paraId="78BA14FB"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auto" w:fill="auto"/>
            <w:hideMark/>
          </w:tcPr>
          <w:p w14:paraId="15C3E177" w14:textId="77777777" w:rsidR="00DA5292" w:rsidRPr="00DA5292" w:rsidRDefault="00DA5292" w:rsidP="00BD7C50">
            <w:pPr>
              <w:spacing w:after="0" w:line="240" w:lineRule="auto"/>
              <w:rPr>
                <w:rFonts w:ascii="Calibri" w:eastAsia="Times New Roman" w:hAnsi="Calibri" w:cs="Calibri"/>
                <w:color w:val="000000"/>
                <w:u w:val="single"/>
              </w:rPr>
            </w:pPr>
            <w:r w:rsidRPr="00DA5292">
              <w:rPr>
                <w:rFonts w:ascii="Calibri" w:eastAsia="Times New Roman" w:hAnsi="Calibri" w:cs="Calibri"/>
                <w:color w:val="000000"/>
                <w:u w:val="single"/>
              </w:rPr>
              <w:t>N/A</w:t>
            </w:r>
          </w:p>
        </w:tc>
        <w:tc>
          <w:tcPr>
            <w:tcW w:w="809" w:type="dxa"/>
            <w:tcBorders>
              <w:top w:val="nil"/>
              <w:left w:val="nil"/>
              <w:bottom w:val="single" w:sz="4" w:space="0" w:color="auto"/>
              <w:right w:val="single" w:sz="4" w:space="0" w:color="auto"/>
            </w:tcBorders>
            <w:shd w:val="clear" w:color="auto" w:fill="auto"/>
            <w:hideMark/>
          </w:tcPr>
          <w:p w14:paraId="16AD4483" w14:textId="77777777" w:rsidR="00DA5292" w:rsidRPr="00DA5292" w:rsidRDefault="00DA5292" w:rsidP="00BD7C50">
            <w:pPr>
              <w:spacing w:after="0" w:line="240" w:lineRule="auto"/>
              <w:rPr>
                <w:rFonts w:ascii="Calibri" w:eastAsia="Times New Roman" w:hAnsi="Calibri" w:cs="Calibri"/>
                <w:color w:val="000000"/>
                <w:u w:val="single"/>
              </w:rPr>
            </w:pPr>
            <w:r w:rsidRPr="00DA5292">
              <w:rPr>
                <w:rFonts w:ascii="Calibri" w:eastAsia="Times New Roman" w:hAnsi="Calibri" w:cs="Calibri"/>
                <w:color w:val="000000"/>
                <w:u w:val="single"/>
              </w:rPr>
              <w:t>N/A</w:t>
            </w:r>
          </w:p>
        </w:tc>
        <w:tc>
          <w:tcPr>
            <w:tcW w:w="1261" w:type="dxa"/>
            <w:tcBorders>
              <w:top w:val="nil"/>
              <w:left w:val="nil"/>
              <w:bottom w:val="single" w:sz="4" w:space="0" w:color="auto"/>
              <w:right w:val="single" w:sz="4" w:space="0" w:color="auto"/>
            </w:tcBorders>
            <w:shd w:val="clear" w:color="000000" w:fill="A9D08E"/>
            <w:hideMark/>
          </w:tcPr>
          <w:p w14:paraId="102A0480"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36FB4ABD"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616EFCE4"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79E8948F"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A9D08E"/>
            <w:hideMark/>
          </w:tcPr>
          <w:p w14:paraId="6A983B11"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LOW RISK</w:t>
            </w:r>
          </w:p>
        </w:tc>
      </w:tr>
      <w:tr w:rsidR="00DA5292" w:rsidRPr="00DA5292" w14:paraId="0BB99500" w14:textId="77777777" w:rsidTr="00660B99">
        <w:trPr>
          <w:trHeight w:val="20"/>
          <w:jc w:val="center"/>
        </w:trPr>
        <w:tc>
          <w:tcPr>
            <w:tcW w:w="4045" w:type="dxa"/>
            <w:tcBorders>
              <w:top w:val="nil"/>
              <w:left w:val="single" w:sz="4" w:space="0" w:color="auto"/>
              <w:bottom w:val="single" w:sz="4" w:space="0" w:color="auto"/>
              <w:right w:val="single" w:sz="4" w:space="0" w:color="auto"/>
            </w:tcBorders>
            <w:shd w:val="clear" w:color="auto" w:fill="auto"/>
            <w:hideMark/>
          </w:tcPr>
          <w:p w14:paraId="5534B139"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Heidkamp 2015</w:t>
            </w:r>
          </w:p>
        </w:tc>
        <w:tc>
          <w:tcPr>
            <w:tcW w:w="630" w:type="dxa"/>
            <w:tcBorders>
              <w:top w:val="nil"/>
              <w:left w:val="nil"/>
              <w:bottom w:val="single" w:sz="4" w:space="0" w:color="auto"/>
              <w:right w:val="single" w:sz="4" w:space="0" w:color="auto"/>
            </w:tcBorders>
            <w:shd w:val="clear" w:color="000000" w:fill="FFCCFF"/>
            <w:hideMark/>
          </w:tcPr>
          <w:p w14:paraId="617FCA6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000000" w:fill="A9D08E"/>
            <w:hideMark/>
          </w:tcPr>
          <w:p w14:paraId="7E856E97"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A9D08E"/>
            <w:hideMark/>
          </w:tcPr>
          <w:p w14:paraId="5FF0A37F"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2DBD16BB"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4A1DC45F"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73035271"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617EA266"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auto" w:fill="FFCCFF"/>
            <w:hideMark/>
          </w:tcPr>
          <w:p w14:paraId="52290BE1" w14:textId="55DC1E82" w:rsidR="00DA5292" w:rsidRPr="00DA5292" w:rsidRDefault="00660B99"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SERIOUS</w:t>
            </w:r>
            <w:r>
              <w:rPr>
                <w:rFonts w:ascii="Calibri" w:eastAsia="Times New Roman" w:hAnsi="Calibri" w:cs="Calibri"/>
                <w:color w:val="000000"/>
              </w:rPr>
              <w:t xml:space="preserve"> RISK</w:t>
            </w:r>
          </w:p>
        </w:tc>
      </w:tr>
      <w:tr w:rsidR="00DA5292" w:rsidRPr="00DA5292" w14:paraId="2552EB4D" w14:textId="77777777" w:rsidTr="00660B99">
        <w:trPr>
          <w:trHeight w:val="20"/>
          <w:jc w:val="center"/>
        </w:trPr>
        <w:tc>
          <w:tcPr>
            <w:tcW w:w="4045" w:type="dxa"/>
            <w:tcBorders>
              <w:top w:val="nil"/>
              <w:left w:val="single" w:sz="4" w:space="0" w:color="auto"/>
              <w:bottom w:val="single" w:sz="4" w:space="0" w:color="auto"/>
              <w:right w:val="single" w:sz="4" w:space="0" w:color="auto"/>
            </w:tcBorders>
            <w:shd w:val="clear" w:color="000000" w:fill="FFFFFF"/>
            <w:hideMark/>
          </w:tcPr>
          <w:p w14:paraId="2C0C3BCF"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Jarrah 2014</w:t>
            </w:r>
          </w:p>
        </w:tc>
        <w:tc>
          <w:tcPr>
            <w:tcW w:w="630" w:type="dxa"/>
            <w:tcBorders>
              <w:top w:val="nil"/>
              <w:left w:val="nil"/>
              <w:bottom w:val="single" w:sz="4" w:space="0" w:color="auto"/>
              <w:right w:val="single" w:sz="4" w:space="0" w:color="auto"/>
            </w:tcBorders>
            <w:shd w:val="clear" w:color="000000" w:fill="FFCCFF"/>
            <w:hideMark/>
          </w:tcPr>
          <w:p w14:paraId="6C5F39CE"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000000" w:fill="A9D08E"/>
            <w:hideMark/>
          </w:tcPr>
          <w:p w14:paraId="1C398A3A"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A9D08E"/>
            <w:hideMark/>
          </w:tcPr>
          <w:p w14:paraId="6678863F"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38C2FB0D"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2B25E53C"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67D7FB85"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63D91D84" w14:textId="77777777" w:rsidR="00DA5292" w:rsidRPr="00DA5292" w:rsidRDefault="00DA5292" w:rsidP="00BD7C50">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auto" w:fill="FFCCFF"/>
            <w:hideMark/>
          </w:tcPr>
          <w:p w14:paraId="1B4E48FE" w14:textId="04D8B70F" w:rsidR="00DA5292" w:rsidRPr="00DA5292" w:rsidRDefault="00660B99" w:rsidP="00BD7C50">
            <w:pPr>
              <w:spacing w:after="0" w:line="240" w:lineRule="auto"/>
              <w:rPr>
                <w:rFonts w:ascii="Calibri" w:eastAsia="Times New Roman" w:hAnsi="Calibri" w:cs="Calibri"/>
                <w:color w:val="000000"/>
              </w:rPr>
            </w:pPr>
            <w:r>
              <w:rPr>
                <w:rFonts w:ascii="Calibri" w:eastAsia="Times New Roman" w:hAnsi="Calibri" w:cs="Calibri"/>
                <w:color w:val="000000"/>
              </w:rPr>
              <w:t>SERIOUS</w:t>
            </w:r>
            <w:r w:rsidR="00DA5292" w:rsidRPr="00DA5292">
              <w:rPr>
                <w:rFonts w:ascii="Calibri" w:eastAsia="Times New Roman" w:hAnsi="Calibri" w:cs="Calibri"/>
                <w:color w:val="000000"/>
              </w:rPr>
              <w:t xml:space="preserve"> RISK</w:t>
            </w:r>
          </w:p>
        </w:tc>
      </w:tr>
      <w:tr w:rsidR="00AB44B9" w:rsidRPr="00DA5292" w14:paraId="4A2B1C79" w14:textId="77777777" w:rsidTr="00AB44B9">
        <w:trPr>
          <w:trHeight w:val="144"/>
          <w:jc w:val="center"/>
        </w:trPr>
        <w:tc>
          <w:tcPr>
            <w:tcW w:w="4045" w:type="dxa"/>
            <w:tcBorders>
              <w:top w:val="nil"/>
              <w:left w:val="single" w:sz="4" w:space="0" w:color="auto"/>
              <w:bottom w:val="single" w:sz="4" w:space="0" w:color="auto"/>
              <w:right w:val="single" w:sz="4" w:space="0" w:color="auto"/>
            </w:tcBorders>
            <w:shd w:val="clear" w:color="auto" w:fill="auto"/>
          </w:tcPr>
          <w:p w14:paraId="1F92C401" w14:textId="293931C2" w:rsidR="00AB44B9" w:rsidRPr="00DA5292" w:rsidRDefault="00AB44B9" w:rsidP="00AB44B9">
            <w:pPr>
              <w:spacing w:after="0" w:line="240" w:lineRule="auto"/>
              <w:rPr>
                <w:rFonts w:ascii="Calibri" w:eastAsia="Times New Roman" w:hAnsi="Calibri" w:cs="Calibri"/>
                <w:color w:val="000000"/>
              </w:rPr>
            </w:pPr>
            <w:r>
              <w:rPr>
                <w:rFonts w:ascii="Calibri" w:eastAsia="Times New Roman" w:hAnsi="Calibri" w:cs="Calibri"/>
                <w:color w:val="000000"/>
              </w:rPr>
              <w:t xml:space="preserve">JSI </w:t>
            </w:r>
            <w:r w:rsidR="00900DAE">
              <w:rPr>
                <w:rFonts w:ascii="Calibri" w:eastAsia="Times New Roman" w:hAnsi="Calibri" w:cs="Calibri"/>
                <w:color w:val="000000"/>
              </w:rPr>
              <w:t>2018</w:t>
            </w:r>
          </w:p>
        </w:tc>
        <w:tc>
          <w:tcPr>
            <w:tcW w:w="630" w:type="dxa"/>
            <w:tcBorders>
              <w:top w:val="nil"/>
              <w:left w:val="nil"/>
              <w:bottom w:val="single" w:sz="4" w:space="0" w:color="auto"/>
              <w:right w:val="single" w:sz="4" w:space="0" w:color="auto"/>
            </w:tcBorders>
            <w:shd w:val="clear" w:color="000000" w:fill="FFCCFF"/>
          </w:tcPr>
          <w:p w14:paraId="5C7616C1" w14:textId="5E9413D4" w:rsidR="00AB44B9" w:rsidRPr="00DA5292" w:rsidRDefault="00AB44B9" w:rsidP="00AB44B9">
            <w:pPr>
              <w:spacing w:after="0" w:line="240" w:lineRule="auto"/>
              <w:rPr>
                <w:rFonts w:ascii="Calibri" w:eastAsia="Times New Roman" w:hAnsi="Calibri" w:cs="Calibri"/>
                <w:color w:val="000000"/>
              </w:rPr>
            </w:pPr>
            <w:r>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auto" w:fill="FFFF99"/>
          </w:tcPr>
          <w:p w14:paraId="3953D363" w14:textId="4B626297" w:rsidR="00AB44B9" w:rsidRPr="00DA5292" w:rsidRDefault="00AB44B9" w:rsidP="00AB44B9">
            <w:pPr>
              <w:spacing w:after="0" w:line="240" w:lineRule="auto"/>
              <w:rPr>
                <w:rFonts w:ascii="Calibri" w:eastAsia="Times New Roman" w:hAnsi="Calibri" w:cs="Calibri"/>
                <w:color w:val="000000"/>
              </w:rPr>
            </w:pPr>
            <w:r w:rsidRPr="00DA5292">
              <w:rPr>
                <w:rFonts w:ascii="Calibri" w:eastAsia="Times New Roman" w:hAnsi="Calibri" w:cs="Calibri"/>
                <w:color w:val="000000"/>
              </w:rPr>
              <w:t>2</w:t>
            </w:r>
          </w:p>
        </w:tc>
        <w:tc>
          <w:tcPr>
            <w:tcW w:w="809" w:type="dxa"/>
            <w:tcBorders>
              <w:top w:val="nil"/>
              <w:left w:val="nil"/>
              <w:bottom w:val="single" w:sz="4" w:space="0" w:color="auto"/>
              <w:right w:val="single" w:sz="4" w:space="0" w:color="auto"/>
            </w:tcBorders>
            <w:shd w:val="clear" w:color="auto" w:fill="FFFF99"/>
          </w:tcPr>
          <w:p w14:paraId="5FE15EAB" w14:textId="5EBE8A96" w:rsidR="00AB44B9" w:rsidRPr="00DA5292" w:rsidRDefault="00AB44B9" w:rsidP="00AB44B9">
            <w:pPr>
              <w:spacing w:after="0" w:line="240" w:lineRule="auto"/>
              <w:rPr>
                <w:rFonts w:ascii="Calibri" w:eastAsia="Times New Roman" w:hAnsi="Calibri" w:cs="Calibri"/>
                <w:color w:val="000000"/>
              </w:rPr>
            </w:pPr>
            <w:r>
              <w:rPr>
                <w:rFonts w:ascii="Calibri" w:eastAsia="Times New Roman" w:hAnsi="Calibri" w:cs="Calibri"/>
                <w:color w:val="000000"/>
              </w:rPr>
              <w:t>2</w:t>
            </w:r>
          </w:p>
        </w:tc>
        <w:tc>
          <w:tcPr>
            <w:tcW w:w="1261" w:type="dxa"/>
            <w:tcBorders>
              <w:top w:val="nil"/>
              <w:left w:val="nil"/>
              <w:bottom w:val="single" w:sz="4" w:space="0" w:color="auto"/>
              <w:right w:val="single" w:sz="4" w:space="0" w:color="auto"/>
            </w:tcBorders>
            <w:shd w:val="clear" w:color="000000" w:fill="A9D08E"/>
          </w:tcPr>
          <w:p w14:paraId="63F9C0ED" w14:textId="4ED7859E" w:rsidR="00AB44B9" w:rsidRPr="00DA5292" w:rsidRDefault="00AB44B9" w:rsidP="00AB44B9">
            <w:pPr>
              <w:spacing w:after="0" w:line="240" w:lineRule="auto"/>
              <w:rPr>
                <w:rFonts w:ascii="Calibri" w:eastAsia="Times New Roman" w:hAnsi="Calibri" w:cs="Calibri"/>
                <w:color w:val="000000"/>
              </w:rPr>
            </w:pPr>
            <w:r>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tcPr>
          <w:p w14:paraId="7F6B3922" w14:textId="3D2DD22B" w:rsidR="00AB44B9" w:rsidRPr="00DA5292" w:rsidRDefault="00AB44B9" w:rsidP="00AB44B9">
            <w:pPr>
              <w:spacing w:after="0" w:line="240" w:lineRule="auto"/>
              <w:rPr>
                <w:rFonts w:ascii="Calibri" w:eastAsia="Times New Roman" w:hAnsi="Calibri" w:cs="Calibri"/>
                <w:color w:val="000000"/>
              </w:rPr>
            </w:pPr>
            <w:r>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tcPr>
          <w:p w14:paraId="4F7BC2EA" w14:textId="21E4984F" w:rsidR="00AB44B9" w:rsidRPr="00DA5292" w:rsidRDefault="00AB44B9" w:rsidP="00AB44B9">
            <w:pPr>
              <w:spacing w:after="0" w:line="240" w:lineRule="auto"/>
              <w:rPr>
                <w:rFonts w:ascii="Calibri" w:eastAsia="Times New Roman" w:hAnsi="Calibri" w:cs="Calibri"/>
                <w:color w:val="000000"/>
              </w:rPr>
            </w:pPr>
            <w:r>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tcPr>
          <w:p w14:paraId="59F164B2" w14:textId="59B3DCA0" w:rsidR="00AB44B9" w:rsidRPr="00DA5292" w:rsidRDefault="00AB44B9" w:rsidP="00AB44B9">
            <w:pPr>
              <w:spacing w:after="0" w:line="240" w:lineRule="auto"/>
              <w:rPr>
                <w:rFonts w:ascii="Calibri" w:eastAsia="Times New Roman" w:hAnsi="Calibri" w:cs="Calibri"/>
                <w:color w:val="000000"/>
              </w:rPr>
            </w:pPr>
            <w:r>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auto" w:fill="FFCCFF"/>
          </w:tcPr>
          <w:p w14:paraId="1CB0EAC4" w14:textId="7EB602CF" w:rsidR="00AB44B9" w:rsidRDefault="00900DAE" w:rsidP="00AB44B9">
            <w:pPr>
              <w:spacing w:after="0" w:line="240" w:lineRule="auto"/>
              <w:rPr>
                <w:rFonts w:ascii="Calibri" w:eastAsia="Times New Roman" w:hAnsi="Calibri" w:cs="Calibri"/>
                <w:color w:val="000000"/>
              </w:rPr>
            </w:pPr>
            <w:r>
              <w:rPr>
                <w:rFonts w:ascii="Calibri" w:eastAsia="Times New Roman" w:hAnsi="Calibri" w:cs="Calibri"/>
                <w:color w:val="000000"/>
              </w:rPr>
              <w:t>SERIOUS RISK</w:t>
            </w:r>
          </w:p>
        </w:tc>
      </w:tr>
      <w:tr w:rsidR="009B0168" w:rsidRPr="00DA5292" w14:paraId="60162D23" w14:textId="77777777" w:rsidTr="009B0168">
        <w:trPr>
          <w:trHeight w:val="144"/>
          <w:jc w:val="center"/>
        </w:trPr>
        <w:tc>
          <w:tcPr>
            <w:tcW w:w="4045" w:type="dxa"/>
            <w:tcBorders>
              <w:top w:val="nil"/>
              <w:left w:val="single" w:sz="4" w:space="0" w:color="auto"/>
              <w:bottom w:val="single" w:sz="4" w:space="0" w:color="auto"/>
              <w:right w:val="single" w:sz="4" w:space="0" w:color="auto"/>
            </w:tcBorders>
            <w:shd w:val="clear" w:color="auto" w:fill="auto"/>
          </w:tcPr>
          <w:p w14:paraId="19118C5B" w14:textId="5AA4997A" w:rsidR="009B0168" w:rsidRPr="00DA5292" w:rsidRDefault="009B0168" w:rsidP="009B0168">
            <w:pPr>
              <w:spacing w:after="0" w:line="240" w:lineRule="auto"/>
              <w:rPr>
                <w:rFonts w:ascii="Calibri" w:eastAsia="Times New Roman" w:hAnsi="Calibri" w:cs="Calibri"/>
                <w:color w:val="000000"/>
              </w:rPr>
            </w:pPr>
            <w:r>
              <w:rPr>
                <w:rFonts w:ascii="Calibri" w:eastAsia="Times New Roman" w:hAnsi="Calibri" w:cs="Calibri"/>
                <w:color w:val="000000"/>
              </w:rPr>
              <w:t>Kaludzu 2016</w:t>
            </w:r>
          </w:p>
        </w:tc>
        <w:tc>
          <w:tcPr>
            <w:tcW w:w="630" w:type="dxa"/>
            <w:tcBorders>
              <w:top w:val="nil"/>
              <w:left w:val="nil"/>
              <w:bottom w:val="single" w:sz="4" w:space="0" w:color="auto"/>
              <w:right w:val="single" w:sz="4" w:space="0" w:color="auto"/>
            </w:tcBorders>
            <w:shd w:val="clear" w:color="auto" w:fill="C5E0B3" w:themeFill="accent6" w:themeFillTint="66"/>
          </w:tcPr>
          <w:p w14:paraId="51423382" w14:textId="77A0CE4F" w:rsidR="009B0168" w:rsidRPr="00DA5292" w:rsidRDefault="009B0168" w:rsidP="009B0168">
            <w:pPr>
              <w:spacing w:after="0" w:line="240" w:lineRule="auto"/>
              <w:rPr>
                <w:rFonts w:ascii="Calibri" w:eastAsia="Times New Roman" w:hAnsi="Calibri" w:cs="Calibri"/>
                <w:color w:val="000000"/>
              </w:rPr>
            </w:pPr>
            <w:r>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auto" w:fill="FFFF99"/>
          </w:tcPr>
          <w:p w14:paraId="73BEE1C2" w14:textId="6F17A99A" w:rsidR="009B0168" w:rsidRPr="00DA5292" w:rsidRDefault="009B0168" w:rsidP="009B0168">
            <w:pPr>
              <w:spacing w:after="0" w:line="240" w:lineRule="auto"/>
              <w:rPr>
                <w:rFonts w:ascii="Calibri" w:eastAsia="Times New Roman" w:hAnsi="Calibri" w:cs="Calibri"/>
                <w:color w:val="000000"/>
              </w:rPr>
            </w:pPr>
            <w:r>
              <w:rPr>
                <w:rFonts w:ascii="Calibri" w:eastAsia="Times New Roman" w:hAnsi="Calibri" w:cs="Calibri"/>
                <w:color w:val="000000"/>
              </w:rPr>
              <w:t>2</w:t>
            </w:r>
          </w:p>
        </w:tc>
        <w:tc>
          <w:tcPr>
            <w:tcW w:w="809" w:type="dxa"/>
            <w:tcBorders>
              <w:top w:val="nil"/>
              <w:left w:val="nil"/>
              <w:bottom w:val="single" w:sz="4" w:space="0" w:color="auto"/>
              <w:right w:val="single" w:sz="4" w:space="0" w:color="auto"/>
            </w:tcBorders>
            <w:shd w:val="clear" w:color="auto" w:fill="F2F2F2" w:themeFill="background1" w:themeFillShade="F2"/>
          </w:tcPr>
          <w:p w14:paraId="7CE7C004" w14:textId="19538601"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u w:val="single"/>
              </w:rPr>
              <w:t>N/A</w:t>
            </w:r>
          </w:p>
        </w:tc>
        <w:tc>
          <w:tcPr>
            <w:tcW w:w="1261" w:type="dxa"/>
            <w:tcBorders>
              <w:top w:val="nil"/>
              <w:left w:val="nil"/>
              <w:bottom w:val="single" w:sz="4" w:space="0" w:color="auto"/>
              <w:right w:val="single" w:sz="4" w:space="0" w:color="auto"/>
            </w:tcBorders>
            <w:shd w:val="clear" w:color="auto" w:fill="F2F2F2" w:themeFill="background1" w:themeFillShade="F2"/>
          </w:tcPr>
          <w:p w14:paraId="61BE530F" w14:textId="3448950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u w:val="single"/>
              </w:rPr>
              <w:t>N/A</w:t>
            </w:r>
          </w:p>
        </w:tc>
        <w:tc>
          <w:tcPr>
            <w:tcW w:w="720" w:type="dxa"/>
            <w:tcBorders>
              <w:top w:val="nil"/>
              <w:left w:val="nil"/>
              <w:bottom w:val="single" w:sz="4" w:space="0" w:color="auto"/>
              <w:right w:val="single" w:sz="4" w:space="0" w:color="auto"/>
            </w:tcBorders>
            <w:shd w:val="clear" w:color="000000" w:fill="A9D08E"/>
          </w:tcPr>
          <w:p w14:paraId="5D855F28" w14:textId="5F89FE04" w:rsidR="009B0168" w:rsidRPr="00DA5292" w:rsidRDefault="009B0168" w:rsidP="009B0168">
            <w:pPr>
              <w:spacing w:after="0" w:line="240" w:lineRule="auto"/>
              <w:rPr>
                <w:rFonts w:ascii="Calibri" w:eastAsia="Times New Roman" w:hAnsi="Calibri" w:cs="Calibri"/>
                <w:color w:val="000000"/>
              </w:rPr>
            </w:pPr>
            <w:r>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tcPr>
          <w:p w14:paraId="60A07345" w14:textId="4BE2BC70" w:rsidR="009B0168" w:rsidRPr="00DA5292" w:rsidRDefault="009B0168" w:rsidP="009B0168">
            <w:pPr>
              <w:spacing w:after="0" w:line="240" w:lineRule="auto"/>
              <w:rPr>
                <w:rFonts w:ascii="Calibri" w:eastAsia="Times New Roman" w:hAnsi="Calibri" w:cs="Calibri"/>
                <w:color w:val="000000"/>
              </w:rPr>
            </w:pPr>
            <w:r>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tcPr>
          <w:p w14:paraId="067313EF" w14:textId="5463FE7C" w:rsidR="009B0168" w:rsidRPr="00DA5292" w:rsidRDefault="009B0168" w:rsidP="009B0168">
            <w:pPr>
              <w:spacing w:after="0" w:line="240" w:lineRule="auto"/>
              <w:rPr>
                <w:rFonts w:ascii="Calibri" w:eastAsia="Times New Roman" w:hAnsi="Calibri" w:cs="Calibri"/>
                <w:color w:val="000000"/>
              </w:rPr>
            </w:pPr>
            <w:r>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auto" w:fill="FFFF99"/>
          </w:tcPr>
          <w:p w14:paraId="07D06097" w14:textId="45C46622" w:rsidR="009B0168"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MODERATE RISK</w:t>
            </w:r>
          </w:p>
        </w:tc>
      </w:tr>
      <w:tr w:rsidR="009B0168" w:rsidRPr="00DA5292" w14:paraId="7B48D378" w14:textId="77777777" w:rsidTr="00660B99">
        <w:trPr>
          <w:trHeight w:val="144"/>
          <w:jc w:val="center"/>
        </w:trPr>
        <w:tc>
          <w:tcPr>
            <w:tcW w:w="4045" w:type="dxa"/>
            <w:tcBorders>
              <w:top w:val="nil"/>
              <w:left w:val="single" w:sz="4" w:space="0" w:color="auto"/>
              <w:bottom w:val="single" w:sz="4" w:space="0" w:color="auto"/>
              <w:right w:val="single" w:sz="4" w:space="0" w:color="auto"/>
            </w:tcBorders>
            <w:shd w:val="clear" w:color="auto" w:fill="auto"/>
            <w:hideMark/>
          </w:tcPr>
          <w:p w14:paraId="7919B732"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Leon 2020</w:t>
            </w:r>
          </w:p>
        </w:tc>
        <w:tc>
          <w:tcPr>
            <w:tcW w:w="630" w:type="dxa"/>
            <w:tcBorders>
              <w:top w:val="nil"/>
              <w:left w:val="nil"/>
              <w:bottom w:val="single" w:sz="4" w:space="0" w:color="auto"/>
              <w:right w:val="single" w:sz="4" w:space="0" w:color="auto"/>
            </w:tcBorders>
            <w:shd w:val="clear" w:color="000000" w:fill="FFCCFF"/>
            <w:hideMark/>
          </w:tcPr>
          <w:p w14:paraId="6A95EB47"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000000" w:fill="A9D08E"/>
            <w:hideMark/>
          </w:tcPr>
          <w:p w14:paraId="146FF536"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A9D08E"/>
            <w:hideMark/>
          </w:tcPr>
          <w:p w14:paraId="261EDA1B"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08A20E36"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4C07DD45"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64C08DFC"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4A13E84B"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auto" w:fill="FFCCFF"/>
            <w:hideMark/>
          </w:tcPr>
          <w:p w14:paraId="78C366BA" w14:textId="144EFD35" w:rsidR="009B0168" w:rsidRPr="00DA5292" w:rsidRDefault="009B0168" w:rsidP="009B0168">
            <w:pPr>
              <w:spacing w:after="0" w:line="240" w:lineRule="auto"/>
              <w:rPr>
                <w:rFonts w:ascii="Calibri" w:eastAsia="Times New Roman" w:hAnsi="Calibri" w:cs="Calibri"/>
                <w:color w:val="000000"/>
              </w:rPr>
            </w:pPr>
            <w:r>
              <w:rPr>
                <w:rFonts w:ascii="Calibri" w:eastAsia="Times New Roman" w:hAnsi="Calibri" w:cs="Calibri"/>
                <w:color w:val="000000"/>
              </w:rPr>
              <w:t>SERIOUS</w:t>
            </w:r>
            <w:r w:rsidRPr="00DA5292">
              <w:rPr>
                <w:rFonts w:ascii="Calibri" w:eastAsia="Times New Roman" w:hAnsi="Calibri" w:cs="Calibri"/>
                <w:color w:val="000000"/>
              </w:rPr>
              <w:t xml:space="preserve"> RISK</w:t>
            </w:r>
          </w:p>
        </w:tc>
      </w:tr>
      <w:tr w:rsidR="009B0168" w:rsidRPr="00DA5292" w14:paraId="002BE29A" w14:textId="77777777" w:rsidTr="00AB44B9">
        <w:trPr>
          <w:trHeight w:val="144"/>
          <w:jc w:val="center"/>
        </w:trPr>
        <w:tc>
          <w:tcPr>
            <w:tcW w:w="4045" w:type="dxa"/>
            <w:tcBorders>
              <w:top w:val="nil"/>
              <w:left w:val="single" w:sz="4" w:space="0" w:color="auto"/>
              <w:bottom w:val="single" w:sz="4" w:space="0" w:color="auto"/>
              <w:right w:val="single" w:sz="4" w:space="0" w:color="auto"/>
            </w:tcBorders>
            <w:shd w:val="clear" w:color="auto" w:fill="auto"/>
            <w:hideMark/>
          </w:tcPr>
          <w:p w14:paraId="33E5A3FF"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Munos 2016</w:t>
            </w:r>
          </w:p>
        </w:tc>
        <w:tc>
          <w:tcPr>
            <w:tcW w:w="630" w:type="dxa"/>
            <w:tcBorders>
              <w:top w:val="nil"/>
              <w:left w:val="nil"/>
              <w:bottom w:val="single" w:sz="4" w:space="0" w:color="auto"/>
              <w:right w:val="single" w:sz="4" w:space="0" w:color="auto"/>
            </w:tcBorders>
            <w:shd w:val="clear" w:color="000000" w:fill="FFFF99"/>
            <w:hideMark/>
          </w:tcPr>
          <w:p w14:paraId="0BD13BCA"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2</w:t>
            </w:r>
          </w:p>
        </w:tc>
        <w:tc>
          <w:tcPr>
            <w:tcW w:w="720" w:type="dxa"/>
            <w:tcBorders>
              <w:top w:val="nil"/>
              <w:left w:val="nil"/>
              <w:bottom w:val="single" w:sz="4" w:space="0" w:color="auto"/>
              <w:right w:val="single" w:sz="4" w:space="0" w:color="auto"/>
            </w:tcBorders>
            <w:shd w:val="clear" w:color="000000" w:fill="A9D08E"/>
            <w:hideMark/>
          </w:tcPr>
          <w:p w14:paraId="74EF792A"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A9D08E"/>
            <w:hideMark/>
          </w:tcPr>
          <w:p w14:paraId="220836B9"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3028116D"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0C31619C"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5D7A5D6F"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3A5F5B45"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auto" w:fill="FFFF99"/>
            <w:hideMark/>
          </w:tcPr>
          <w:p w14:paraId="773D27C7"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MODERATE RISK</w:t>
            </w:r>
          </w:p>
        </w:tc>
      </w:tr>
      <w:tr w:rsidR="009B0168" w:rsidRPr="00DA5292" w14:paraId="4F75B0F5" w14:textId="77777777" w:rsidTr="00BD7C50">
        <w:trPr>
          <w:trHeight w:val="144"/>
          <w:jc w:val="center"/>
        </w:trPr>
        <w:tc>
          <w:tcPr>
            <w:tcW w:w="4045" w:type="dxa"/>
            <w:tcBorders>
              <w:top w:val="nil"/>
              <w:left w:val="single" w:sz="4" w:space="0" w:color="auto"/>
              <w:bottom w:val="single" w:sz="4" w:space="0" w:color="auto"/>
              <w:right w:val="single" w:sz="4" w:space="0" w:color="auto"/>
            </w:tcBorders>
            <w:shd w:val="clear" w:color="auto" w:fill="auto"/>
            <w:hideMark/>
          </w:tcPr>
          <w:p w14:paraId="2EA0D13D"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Nancy 2012</w:t>
            </w:r>
          </w:p>
        </w:tc>
        <w:tc>
          <w:tcPr>
            <w:tcW w:w="630" w:type="dxa"/>
            <w:tcBorders>
              <w:top w:val="nil"/>
              <w:left w:val="nil"/>
              <w:bottom w:val="single" w:sz="4" w:space="0" w:color="auto"/>
              <w:right w:val="single" w:sz="4" w:space="0" w:color="auto"/>
            </w:tcBorders>
            <w:shd w:val="clear" w:color="000000" w:fill="FFCCFF"/>
            <w:hideMark/>
          </w:tcPr>
          <w:p w14:paraId="6A87D9D7"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000000" w:fill="FFFF99"/>
            <w:hideMark/>
          </w:tcPr>
          <w:p w14:paraId="78BCFCAC"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2</w:t>
            </w:r>
          </w:p>
        </w:tc>
        <w:tc>
          <w:tcPr>
            <w:tcW w:w="809" w:type="dxa"/>
            <w:tcBorders>
              <w:top w:val="nil"/>
              <w:left w:val="nil"/>
              <w:bottom w:val="single" w:sz="4" w:space="0" w:color="auto"/>
              <w:right w:val="single" w:sz="4" w:space="0" w:color="auto"/>
            </w:tcBorders>
            <w:shd w:val="clear" w:color="000000" w:fill="A9D08E"/>
            <w:hideMark/>
          </w:tcPr>
          <w:p w14:paraId="05363E16"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0CF87F2D"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3433A921"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3CEC3147"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4C2B45E9"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FFCCFF"/>
            <w:hideMark/>
          </w:tcPr>
          <w:p w14:paraId="3325E2AC"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SERIOUS RISK</w:t>
            </w:r>
          </w:p>
        </w:tc>
      </w:tr>
      <w:tr w:rsidR="009B0168" w:rsidRPr="00DA5292" w14:paraId="0113CA45" w14:textId="77777777" w:rsidTr="00BD7C50">
        <w:trPr>
          <w:trHeight w:val="144"/>
          <w:jc w:val="center"/>
        </w:trPr>
        <w:tc>
          <w:tcPr>
            <w:tcW w:w="4045" w:type="dxa"/>
            <w:tcBorders>
              <w:top w:val="nil"/>
              <w:left w:val="single" w:sz="4" w:space="0" w:color="auto"/>
              <w:bottom w:val="single" w:sz="4" w:space="0" w:color="auto"/>
              <w:right w:val="single" w:sz="4" w:space="0" w:color="auto"/>
            </w:tcBorders>
            <w:shd w:val="clear" w:color="auto" w:fill="auto"/>
            <w:hideMark/>
          </w:tcPr>
          <w:p w14:paraId="711283FD"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 xml:space="preserve">O'Connell 2011 </w:t>
            </w:r>
          </w:p>
        </w:tc>
        <w:tc>
          <w:tcPr>
            <w:tcW w:w="630" w:type="dxa"/>
            <w:tcBorders>
              <w:top w:val="nil"/>
              <w:left w:val="nil"/>
              <w:bottom w:val="single" w:sz="4" w:space="0" w:color="auto"/>
              <w:right w:val="single" w:sz="4" w:space="0" w:color="auto"/>
            </w:tcBorders>
            <w:shd w:val="clear" w:color="000000" w:fill="A9D08E"/>
            <w:hideMark/>
          </w:tcPr>
          <w:p w14:paraId="6E5E6AB5"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37308DE0"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F2F2F2"/>
            <w:hideMark/>
          </w:tcPr>
          <w:p w14:paraId="5CBFA869" w14:textId="77777777" w:rsidR="009B0168" w:rsidRPr="00DA5292" w:rsidRDefault="009B0168" w:rsidP="009B0168">
            <w:pPr>
              <w:spacing w:after="0" w:line="240" w:lineRule="auto"/>
              <w:rPr>
                <w:rFonts w:ascii="Calibri" w:eastAsia="Times New Roman" w:hAnsi="Calibri" w:cs="Calibri"/>
                <w:color w:val="000000"/>
                <w:u w:val="single"/>
              </w:rPr>
            </w:pPr>
            <w:r w:rsidRPr="00DA5292">
              <w:rPr>
                <w:rFonts w:ascii="Calibri" w:eastAsia="Times New Roman" w:hAnsi="Calibri" w:cs="Calibri"/>
                <w:color w:val="000000"/>
                <w:u w:val="single"/>
              </w:rPr>
              <w:t>N/A</w:t>
            </w:r>
          </w:p>
        </w:tc>
        <w:tc>
          <w:tcPr>
            <w:tcW w:w="1261" w:type="dxa"/>
            <w:tcBorders>
              <w:top w:val="nil"/>
              <w:left w:val="nil"/>
              <w:bottom w:val="single" w:sz="4" w:space="0" w:color="auto"/>
              <w:right w:val="single" w:sz="4" w:space="0" w:color="auto"/>
            </w:tcBorders>
            <w:shd w:val="clear" w:color="000000" w:fill="F2F2F2"/>
            <w:hideMark/>
          </w:tcPr>
          <w:p w14:paraId="3FAC9C69"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720" w:type="dxa"/>
            <w:tcBorders>
              <w:top w:val="nil"/>
              <w:left w:val="nil"/>
              <w:bottom w:val="single" w:sz="4" w:space="0" w:color="auto"/>
              <w:right w:val="single" w:sz="4" w:space="0" w:color="auto"/>
            </w:tcBorders>
            <w:shd w:val="clear" w:color="000000" w:fill="A9D08E"/>
            <w:hideMark/>
          </w:tcPr>
          <w:p w14:paraId="5BF940EF"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043CF409"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316A9D44"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A9D08E"/>
            <w:hideMark/>
          </w:tcPr>
          <w:p w14:paraId="622002AE"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LOW RISK</w:t>
            </w:r>
          </w:p>
        </w:tc>
      </w:tr>
      <w:tr w:rsidR="009B0168" w:rsidRPr="00DA5292" w14:paraId="5ABF4223" w14:textId="77777777" w:rsidTr="00BD7C50">
        <w:trPr>
          <w:trHeight w:val="144"/>
          <w:jc w:val="center"/>
        </w:trPr>
        <w:tc>
          <w:tcPr>
            <w:tcW w:w="4045" w:type="dxa"/>
            <w:tcBorders>
              <w:top w:val="nil"/>
              <w:left w:val="single" w:sz="4" w:space="0" w:color="auto"/>
              <w:bottom w:val="single" w:sz="4" w:space="0" w:color="auto"/>
              <w:right w:val="single" w:sz="4" w:space="0" w:color="auto"/>
            </w:tcBorders>
            <w:shd w:val="clear" w:color="auto" w:fill="auto"/>
            <w:hideMark/>
          </w:tcPr>
          <w:p w14:paraId="6F43729C"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Phok 2017</w:t>
            </w:r>
          </w:p>
        </w:tc>
        <w:tc>
          <w:tcPr>
            <w:tcW w:w="630" w:type="dxa"/>
            <w:tcBorders>
              <w:top w:val="nil"/>
              <w:left w:val="nil"/>
              <w:bottom w:val="single" w:sz="4" w:space="0" w:color="auto"/>
              <w:right w:val="single" w:sz="4" w:space="0" w:color="auto"/>
            </w:tcBorders>
            <w:shd w:val="clear" w:color="000000" w:fill="A9D08E"/>
            <w:hideMark/>
          </w:tcPr>
          <w:p w14:paraId="0990B7B3"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0FE3F1C5"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F2F2F2"/>
            <w:hideMark/>
          </w:tcPr>
          <w:p w14:paraId="36BEDEB2" w14:textId="77777777" w:rsidR="009B0168" w:rsidRPr="00DA5292" w:rsidRDefault="009B0168" w:rsidP="009B0168">
            <w:pPr>
              <w:spacing w:after="0" w:line="240" w:lineRule="auto"/>
              <w:rPr>
                <w:rFonts w:ascii="Calibri" w:eastAsia="Times New Roman" w:hAnsi="Calibri" w:cs="Calibri"/>
                <w:color w:val="000000"/>
                <w:u w:val="single"/>
              </w:rPr>
            </w:pPr>
            <w:r w:rsidRPr="00DA5292">
              <w:rPr>
                <w:rFonts w:ascii="Calibri" w:eastAsia="Times New Roman" w:hAnsi="Calibri" w:cs="Calibri"/>
                <w:color w:val="000000"/>
                <w:u w:val="single"/>
              </w:rPr>
              <w:t>N/A</w:t>
            </w:r>
          </w:p>
        </w:tc>
        <w:tc>
          <w:tcPr>
            <w:tcW w:w="1261" w:type="dxa"/>
            <w:tcBorders>
              <w:top w:val="nil"/>
              <w:left w:val="nil"/>
              <w:bottom w:val="single" w:sz="4" w:space="0" w:color="auto"/>
              <w:right w:val="single" w:sz="4" w:space="0" w:color="auto"/>
            </w:tcBorders>
            <w:shd w:val="clear" w:color="000000" w:fill="F2F2F2"/>
            <w:hideMark/>
          </w:tcPr>
          <w:p w14:paraId="53721B1E"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N/A</w:t>
            </w:r>
          </w:p>
        </w:tc>
        <w:tc>
          <w:tcPr>
            <w:tcW w:w="720" w:type="dxa"/>
            <w:tcBorders>
              <w:top w:val="nil"/>
              <w:left w:val="nil"/>
              <w:bottom w:val="single" w:sz="4" w:space="0" w:color="auto"/>
              <w:right w:val="single" w:sz="4" w:space="0" w:color="auto"/>
            </w:tcBorders>
            <w:shd w:val="clear" w:color="000000" w:fill="A9D08E"/>
            <w:hideMark/>
          </w:tcPr>
          <w:p w14:paraId="5B87408A"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6EC3C486"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67573313"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000000" w:fill="A9D08E"/>
            <w:hideMark/>
          </w:tcPr>
          <w:p w14:paraId="174F5D69"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LOW RISK</w:t>
            </w:r>
          </w:p>
        </w:tc>
      </w:tr>
      <w:tr w:rsidR="009B0168" w:rsidRPr="00DA5292" w14:paraId="51B198D5" w14:textId="77777777" w:rsidTr="00660B99">
        <w:trPr>
          <w:trHeight w:val="144"/>
          <w:jc w:val="center"/>
        </w:trPr>
        <w:tc>
          <w:tcPr>
            <w:tcW w:w="4045" w:type="dxa"/>
            <w:tcBorders>
              <w:top w:val="nil"/>
              <w:left w:val="single" w:sz="4" w:space="0" w:color="auto"/>
              <w:bottom w:val="single" w:sz="4" w:space="0" w:color="auto"/>
              <w:right w:val="single" w:sz="4" w:space="0" w:color="auto"/>
            </w:tcBorders>
            <w:shd w:val="clear" w:color="auto" w:fill="auto"/>
            <w:hideMark/>
          </w:tcPr>
          <w:p w14:paraId="76590D02"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lastRenderedPageBreak/>
              <w:t>Shieshia 2014</w:t>
            </w:r>
          </w:p>
        </w:tc>
        <w:tc>
          <w:tcPr>
            <w:tcW w:w="630" w:type="dxa"/>
            <w:tcBorders>
              <w:top w:val="nil"/>
              <w:left w:val="nil"/>
              <w:bottom w:val="single" w:sz="4" w:space="0" w:color="auto"/>
              <w:right w:val="single" w:sz="4" w:space="0" w:color="auto"/>
            </w:tcBorders>
            <w:shd w:val="clear" w:color="000000" w:fill="FFCCFF"/>
            <w:hideMark/>
          </w:tcPr>
          <w:p w14:paraId="5154ECD4"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000000" w:fill="A9D08E"/>
            <w:hideMark/>
          </w:tcPr>
          <w:p w14:paraId="420E5875"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A9D08E"/>
            <w:hideMark/>
          </w:tcPr>
          <w:p w14:paraId="3B64595F"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13C55553"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14671364"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515FACAF"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5E7088BE"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auto" w:fill="FFCCFF"/>
            <w:hideMark/>
          </w:tcPr>
          <w:p w14:paraId="1E3AD2B1" w14:textId="218D7B25" w:rsidR="009B0168" w:rsidRPr="00DA5292" w:rsidRDefault="009B0168" w:rsidP="009B0168">
            <w:pPr>
              <w:spacing w:after="0" w:line="240" w:lineRule="auto"/>
              <w:rPr>
                <w:rFonts w:ascii="Calibri" w:eastAsia="Times New Roman" w:hAnsi="Calibri" w:cs="Calibri"/>
                <w:color w:val="000000"/>
              </w:rPr>
            </w:pPr>
            <w:r>
              <w:rPr>
                <w:rFonts w:ascii="Calibri" w:eastAsia="Times New Roman" w:hAnsi="Calibri" w:cs="Calibri"/>
                <w:color w:val="000000"/>
              </w:rPr>
              <w:t>SERIOUS RISK</w:t>
            </w:r>
          </w:p>
        </w:tc>
      </w:tr>
      <w:tr w:rsidR="009B0168" w:rsidRPr="00DA5292" w14:paraId="6BAB4F54" w14:textId="77777777" w:rsidTr="00660B99">
        <w:trPr>
          <w:trHeight w:val="144"/>
          <w:jc w:val="center"/>
        </w:trPr>
        <w:tc>
          <w:tcPr>
            <w:tcW w:w="4045" w:type="dxa"/>
            <w:tcBorders>
              <w:top w:val="nil"/>
              <w:left w:val="single" w:sz="4" w:space="0" w:color="auto"/>
              <w:bottom w:val="single" w:sz="4" w:space="0" w:color="auto"/>
              <w:right w:val="single" w:sz="4" w:space="0" w:color="auto"/>
            </w:tcBorders>
            <w:shd w:val="clear" w:color="auto" w:fill="auto"/>
            <w:hideMark/>
          </w:tcPr>
          <w:p w14:paraId="2540F6A0"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Smith 2013</w:t>
            </w:r>
          </w:p>
        </w:tc>
        <w:tc>
          <w:tcPr>
            <w:tcW w:w="630" w:type="dxa"/>
            <w:tcBorders>
              <w:top w:val="nil"/>
              <w:left w:val="nil"/>
              <w:bottom w:val="single" w:sz="4" w:space="0" w:color="auto"/>
              <w:right w:val="single" w:sz="4" w:space="0" w:color="auto"/>
            </w:tcBorders>
            <w:shd w:val="clear" w:color="000000" w:fill="FFCCFF"/>
            <w:hideMark/>
          </w:tcPr>
          <w:p w14:paraId="48422A65"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3</w:t>
            </w:r>
          </w:p>
        </w:tc>
        <w:tc>
          <w:tcPr>
            <w:tcW w:w="720" w:type="dxa"/>
            <w:tcBorders>
              <w:top w:val="nil"/>
              <w:left w:val="nil"/>
              <w:bottom w:val="single" w:sz="4" w:space="0" w:color="auto"/>
              <w:right w:val="single" w:sz="4" w:space="0" w:color="auto"/>
            </w:tcBorders>
            <w:shd w:val="clear" w:color="000000" w:fill="A9D08E"/>
            <w:hideMark/>
          </w:tcPr>
          <w:p w14:paraId="2D614F77"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809" w:type="dxa"/>
            <w:tcBorders>
              <w:top w:val="nil"/>
              <w:left w:val="nil"/>
              <w:bottom w:val="single" w:sz="4" w:space="0" w:color="auto"/>
              <w:right w:val="single" w:sz="4" w:space="0" w:color="auto"/>
            </w:tcBorders>
            <w:shd w:val="clear" w:color="000000" w:fill="A9D08E"/>
            <w:hideMark/>
          </w:tcPr>
          <w:p w14:paraId="09325BDB"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1261" w:type="dxa"/>
            <w:tcBorders>
              <w:top w:val="nil"/>
              <w:left w:val="nil"/>
              <w:bottom w:val="single" w:sz="4" w:space="0" w:color="auto"/>
              <w:right w:val="single" w:sz="4" w:space="0" w:color="auto"/>
            </w:tcBorders>
            <w:shd w:val="clear" w:color="000000" w:fill="A9D08E"/>
            <w:hideMark/>
          </w:tcPr>
          <w:p w14:paraId="6BFA88F1"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720" w:type="dxa"/>
            <w:tcBorders>
              <w:top w:val="nil"/>
              <w:left w:val="nil"/>
              <w:bottom w:val="single" w:sz="4" w:space="0" w:color="auto"/>
              <w:right w:val="single" w:sz="4" w:space="0" w:color="auto"/>
            </w:tcBorders>
            <w:shd w:val="clear" w:color="000000" w:fill="A9D08E"/>
            <w:hideMark/>
          </w:tcPr>
          <w:p w14:paraId="05648216"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7BDF3545"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990" w:type="dxa"/>
            <w:tcBorders>
              <w:top w:val="nil"/>
              <w:left w:val="nil"/>
              <w:bottom w:val="single" w:sz="4" w:space="0" w:color="auto"/>
              <w:right w:val="single" w:sz="4" w:space="0" w:color="auto"/>
            </w:tcBorders>
            <w:shd w:val="clear" w:color="000000" w:fill="A9D08E"/>
            <w:hideMark/>
          </w:tcPr>
          <w:p w14:paraId="3D0B8982"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1</w:t>
            </w:r>
          </w:p>
        </w:tc>
        <w:tc>
          <w:tcPr>
            <w:tcW w:w="3150" w:type="dxa"/>
            <w:tcBorders>
              <w:top w:val="nil"/>
              <w:left w:val="nil"/>
              <w:bottom w:val="single" w:sz="4" w:space="0" w:color="auto"/>
              <w:right w:val="single" w:sz="4" w:space="0" w:color="auto"/>
            </w:tcBorders>
            <w:shd w:val="clear" w:color="auto" w:fill="FFCCFF"/>
            <w:hideMark/>
          </w:tcPr>
          <w:p w14:paraId="7EA71A5D" w14:textId="00DAD6BC" w:rsidR="009B0168" w:rsidRPr="00DA5292" w:rsidRDefault="009B0168" w:rsidP="009B0168">
            <w:pPr>
              <w:spacing w:after="0" w:line="240" w:lineRule="auto"/>
              <w:rPr>
                <w:rFonts w:ascii="Calibri" w:eastAsia="Times New Roman" w:hAnsi="Calibri" w:cs="Calibri"/>
                <w:color w:val="000000"/>
              </w:rPr>
            </w:pPr>
            <w:r>
              <w:rPr>
                <w:rFonts w:ascii="Calibri" w:eastAsia="Times New Roman" w:hAnsi="Calibri" w:cs="Calibri"/>
                <w:color w:val="000000"/>
              </w:rPr>
              <w:t>SERIOUS</w:t>
            </w:r>
            <w:r w:rsidRPr="00DA5292">
              <w:rPr>
                <w:rFonts w:ascii="Calibri" w:eastAsia="Times New Roman" w:hAnsi="Calibri" w:cs="Calibri"/>
                <w:color w:val="000000"/>
              </w:rPr>
              <w:t xml:space="preserve"> RISK</w:t>
            </w:r>
          </w:p>
        </w:tc>
      </w:tr>
      <w:tr w:rsidR="009B0168" w:rsidRPr="00DA5292" w14:paraId="7C4C8ED2" w14:textId="77777777" w:rsidTr="00F85C77">
        <w:trPr>
          <w:trHeight w:val="144"/>
          <w:jc w:val="center"/>
        </w:trPr>
        <w:tc>
          <w:tcPr>
            <w:tcW w:w="4045" w:type="dxa"/>
            <w:tcBorders>
              <w:top w:val="nil"/>
              <w:left w:val="single" w:sz="4" w:space="0" w:color="auto"/>
              <w:bottom w:val="single" w:sz="4" w:space="0" w:color="auto"/>
              <w:right w:val="single" w:sz="4" w:space="0" w:color="auto"/>
            </w:tcBorders>
            <w:shd w:val="clear" w:color="auto" w:fill="auto"/>
            <w:hideMark/>
          </w:tcPr>
          <w:p w14:paraId="260F38F0" w14:textId="77777777" w:rsidR="009B0168" w:rsidRPr="00DA5292" w:rsidRDefault="009B0168" w:rsidP="009B0168">
            <w:pPr>
              <w:spacing w:after="240" w:line="240" w:lineRule="auto"/>
              <w:rPr>
                <w:rFonts w:ascii="Calibri" w:eastAsia="Times New Roman" w:hAnsi="Calibri" w:cs="Calibri"/>
                <w:color w:val="000000"/>
              </w:rPr>
            </w:pPr>
            <w:r w:rsidRPr="00DA5292">
              <w:rPr>
                <w:rFonts w:ascii="Calibri" w:eastAsia="Times New Roman" w:hAnsi="Calibri" w:cs="Calibri"/>
                <w:color w:val="000000"/>
              </w:rPr>
              <w:t>Williams 2010</w:t>
            </w:r>
          </w:p>
        </w:tc>
        <w:tc>
          <w:tcPr>
            <w:tcW w:w="630" w:type="dxa"/>
            <w:tcBorders>
              <w:top w:val="nil"/>
              <w:left w:val="nil"/>
              <w:bottom w:val="single" w:sz="4" w:space="0" w:color="auto"/>
              <w:right w:val="single" w:sz="4" w:space="0" w:color="auto"/>
            </w:tcBorders>
            <w:shd w:val="clear" w:color="auto" w:fill="auto"/>
            <w:hideMark/>
          </w:tcPr>
          <w:p w14:paraId="31080690" w14:textId="77777777" w:rsidR="009B0168" w:rsidRPr="00DA5292" w:rsidRDefault="009B0168" w:rsidP="009B0168">
            <w:pPr>
              <w:spacing w:after="0" w:line="240" w:lineRule="auto"/>
              <w:rPr>
                <w:rFonts w:ascii="Calibri" w:eastAsia="Times New Roman" w:hAnsi="Calibri" w:cs="Calibri"/>
                <w:color w:val="000000"/>
                <w:u w:val="single"/>
              </w:rPr>
            </w:pPr>
            <w:r w:rsidRPr="00DA5292">
              <w:rPr>
                <w:rFonts w:ascii="Calibri" w:eastAsia="Times New Roman" w:hAnsi="Calibri" w:cs="Calibri"/>
                <w:color w:val="000000"/>
                <w:u w:val="single"/>
              </w:rPr>
              <w:t>?</w:t>
            </w:r>
          </w:p>
        </w:tc>
        <w:tc>
          <w:tcPr>
            <w:tcW w:w="720" w:type="dxa"/>
            <w:tcBorders>
              <w:top w:val="nil"/>
              <w:left w:val="nil"/>
              <w:bottom w:val="single" w:sz="4" w:space="0" w:color="auto"/>
              <w:right w:val="single" w:sz="4" w:space="0" w:color="auto"/>
            </w:tcBorders>
            <w:shd w:val="clear" w:color="auto" w:fill="auto"/>
            <w:hideMark/>
          </w:tcPr>
          <w:p w14:paraId="1BF07EB5" w14:textId="77777777" w:rsidR="009B0168" w:rsidRPr="00DA5292" w:rsidRDefault="009B0168" w:rsidP="009B0168">
            <w:pPr>
              <w:spacing w:after="0" w:line="240" w:lineRule="auto"/>
              <w:rPr>
                <w:rFonts w:ascii="Calibri" w:eastAsia="Times New Roman" w:hAnsi="Calibri" w:cs="Calibri"/>
                <w:color w:val="000000"/>
                <w:u w:val="single"/>
              </w:rPr>
            </w:pPr>
            <w:r w:rsidRPr="00DA5292">
              <w:rPr>
                <w:rFonts w:ascii="Calibri" w:eastAsia="Times New Roman" w:hAnsi="Calibri" w:cs="Calibri"/>
                <w:color w:val="000000"/>
                <w:u w:val="single"/>
              </w:rPr>
              <w:t>?</w:t>
            </w:r>
          </w:p>
        </w:tc>
        <w:tc>
          <w:tcPr>
            <w:tcW w:w="809" w:type="dxa"/>
            <w:tcBorders>
              <w:top w:val="nil"/>
              <w:left w:val="nil"/>
              <w:bottom w:val="single" w:sz="4" w:space="0" w:color="auto"/>
              <w:right w:val="single" w:sz="4" w:space="0" w:color="auto"/>
            </w:tcBorders>
            <w:shd w:val="clear" w:color="auto" w:fill="auto"/>
            <w:hideMark/>
          </w:tcPr>
          <w:p w14:paraId="7439A8A9" w14:textId="77777777" w:rsidR="009B0168" w:rsidRPr="00DA5292" w:rsidRDefault="009B0168" w:rsidP="009B0168">
            <w:pPr>
              <w:spacing w:after="0" w:line="240" w:lineRule="auto"/>
              <w:rPr>
                <w:rFonts w:ascii="Calibri" w:eastAsia="Times New Roman" w:hAnsi="Calibri" w:cs="Calibri"/>
                <w:color w:val="000000"/>
                <w:u w:val="single"/>
              </w:rPr>
            </w:pPr>
            <w:r w:rsidRPr="00DA5292">
              <w:rPr>
                <w:rFonts w:ascii="Calibri" w:eastAsia="Times New Roman" w:hAnsi="Calibri" w:cs="Calibri"/>
                <w:color w:val="000000"/>
                <w:u w:val="single"/>
              </w:rPr>
              <w:t>?</w:t>
            </w:r>
          </w:p>
        </w:tc>
        <w:tc>
          <w:tcPr>
            <w:tcW w:w="1261" w:type="dxa"/>
            <w:tcBorders>
              <w:top w:val="nil"/>
              <w:left w:val="nil"/>
              <w:bottom w:val="single" w:sz="4" w:space="0" w:color="auto"/>
              <w:right w:val="single" w:sz="4" w:space="0" w:color="auto"/>
            </w:tcBorders>
            <w:shd w:val="clear" w:color="auto" w:fill="auto"/>
            <w:hideMark/>
          </w:tcPr>
          <w:p w14:paraId="63086376" w14:textId="77777777" w:rsidR="009B0168" w:rsidRPr="00DA5292" w:rsidRDefault="009B0168" w:rsidP="009B0168">
            <w:pPr>
              <w:spacing w:after="0" w:line="240" w:lineRule="auto"/>
              <w:rPr>
                <w:rFonts w:ascii="Calibri" w:eastAsia="Times New Roman" w:hAnsi="Calibri" w:cs="Calibri"/>
                <w:color w:val="000000"/>
                <w:u w:val="single"/>
              </w:rPr>
            </w:pPr>
            <w:r w:rsidRPr="00DA5292">
              <w:rPr>
                <w:rFonts w:ascii="Calibri" w:eastAsia="Times New Roman" w:hAnsi="Calibri" w:cs="Calibri"/>
                <w:color w:val="000000"/>
                <w:u w:val="single"/>
              </w:rPr>
              <w:t>?</w:t>
            </w:r>
          </w:p>
        </w:tc>
        <w:tc>
          <w:tcPr>
            <w:tcW w:w="720" w:type="dxa"/>
            <w:tcBorders>
              <w:top w:val="nil"/>
              <w:left w:val="nil"/>
              <w:bottom w:val="single" w:sz="4" w:space="0" w:color="auto"/>
              <w:right w:val="single" w:sz="4" w:space="0" w:color="auto"/>
            </w:tcBorders>
            <w:shd w:val="clear" w:color="auto" w:fill="auto"/>
            <w:hideMark/>
          </w:tcPr>
          <w:p w14:paraId="53DCA0AC" w14:textId="77777777" w:rsidR="009B0168" w:rsidRPr="00DA5292" w:rsidRDefault="009B0168" w:rsidP="009B0168">
            <w:pPr>
              <w:spacing w:after="0" w:line="240" w:lineRule="auto"/>
              <w:rPr>
                <w:rFonts w:ascii="Calibri" w:eastAsia="Times New Roman" w:hAnsi="Calibri" w:cs="Calibri"/>
                <w:color w:val="000000"/>
                <w:u w:val="single"/>
              </w:rPr>
            </w:pPr>
            <w:r w:rsidRPr="00DA5292">
              <w:rPr>
                <w:rFonts w:ascii="Calibri" w:eastAsia="Times New Roman" w:hAnsi="Calibri" w:cs="Calibri"/>
                <w:color w:val="000000"/>
                <w:u w:val="single"/>
              </w:rPr>
              <w:t>?</w:t>
            </w:r>
          </w:p>
        </w:tc>
        <w:tc>
          <w:tcPr>
            <w:tcW w:w="990" w:type="dxa"/>
            <w:tcBorders>
              <w:top w:val="nil"/>
              <w:left w:val="nil"/>
              <w:bottom w:val="single" w:sz="4" w:space="0" w:color="auto"/>
              <w:right w:val="single" w:sz="4" w:space="0" w:color="auto"/>
            </w:tcBorders>
            <w:shd w:val="clear" w:color="auto" w:fill="auto"/>
            <w:hideMark/>
          </w:tcPr>
          <w:p w14:paraId="520CDB86" w14:textId="77777777" w:rsidR="009B0168" w:rsidRPr="00DA5292" w:rsidRDefault="009B0168" w:rsidP="009B0168">
            <w:pPr>
              <w:spacing w:after="0" w:line="240" w:lineRule="auto"/>
              <w:rPr>
                <w:rFonts w:ascii="Calibri" w:eastAsia="Times New Roman" w:hAnsi="Calibri" w:cs="Calibri"/>
                <w:color w:val="000000"/>
                <w:u w:val="single"/>
              </w:rPr>
            </w:pPr>
            <w:r w:rsidRPr="00DA5292">
              <w:rPr>
                <w:rFonts w:ascii="Calibri" w:eastAsia="Times New Roman" w:hAnsi="Calibri" w:cs="Calibri"/>
                <w:color w:val="000000"/>
                <w:u w:val="single"/>
              </w:rPr>
              <w:t>?</w:t>
            </w:r>
          </w:p>
        </w:tc>
        <w:tc>
          <w:tcPr>
            <w:tcW w:w="990" w:type="dxa"/>
            <w:tcBorders>
              <w:top w:val="nil"/>
              <w:left w:val="nil"/>
              <w:bottom w:val="single" w:sz="4" w:space="0" w:color="auto"/>
              <w:right w:val="single" w:sz="4" w:space="0" w:color="auto"/>
            </w:tcBorders>
            <w:shd w:val="clear" w:color="auto" w:fill="auto"/>
            <w:hideMark/>
          </w:tcPr>
          <w:p w14:paraId="524E72E1" w14:textId="77777777" w:rsidR="009B0168" w:rsidRPr="00DA5292" w:rsidRDefault="009B0168" w:rsidP="009B0168">
            <w:pPr>
              <w:spacing w:after="0" w:line="240" w:lineRule="auto"/>
              <w:rPr>
                <w:rFonts w:ascii="Calibri" w:eastAsia="Times New Roman" w:hAnsi="Calibri" w:cs="Calibri"/>
                <w:color w:val="000000"/>
                <w:u w:val="single"/>
              </w:rPr>
            </w:pPr>
            <w:r w:rsidRPr="00DA5292">
              <w:rPr>
                <w:rFonts w:ascii="Calibri" w:eastAsia="Times New Roman" w:hAnsi="Calibri" w:cs="Calibri"/>
                <w:color w:val="000000"/>
                <w:u w:val="single"/>
              </w:rPr>
              <w:t>?</w:t>
            </w:r>
          </w:p>
        </w:tc>
        <w:tc>
          <w:tcPr>
            <w:tcW w:w="3150" w:type="dxa"/>
            <w:tcBorders>
              <w:top w:val="nil"/>
              <w:left w:val="nil"/>
              <w:bottom w:val="single" w:sz="4" w:space="0" w:color="auto"/>
              <w:right w:val="single" w:sz="4" w:space="0" w:color="auto"/>
            </w:tcBorders>
            <w:shd w:val="clear" w:color="auto" w:fill="FFFFFF" w:themeFill="background1"/>
            <w:hideMark/>
          </w:tcPr>
          <w:p w14:paraId="2699FB5B" w14:textId="77777777" w:rsidR="009B0168" w:rsidRPr="00DA5292" w:rsidRDefault="009B0168" w:rsidP="009B0168">
            <w:pPr>
              <w:spacing w:after="0" w:line="240" w:lineRule="auto"/>
              <w:rPr>
                <w:rFonts w:ascii="Calibri" w:eastAsia="Times New Roman" w:hAnsi="Calibri" w:cs="Calibri"/>
                <w:color w:val="000000"/>
              </w:rPr>
            </w:pPr>
            <w:r w:rsidRPr="00DA5292">
              <w:rPr>
                <w:rFonts w:ascii="Calibri" w:eastAsia="Times New Roman" w:hAnsi="Calibri" w:cs="Calibri"/>
                <w:color w:val="000000"/>
              </w:rPr>
              <w:t>NO INFORMATION</w:t>
            </w:r>
          </w:p>
        </w:tc>
      </w:tr>
    </w:tbl>
    <w:p w14:paraId="4260072F" w14:textId="77777777" w:rsidR="00B41BDB" w:rsidRDefault="00B41BDB">
      <w:pPr>
        <w:rPr>
          <w:rFonts w:eastAsia="Arial Unicode MS" w:cstheme="minorHAnsi"/>
          <w:b/>
          <w:bCs/>
          <w:i/>
          <w:iCs/>
          <w:color w:val="000000"/>
          <w:u w:color="000000"/>
        </w:rPr>
      </w:pPr>
    </w:p>
    <w:p w14:paraId="2064FA99" w14:textId="11F4ED8E" w:rsidR="00B41BDB" w:rsidRPr="00AA2DD6" w:rsidRDefault="00AA2DD6">
      <w:pPr>
        <w:rPr>
          <w:rFonts w:eastAsia="Arial Unicode MS" w:cstheme="minorHAnsi"/>
          <w:color w:val="000000"/>
          <w:u w:color="000000"/>
        </w:rPr>
      </w:pPr>
      <w:bookmarkStart w:id="56" w:name="_Hlk72079262"/>
      <w:r w:rsidRPr="00AA2DD6">
        <w:rPr>
          <w:rFonts w:eastAsia="Arial Unicode MS" w:cstheme="minorHAnsi"/>
          <w:color w:val="000000"/>
          <w:u w:val="single" w:color="000000"/>
        </w:rPr>
        <w:t>Figure 2</w:t>
      </w:r>
      <w:r w:rsidRPr="00AA2DD6">
        <w:rPr>
          <w:rFonts w:eastAsia="Arial Unicode MS" w:cstheme="minorHAnsi"/>
          <w:color w:val="000000"/>
          <w:u w:color="000000"/>
        </w:rPr>
        <w:t xml:space="preserve">: </w:t>
      </w:r>
      <w:r w:rsidR="00B41BDB" w:rsidRPr="00AA2DD6">
        <w:rPr>
          <w:rFonts w:eastAsia="Arial Unicode MS" w:cstheme="minorHAnsi"/>
          <w:color w:val="000000"/>
          <w:u w:color="000000"/>
        </w:rPr>
        <w:t>Overall risk of bias assessment graph</w:t>
      </w:r>
    </w:p>
    <w:tbl>
      <w:tblPr>
        <w:tblStyle w:val="TableGrid"/>
        <w:tblW w:w="0" w:type="auto"/>
        <w:tblLook w:val="04A0" w:firstRow="1" w:lastRow="0" w:firstColumn="1" w:lastColumn="0" w:noHBand="0" w:noVBand="1"/>
      </w:tblPr>
      <w:tblGrid>
        <w:gridCol w:w="3325"/>
        <w:gridCol w:w="2430"/>
        <w:gridCol w:w="270"/>
        <w:gridCol w:w="270"/>
        <w:gridCol w:w="270"/>
        <w:gridCol w:w="270"/>
        <w:gridCol w:w="1080"/>
        <w:gridCol w:w="270"/>
        <w:gridCol w:w="270"/>
        <w:gridCol w:w="318"/>
      </w:tblGrid>
      <w:tr w:rsidR="001F42C3" w14:paraId="4BBC97EB" w14:textId="77777777" w:rsidTr="001F42C3">
        <w:trPr>
          <w:trHeight w:val="237"/>
        </w:trPr>
        <w:tc>
          <w:tcPr>
            <w:tcW w:w="3325" w:type="dxa"/>
          </w:tcPr>
          <w:bookmarkEnd w:id="56"/>
          <w:p w14:paraId="200626EF" w14:textId="170CD78D" w:rsidR="001F42C3" w:rsidRDefault="001F42C3">
            <w:pPr>
              <w:rPr>
                <w:rFonts w:eastAsia="Arial Unicode MS" w:cstheme="minorHAnsi"/>
                <w:b/>
                <w:bCs/>
                <w:i/>
                <w:iCs/>
                <w:color w:val="000000"/>
                <w:u w:color="000000"/>
              </w:rPr>
            </w:pPr>
            <w:r>
              <w:rPr>
                <w:rFonts w:eastAsia="Arial Unicode MS" w:cstheme="minorHAnsi"/>
                <w:b/>
                <w:bCs/>
                <w:color w:val="000000"/>
                <w:u w:color="000000"/>
              </w:rPr>
              <w:t>Domain</w:t>
            </w:r>
          </w:p>
        </w:tc>
        <w:tc>
          <w:tcPr>
            <w:tcW w:w="5448" w:type="dxa"/>
            <w:gridSpan w:val="9"/>
          </w:tcPr>
          <w:p w14:paraId="3EA7F05B" w14:textId="69C06B16" w:rsidR="001F42C3" w:rsidRPr="001F42C3" w:rsidRDefault="001F42C3">
            <w:pPr>
              <w:rPr>
                <w:rFonts w:eastAsia="Arial Unicode MS" w:cstheme="minorHAnsi"/>
                <w:b/>
                <w:bCs/>
                <w:color w:val="000000"/>
                <w:u w:color="000000"/>
              </w:rPr>
            </w:pPr>
            <w:r w:rsidRPr="001F42C3">
              <w:rPr>
                <w:rFonts w:eastAsia="Arial Unicode MS" w:cstheme="minorHAnsi"/>
                <w:b/>
                <w:bCs/>
                <w:color w:val="000000"/>
                <w:u w:color="000000"/>
              </w:rPr>
              <w:t>Assessment</w:t>
            </w:r>
          </w:p>
        </w:tc>
      </w:tr>
      <w:tr w:rsidR="001F42C3" w14:paraId="75B053A8" w14:textId="77777777" w:rsidTr="001F42C3">
        <w:trPr>
          <w:trHeight w:val="237"/>
        </w:trPr>
        <w:tc>
          <w:tcPr>
            <w:tcW w:w="3325" w:type="dxa"/>
          </w:tcPr>
          <w:p w14:paraId="1D1CE971" w14:textId="32C92C5C" w:rsidR="001F42C3" w:rsidRDefault="001F42C3" w:rsidP="001F42C3">
            <w:pPr>
              <w:rPr>
                <w:rFonts w:eastAsia="Arial Unicode MS" w:cstheme="minorHAnsi"/>
                <w:b/>
                <w:bCs/>
                <w:i/>
                <w:iCs/>
                <w:color w:val="000000"/>
                <w:u w:color="000000"/>
              </w:rPr>
            </w:pPr>
            <w:r w:rsidRPr="00C978B7">
              <w:rPr>
                <w:rFonts w:eastAsia="Arial Unicode MS" w:cstheme="minorHAnsi"/>
                <w:color w:val="000000"/>
                <w:u w:color="000000"/>
              </w:rPr>
              <w:t>Confounding</w:t>
            </w:r>
          </w:p>
        </w:tc>
        <w:tc>
          <w:tcPr>
            <w:tcW w:w="2430" w:type="dxa"/>
            <w:shd w:val="clear" w:color="auto" w:fill="A8D08D" w:themeFill="accent6" w:themeFillTint="99"/>
          </w:tcPr>
          <w:p w14:paraId="378E0D53" w14:textId="77777777" w:rsidR="001F42C3" w:rsidRDefault="001F42C3" w:rsidP="001F42C3">
            <w:pPr>
              <w:rPr>
                <w:rFonts w:eastAsia="Arial Unicode MS" w:cstheme="minorHAnsi"/>
                <w:b/>
                <w:bCs/>
                <w:i/>
                <w:iCs/>
                <w:color w:val="000000"/>
                <w:u w:color="000000"/>
              </w:rPr>
            </w:pPr>
          </w:p>
        </w:tc>
        <w:tc>
          <w:tcPr>
            <w:tcW w:w="270" w:type="dxa"/>
            <w:shd w:val="clear" w:color="auto" w:fill="FFFF99"/>
          </w:tcPr>
          <w:p w14:paraId="5FA1FBA6" w14:textId="77777777" w:rsidR="001F42C3" w:rsidRDefault="001F42C3" w:rsidP="001F42C3">
            <w:pPr>
              <w:rPr>
                <w:rFonts w:eastAsia="Arial Unicode MS" w:cstheme="minorHAnsi"/>
                <w:b/>
                <w:bCs/>
                <w:i/>
                <w:iCs/>
                <w:color w:val="000000"/>
                <w:u w:color="000000"/>
              </w:rPr>
            </w:pPr>
          </w:p>
        </w:tc>
        <w:tc>
          <w:tcPr>
            <w:tcW w:w="2430" w:type="dxa"/>
            <w:gridSpan w:val="6"/>
            <w:shd w:val="clear" w:color="auto" w:fill="FFCCFF"/>
          </w:tcPr>
          <w:p w14:paraId="3828A5DB" w14:textId="77777777" w:rsidR="001F42C3" w:rsidRDefault="001F42C3" w:rsidP="001F42C3">
            <w:pPr>
              <w:rPr>
                <w:rFonts w:eastAsia="Arial Unicode MS" w:cstheme="minorHAnsi"/>
                <w:b/>
                <w:bCs/>
                <w:i/>
                <w:iCs/>
                <w:color w:val="000000"/>
                <w:u w:color="000000"/>
              </w:rPr>
            </w:pPr>
          </w:p>
        </w:tc>
        <w:tc>
          <w:tcPr>
            <w:tcW w:w="318" w:type="dxa"/>
          </w:tcPr>
          <w:p w14:paraId="0A6F94E9" w14:textId="7DF8DA67" w:rsidR="001F42C3" w:rsidRDefault="001F42C3" w:rsidP="001F42C3">
            <w:pPr>
              <w:rPr>
                <w:rFonts w:eastAsia="Arial Unicode MS" w:cstheme="minorHAnsi"/>
                <w:b/>
                <w:bCs/>
                <w:i/>
                <w:iCs/>
                <w:color w:val="000000"/>
                <w:u w:color="000000"/>
              </w:rPr>
            </w:pPr>
            <w:r>
              <w:rPr>
                <w:rFonts w:eastAsia="Arial Unicode MS" w:cstheme="minorHAnsi"/>
                <w:b/>
                <w:bCs/>
                <w:color w:val="000000"/>
                <w:u w:color="000000"/>
              </w:rPr>
              <w:t>?</w:t>
            </w:r>
          </w:p>
        </w:tc>
      </w:tr>
      <w:tr w:rsidR="001F42C3" w14:paraId="3490F88F" w14:textId="77777777" w:rsidTr="007B03CF">
        <w:trPr>
          <w:trHeight w:val="248"/>
        </w:trPr>
        <w:tc>
          <w:tcPr>
            <w:tcW w:w="3325" w:type="dxa"/>
          </w:tcPr>
          <w:p w14:paraId="088649E6" w14:textId="6AB78C4D" w:rsidR="001F42C3" w:rsidRDefault="001F42C3" w:rsidP="001F42C3">
            <w:pPr>
              <w:rPr>
                <w:rFonts w:eastAsia="Arial Unicode MS" w:cstheme="minorHAnsi"/>
                <w:b/>
                <w:bCs/>
                <w:i/>
                <w:iCs/>
                <w:color w:val="000000"/>
                <w:u w:color="000000"/>
              </w:rPr>
            </w:pPr>
            <w:r w:rsidRPr="00C978B7">
              <w:rPr>
                <w:rFonts w:eastAsia="Arial Unicode MS" w:cstheme="minorHAnsi"/>
                <w:color w:val="000000"/>
                <w:u w:color="000000"/>
              </w:rPr>
              <w:t>Selection bias</w:t>
            </w:r>
          </w:p>
        </w:tc>
        <w:tc>
          <w:tcPr>
            <w:tcW w:w="3240" w:type="dxa"/>
            <w:gridSpan w:val="4"/>
            <w:shd w:val="clear" w:color="auto" w:fill="A8D08D" w:themeFill="accent6" w:themeFillTint="99"/>
          </w:tcPr>
          <w:p w14:paraId="02EEC175" w14:textId="77777777" w:rsidR="001F42C3" w:rsidRDefault="001F42C3" w:rsidP="001F42C3">
            <w:pPr>
              <w:rPr>
                <w:rFonts w:eastAsia="Arial Unicode MS" w:cstheme="minorHAnsi"/>
                <w:b/>
                <w:bCs/>
                <w:i/>
                <w:iCs/>
                <w:color w:val="000000"/>
                <w:u w:color="000000"/>
              </w:rPr>
            </w:pPr>
          </w:p>
        </w:tc>
        <w:tc>
          <w:tcPr>
            <w:tcW w:w="1350" w:type="dxa"/>
            <w:gridSpan w:val="2"/>
            <w:shd w:val="clear" w:color="auto" w:fill="FFFF99"/>
          </w:tcPr>
          <w:p w14:paraId="2BB5B0F8" w14:textId="77777777" w:rsidR="001F42C3" w:rsidRDefault="001F42C3" w:rsidP="001F42C3">
            <w:pPr>
              <w:rPr>
                <w:rFonts w:eastAsia="Arial Unicode MS" w:cstheme="minorHAnsi"/>
                <w:b/>
                <w:bCs/>
                <w:i/>
                <w:iCs/>
                <w:color w:val="000000"/>
                <w:u w:color="000000"/>
              </w:rPr>
            </w:pPr>
          </w:p>
        </w:tc>
        <w:tc>
          <w:tcPr>
            <w:tcW w:w="270" w:type="dxa"/>
            <w:shd w:val="clear" w:color="auto" w:fill="FFCCFF"/>
          </w:tcPr>
          <w:p w14:paraId="7452DCDA" w14:textId="77777777" w:rsidR="001F42C3" w:rsidRDefault="001F42C3" w:rsidP="001F42C3">
            <w:pPr>
              <w:rPr>
                <w:rFonts w:eastAsia="Arial Unicode MS" w:cstheme="minorHAnsi"/>
                <w:b/>
                <w:bCs/>
                <w:i/>
                <w:iCs/>
                <w:color w:val="000000"/>
                <w:u w:color="000000"/>
              </w:rPr>
            </w:pPr>
          </w:p>
        </w:tc>
        <w:tc>
          <w:tcPr>
            <w:tcW w:w="270" w:type="dxa"/>
            <w:shd w:val="clear" w:color="auto" w:fill="F2F2F2" w:themeFill="background1" w:themeFillShade="F2"/>
          </w:tcPr>
          <w:p w14:paraId="29EF9155" w14:textId="77777777" w:rsidR="001F42C3" w:rsidRDefault="001F42C3" w:rsidP="001F42C3">
            <w:pPr>
              <w:rPr>
                <w:rFonts w:eastAsia="Arial Unicode MS" w:cstheme="minorHAnsi"/>
                <w:b/>
                <w:bCs/>
                <w:i/>
                <w:iCs/>
                <w:color w:val="000000"/>
                <w:u w:color="000000"/>
              </w:rPr>
            </w:pPr>
          </w:p>
        </w:tc>
        <w:tc>
          <w:tcPr>
            <w:tcW w:w="318" w:type="dxa"/>
          </w:tcPr>
          <w:p w14:paraId="66A7205A" w14:textId="461A507D" w:rsidR="001F42C3" w:rsidRDefault="001F42C3" w:rsidP="001F42C3">
            <w:pPr>
              <w:rPr>
                <w:rFonts w:eastAsia="Arial Unicode MS" w:cstheme="minorHAnsi"/>
                <w:b/>
                <w:bCs/>
                <w:i/>
                <w:iCs/>
                <w:color w:val="000000"/>
                <w:u w:color="000000"/>
              </w:rPr>
            </w:pPr>
            <w:r>
              <w:rPr>
                <w:rFonts w:eastAsia="Arial Unicode MS" w:cstheme="minorHAnsi"/>
                <w:b/>
                <w:bCs/>
                <w:color w:val="000000"/>
                <w:u w:color="000000"/>
              </w:rPr>
              <w:t>?</w:t>
            </w:r>
          </w:p>
        </w:tc>
      </w:tr>
      <w:tr w:rsidR="001F42C3" w14:paraId="7571E4A6" w14:textId="77777777" w:rsidTr="005E6737">
        <w:trPr>
          <w:trHeight w:val="237"/>
        </w:trPr>
        <w:tc>
          <w:tcPr>
            <w:tcW w:w="3325" w:type="dxa"/>
          </w:tcPr>
          <w:p w14:paraId="389C53F3" w14:textId="1E8E5FBC" w:rsidR="001F42C3" w:rsidRDefault="001F42C3" w:rsidP="001F42C3">
            <w:pPr>
              <w:rPr>
                <w:rFonts w:eastAsia="Arial Unicode MS" w:cstheme="minorHAnsi"/>
                <w:b/>
                <w:bCs/>
                <w:i/>
                <w:iCs/>
                <w:color w:val="000000"/>
                <w:u w:color="000000"/>
              </w:rPr>
            </w:pPr>
            <w:r w:rsidRPr="00C978B7">
              <w:rPr>
                <w:rFonts w:eastAsia="Arial Unicode MS" w:cstheme="minorHAnsi"/>
                <w:color w:val="000000"/>
                <w:u w:color="000000"/>
              </w:rPr>
              <w:t>Classification</w:t>
            </w:r>
          </w:p>
        </w:tc>
        <w:tc>
          <w:tcPr>
            <w:tcW w:w="2970" w:type="dxa"/>
            <w:gridSpan w:val="3"/>
            <w:shd w:val="clear" w:color="auto" w:fill="A8D08D" w:themeFill="accent6" w:themeFillTint="99"/>
          </w:tcPr>
          <w:p w14:paraId="0C635C7C" w14:textId="77777777" w:rsidR="001F42C3" w:rsidRDefault="001F42C3" w:rsidP="001F42C3">
            <w:pPr>
              <w:rPr>
                <w:rFonts w:eastAsia="Arial Unicode MS" w:cstheme="minorHAnsi"/>
                <w:b/>
                <w:bCs/>
                <w:i/>
                <w:iCs/>
                <w:color w:val="000000"/>
                <w:u w:color="000000"/>
              </w:rPr>
            </w:pPr>
          </w:p>
        </w:tc>
        <w:tc>
          <w:tcPr>
            <w:tcW w:w="270" w:type="dxa"/>
            <w:shd w:val="clear" w:color="auto" w:fill="FFFF99"/>
          </w:tcPr>
          <w:p w14:paraId="5ADFB80B" w14:textId="77777777" w:rsidR="001F42C3" w:rsidRDefault="001F42C3" w:rsidP="001F42C3">
            <w:pPr>
              <w:rPr>
                <w:rFonts w:eastAsia="Arial Unicode MS" w:cstheme="minorHAnsi"/>
                <w:b/>
                <w:bCs/>
                <w:i/>
                <w:iCs/>
                <w:color w:val="000000"/>
                <w:u w:color="000000"/>
              </w:rPr>
            </w:pPr>
          </w:p>
        </w:tc>
        <w:tc>
          <w:tcPr>
            <w:tcW w:w="270" w:type="dxa"/>
            <w:shd w:val="clear" w:color="auto" w:fill="FFCCFF"/>
          </w:tcPr>
          <w:p w14:paraId="53A46446" w14:textId="77777777" w:rsidR="001F42C3" w:rsidRDefault="001F42C3" w:rsidP="001F42C3">
            <w:pPr>
              <w:rPr>
                <w:rFonts w:eastAsia="Arial Unicode MS" w:cstheme="minorHAnsi"/>
                <w:b/>
                <w:bCs/>
                <w:i/>
                <w:iCs/>
                <w:color w:val="000000"/>
                <w:u w:color="000000"/>
              </w:rPr>
            </w:pPr>
          </w:p>
        </w:tc>
        <w:tc>
          <w:tcPr>
            <w:tcW w:w="1620" w:type="dxa"/>
            <w:gridSpan w:val="3"/>
            <w:shd w:val="clear" w:color="auto" w:fill="F2F2F2" w:themeFill="background1" w:themeFillShade="F2"/>
          </w:tcPr>
          <w:p w14:paraId="57E2F5A7" w14:textId="77777777" w:rsidR="001F42C3" w:rsidRDefault="001F42C3" w:rsidP="001F42C3">
            <w:pPr>
              <w:rPr>
                <w:rFonts w:eastAsia="Arial Unicode MS" w:cstheme="minorHAnsi"/>
                <w:b/>
                <w:bCs/>
                <w:i/>
                <w:iCs/>
                <w:color w:val="000000"/>
                <w:u w:color="000000"/>
              </w:rPr>
            </w:pPr>
          </w:p>
        </w:tc>
        <w:tc>
          <w:tcPr>
            <w:tcW w:w="318" w:type="dxa"/>
          </w:tcPr>
          <w:p w14:paraId="38F6F716" w14:textId="7A8EABEA" w:rsidR="001F42C3" w:rsidRDefault="001F42C3" w:rsidP="001F42C3">
            <w:pPr>
              <w:rPr>
                <w:rFonts w:eastAsia="Arial Unicode MS" w:cstheme="minorHAnsi"/>
                <w:b/>
                <w:bCs/>
                <w:i/>
                <w:iCs/>
                <w:color w:val="000000"/>
                <w:u w:color="000000"/>
              </w:rPr>
            </w:pPr>
            <w:r>
              <w:rPr>
                <w:rFonts w:eastAsia="Arial Unicode MS" w:cstheme="minorHAnsi"/>
                <w:b/>
                <w:bCs/>
                <w:color w:val="000000"/>
                <w:u w:color="000000"/>
              </w:rPr>
              <w:t>?</w:t>
            </w:r>
          </w:p>
        </w:tc>
      </w:tr>
      <w:tr w:rsidR="001F42C3" w14:paraId="3ED9BEAD" w14:textId="77777777" w:rsidTr="00DF2209">
        <w:trPr>
          <w:trHeight w:val="237"/>
        </w:trPr>
        <w:tc>
          <w:tcPr>
            <w:tcW w:w="3325" w:type="dxa"/>
          </w:tcPr>
          <w:p w14:paraId="2D5DB675" w14:textId="56FB6924" w:rsidR="001F42C3" w:rsidRDefault="001F42C3" w:rsidP="001F42C3">
            <w:pPr>
              <w:rPr>
                <w:rFonts w:eastAsia="Arial Unicode MS" w:cstheme="minorHAnsi"/>
                <w:b/>
                <w:bCs/>
                <w:i/>
                <w:iCs/>
                <w:color w:val="000000"/>
                <w:u w:color="000000"/>
              </w:rPr>
            </w:pPr>
            <w:r w:rsidRPr="00C978B7">
              <w:rPr>
                <w:rFonts w:eastAsia="Arial Unicode MS" w:cstheme="minorHAnsi"/>
                <w:color w:val="000000"/>
                <w:u w:color="000000"/>
              </w:rPr>
              <w:t>Deviation from intervention</w:t>
            </w:r>
          </w:p>
        </w:tc>
        <w:tc>
          <w:tcPr>
            <w:tcW w:w="2700" w:type="dxa"/>
            <w:gridSpan w:val="2"/>
            <w:shd w:val="clear" w:color="auto" w:fill="A8D08D" w:themeFill="accent6" w:themeFillTint="99"/>
          </w:tcPr>
          <w:p w14:paraId="24AC90CB" w14:textId="77777777" w:rsidR="001F42C3" w:rsidRDefault="001F42C3" w:rsidP="001F42C3">
            <w:pPr>
              <w:rPr>
                <w:rFonts w:eastAsia="Arial Unicode MS" w:cstheme="minorHAnsi"/>
                <w:b/>
                <w:bCs/>
                <w:i/>
                <w:iCs/>
                <w:color w:val="000000"/>
                <w:u w:color="000000"/>
              </w:rPr>
            </w:pPr>
          </w:p>
        </w:tc>
        <w:tc>
          <w:tcPr>
            <w:tcW w:w="270" w:type="dxa"/>
            <w:shd w:val="clear" w:color="auto" w:fill="FFCCFF"/>
          </w:tcPr>
          <w:p w14:paraId="0B3B8B66" w14:textId="77777777" w:rsidR="001F42C3" w:rsidRDefault="001F42C3" w:rsidP="001F42C3">
            <w:pPr>
              <w:rPr>
                <w:rFonts w:eastAsia="Arial Unicode MS" w:cstheme="minorHAnsi"/>
                <w:b/>
                <w:bCs/>
                <w:i/>
                <w:iCs/>
                <w:color w:val="000000"/>
                <w:u w:color="000000"/>
              </w:rPr>
            </w:pPr>
          </w:p>
        </w:tc>
        <w:tc>
          <w:tcPr>
            <w:tcW w:w="2160" w:type="dxa"/>
            <w:gridSpan w:val="5"/>
            <w:shd w:val="clear" w:color="auto" w:fill="F2F2F2" w:themeFill="background1" w:themeFillShade="F2"/>
          </w:tcPr>
          <w:p w14:paraId="7E865341" w14:textId="77777777" w:rsidR="001F42C3" w:rsidRDefault="001F42C3" w:rsidP="001F42C3">
            <w:pPr>
              <w:rPr>
                <w:rFonts w:eastAsia="Arial Unicode MS" w:cstheme="minorHAnsi"/>
                <w:b/>
                <w:bCs/>
                <w:i/>
                <w:iCs/>
                <w:color w:val="000000"/>
                <w:u w:color="000000"/>
              </w:rPr>
            </w:pPr>
          </w:p>
        </w:tc>
        <w:tc>
          <w:tcPr>
            <w:tcW w:w="318" w:type="dxa"/>
          </w:tcPr>
          <w:p w14:paraId="0234CE44" w14:textId="4E662E69" w:rsidR="001F42C3" w:rsidRDefault="001F42C3" w:rsidP="001F42C3">
            <w:pPr>
              <w:rPr>
                <w:rFonts w:eastAsia="Arial Unicode MS" w:cstheme="minorHAnsi"/>
                <w:b/>
                <w:bCs/>
                <w:i/>
                <w:iCs/>
                <w:color w:val="000000"/>
                <w:u w:color="000000"/>
              </w:rPr>
            </w:pPr>
            <w:r>
              <w:rPr>
                <w:rFonts w:eastAsia="Arial Unicode MS" w:cstheme="minorHAnsi"/>
                <w:b/>
                <w:bCs/>
                <w:color w:val="000000"/>
                <w:u w:color="000000"/>
              </w:rPr>
              <w:t>?</w:t>
            </w:r>
          </w:p>
        </w:tc>
      </w:tr>
      <w:tr w:rsidR="001F42C3" w14:paraId="52501A1C" w14:textId="77777777" w:rsidTr="001F42C3">
        <w:trPr>
          <w:trHeight w:val="237"/>
        </w:trPr>
        <w:tc>
          <w:tcPr>
            <w:tcW w:w="3325" w:type="dxa"/>
          </w:tcPr>
          <w:p w14:paraId="4274C0A0" w14:textId="05FD6C9D" w:rsidR="001F42C3" w:rsidRDefault="001F42C3" w:rsidP="001F42C3">
            <w:pPr>
              <w:rPr>
                <w:rFonts w:eastAsia="Arial Unicode MS" w:cstheme="minorHAnsi"/>
                <w:b/>
                <w:bCs/>
                <w:i/>
                <w:iCs/>
                <w:color w:val="000000"/>
                <w:u w:color="000000"/>
              </w:rPr>
            </w:pPr>
            <w:r w:rsidRPr="00C978B7">
              <w:rPr>
                <w:rFonts w:eastAsia="Arial Unicode MS" w:cstheme="minorHAnsi"/>
                <w:color w:val="000000"/>
                <w:u w:color="000000"/>
              </w:rPr>
              <w:t>Missing data</w:t>
            </w:r>
          </w:p>
        </w:tc>
        <w:tc>
          <w:tcPr>
            <w:tcW w:w="4860" w:type="dxa"/>
            <w:gridSpan w:val="7"/>
            <w:shd w:val="clear" w:color="auto" w:fill="A8D08D" w:themeFill="accent6" w:themeFillTint="99"/>
          </w:tcPr>
          <w:p w14:paraId="05463D82" w14:textId="77777777" w:rsidR="001F42C3" w:rsidRDefault="001F42C3" w:rsidP="001F42C3">
            <w:pPr>
              <w:rPr>
                <w:rFonts w:eastAsia="Arial Unicode MS" w:cstheme="minorHAnsi"/>
                <w:b/>
                <w:bCs/>
                <w:i/>
                <w:iCs/>
                <w:color w:val="000000"/>
                <w:u w:color="000000"/>
              </w:rPr>
            </w:pPr>
          </w:p>
        </w:tc>
        <w:tc>
          <w:tcPr>
            <w:tcW w:w="270" w:type="dxa"/>
            <w:shd w:val="clear" w:color="auto" w:fill="FFFF99"/>
          </w:tcPr>
          <w:p w14:paraId="72B264E3" w14:textId="77777777" w:rsidR="001F42C3" w:rsidRDefault="001F42C3" w:rsidP="001F42C3">
            <w:pPr>
              <w:rPr>
                <w:rFonts w:eastAsia="Arial Unicode MS" w:cstheme="minorHAnsi"/>
                <w:b/>
                <w:bCs/>
                <w:i/>
                <w:iCs/>
                <w:color w:val="000000"/>
                <w:u w:color="000000"/>
              </w:rPr>
            </w:pPr>
          </w:p>
        </w:tc>
        <w:tc>
          <w:tcPr>
            <w:tcW w:w="318" w:type="dxa"/>
          </w:tcPr>
          <w:p w14:paraId="40D54F4D" w14:textId="410F5C78" w:rsidR="001F42C3" w:rsidRDefault="001F42C3" w:rsidP="001F42C3">
            <w:pPr>
              <w:rPr>
                <w:rFonts w:eastAsia="Arial Unicode MS" w:cstheme="minorHAnsi"/>
                <w:b/>
                <w:bCs/>
                <w:i/>
                <w:iCs/>
                <w:color w:val="000000"/>
                <w:u w:color="000000"/>
              </w:rPr>
            </w:pPr>
            <w:r>
              <w:rPr>
                <w:rFonts w:eastAsia="Arial Unicode MS" w:cstheme="minorHAnsi"/>
                <w:b/>
                <w:bCs/>
                <w:color w:val="000000"/>
                <w:u w:color="000000"/>
              </w:rPr>
              <w:t>?</w:t>
            </w:r>
          </w:p>
        </w:tc>
      </w:tr>
      <w:tr w:rsidR="001F42C3" w14:paraId="4DA2A3AB" w14:textId="77777777" w:rsidTr="00904B0D">
        <w:trPr>
          <w:trHeight w:val="248"/>
        </w:trPr>
        <w:tc>
          <w:tcPr>
            <w:tcW w:w="3325" w:type="dxa"/>
          </w:tcPr>
          <w:p w14:paraId="6606758B" w14:textId="663C710A" w:rsidR="001F42C3" w:rsidRDefault="001F42C3" w:rsidP="001F42C3">
            <w:pPr>
              <w:rPr>
                <w:rFonts w:eastAsia="Arial Unicode MS" w:cstheme="minorHAnsi"/>
                <w:b/>
                <w:bCs/>
                <w:i/>
                <w:iCs/>
                <w:color w:val="000000"/>
                <w:u w:color="000000"/>
              </w:rPr>
            </w:pPr>
            <w:r w:rsidRPr="00C978B7">
              <w:rPr>
                <w:rFonts w:eastAsia="Arial Unicode MS" w:cstheme="minorHAnsi"/>
                <w:color w:val="000000"/>
                <w:u w:color="000000"/>
              </w:rPr>
              <w:t>Measurement of outcomes</w:t>
            </w:r>
          </w:p>
        </w:tc>
        <w:tc>
          <w:tcPr>
            <w:tcW w:w="5130" w:type="dxa"/>
            <w:gridSpan w:val="8"/>
            <w:shd w:val="clear" w:color="auto" w:fill="A8D08D" w:themeFill="accent6" w:themeFillTint="99"/>
          </w:tcPr>
          <w:p w14:paraId="77B4E8A9" w14:textId="77777777" w:rsidR="001F42C3" w:rsidRDefault="001F42C3" w:rsidP="001F42C3">
            <w:pPr>
              <w:rPr>
                <w:rFonts w:eastAsia="Arial Unicode MS" w:cstheme="minorHAnsi"/>
                <w:b/>
                <w:bCs/>
                <w:i/>
                <w:iCs/>
                <w:color w:val="000000"/>
                <w:u w:color="000000"/>
              </w:rPr>
            </w:pPr>
          </w:p>
        </w:tc>
        <w:tc>
          <w:tcPr>
            <w:tcW w:w="318" w:type="dxa"/>
          </w:tcPr>
          <w:p w14:paraId="724EA1D0" w14:textId="055B37C5" w:rsidR="001F42C3" w:rsidRDefault="001F42C3" w:rsidP="001F42C3">
            <w:pPr>
              <w:rPr>
                <w:rFonts w:eastAsia="Arial Unicode MS" w:cstheme="minorHAnsi"/>
                <w:b/>
                <w:bCs/>
                <w:i/>
                <w:iCs/>
                <w:color w:val="000000"/>
                <w:u w:color="000000"/>
              </w:rPr>
            </w:pPr>
            <w:r>
              <w:rPr>
                <w:rFonts w:eastAsia="Arial Unicode MS" w:cstheme="minorHAnsi"/>
                <w:b/>
                <w:bCs/>
                <w:color w:val="000000"/>
                <w:u w:color="000000"/>
              </w:rPr>
              <w:t>?</w:t>
            </w:r>
          </w:p>
        </w:tc>
      </w:tr>
      <w:tr w:rsidR="001F42C3" w14:paraId="3A6006A2" w14:textId="77777777" w:rsidTr="001F42C3">
        <w:trPr>
          <w:trHeight w:val="237"/>
        </w:trPr>
        <w:tc>
          <w:tcPr>
            <w:tcW w:w="3325" w:type="dxa"/>
          </w:tcPr>
          <w:p w14:paraId="736DC1BE" w14:textId="37C97AB4" w:rsidR="001F42C3" w:rsidRDefault="001F42C3" w:rsidP="001F42C3">
            <w:pPr>
              <w:rPr>
                <w:rFonts w:eastAsia="Arial Unicode MS" w:cstheme="minorHAnsi"/>
                <w:b/>
                <w:bCs/>
                <w:i/>
                <w:iCs/>
                <w:color w:val="000000"/>
                <w:u w:color="000000"/>
              </w:rPr>
            </w:pPr>
            <w:r w:rsidRPr="00C978B7">
              <w:rPr>
                <w:rFonts w:eastAsia="Arial Unicode MS" w:cstheme="minorHAnsi"/>
                <w:color w:val="000000"/>
                <w:u w:color="000000"/>
              </w:rPr>
              <w:t>Selection of reported results</w:t>
            </w:r>
          </w:p>
        </w:tc>
        <w:tc>
          <w:tcPr>
            <w:tcW w:w="5130" w:type="dxa"/>
            <w:gridSpan w:val="8"/>
            <w:shd w:val="clear" w:color="auto" w:fill="A8D08D" w:themeFill="accent6" w:themeFillTint="99"/>
          </w:tcPr>
          <w:p w14:paraId="35B3EF03" w14:textId="77777777" w:rsidR="001F42C3" w:rsidRDefault="001F42C3" w:rsidP="001F42C3">
            <w:pPr>
              <w:rPr>
                <w:rFonts w:eastAsia="Arial Unicode MS" w:cstheme="minorHAnsi"/>
                <w:b/>
                <w:bCs/>
                <w:i/>
                <w:iCs/>
                <w:color w:val="000000"/>
                <w:u w:color="000000"/>
              </w:rPr>
            </w:pPr>
          </w:p>
        </w:tc>
        <w:tc>
          <w:tcPr>
            <w:tcW w:w="318" w:type="dxa"/>
          </w:tcPr>
          <w:p w14:paraId="52E51B95" w14:textId="177741AF" w:rsidR="001F42C3" w:rsidRDefault="001F42C3" w:rsidP="001F42C3">
            <w:pPr>
              <w:rPr>
                <w:rFonts w:eastAsia="Arial Unicode MS" w:cstheme="minorHAnsi"/>
                <w:b/>
                <w:bCs/>
                <w:i/>
                <w:iCs/>
                <w:color w:val="000000"/>
                <w:u w:color="000000"/>
              </w:rPr>
            </w:pPr>
            <w:r>
              <w:rPr>
                <w:rFonts w:eastAsia="Arial Unicode MS" w:cstheme="minorHAnsi"/>
                <w:b/>
                <w:bCs/>
                <w:color w:val="000000"/>
                <w:u w:color="000000"/>
              </w:rPr>
              <w:t>?</w:t>
            </w:r>
          </w:p>
        </w:tc>
      </w:tr>
    </w:tbl>
    <w:p w14:paraId="43285377" w14:textId="77777777" w:rsidR="00B41BDB" w:rsidRDefault="00B41BDB">
      <w:pPr>
        <w:rPr>
          <w:rFonts w:eastAsia="Arial Unicode MS" w:cstheme="minorHAnsi"/>
          <w:b/>
          <w:bCs/>
          <w:i/>
          <w:iCs/>
          <w:color w:val="000000"/>
          <w:u w:color="000000"/>
        </w:rPr>
      </w:pPr>
    </w:p>
    <w:p w14:paraId="70D17A31" w14:textId="77777777" w:rsidR="00B41BDB" w:rsidRDefault="00B41BDB">
      <w:pPr>
        <w:rPr>
          <w:rFonts w:eastAsia="Arial Unicode MS" w:cstheme="minorHAnsi"/>
          <w:b/>
          <w:bCs/>
          <w:i/>
          <w:iCs/>
          <w:color w:val="000000"/>
          <w:u w:color="000000"/>
        </w:rPr>
      </w:pPr>
    </w:p>
    <w:p w14:paraId="342EE699" w14:textId="3F2E5BC9" w:rsidR="001C6932" w:rsidRDefault="001C6932">
      <w:pPr>
        <w:rPr>
          <w:rFonts w:eastAsia="Arial Unicode MS" w:cstheme="minorHAnsi"/>
          <w:b/>
          <w:bCs/>
          <w:i/>
          <w:iCs/>
          <w:color w:val="000000"/>
          <w:u w:color="000000"/>
        </w:rPr>
      </w:pPr>
      <w:r>
        <w:rPr>
          <w:rFonts w:eastAsia="Arial Unicode MS" w:cstheme="minorHAnsi"/>
          <w:b/>
          <w:bCs/>
          <w:i/>
          <w:iCs/>
          <w:color w:val="000000"/>
          <w:u w:color="000000"/>
        </w:rPr>
        <w:br w:type="page"/>
      </w:r>
    </w:p>
    <w:p w14:paraId="49059EA8" w14:textId="0F81E730" w:rsidR="00AA2DD6" w:rsidRPr="00AA2DD6" w:rsidRDefault="00874B94">
      <w:pPr>
        <w:rPr>
          <w:rFonts w:eastAsia="Arial Unicode MS" w:cstheme="minorHAnsi"/>
          <w:color w:val="000000"/>
          <w:u w:color="000000"/>
        </w:rPr>
      </w:pPr>
      <w:bookmarkStart w:id="57" w:name="_Hlk73124515"/>
      <w:r w:rsidRPr="00874B94">
        <w:rPr>
          <w:rFonts w:eastAsia="Arial Unicode MS" w:cstheme="minorHAnsi"/>
          <w:b/>
          <w:bCs/>
          <w:color w:val="000000"/>
          <w:u w:color="000000"/>
        </w:rPr>
        <w:lastRenderedPageBreak/>
        <w:t>Appendix 7</w:t>
      </w:r>
      <w:r w:rsidR="00AA2DD6">
        <w:rPr>
          <w:rFonts w:eastAsia="Arial Unicode MS" w:cstheme="minorHAnsi"/>
          <w:b/>
          <w:bCs/>
          <w:color w:val="000000"/>
          <w:u w:color="000000"/>
        </w:rPr>
        <w:t>:</w:t>
      </w:r>
      <w:r w:rsidR="00AA2DD6">
        <w:rPr>
          <w:rFonts w:eastAsia="Arial Unicode MS" w:cstheme="minorHAnsi"/>
          <w:color w:val="000000"/>
          <w:u w:color="000000"/>
        </w:rPr>
        <w:t xml:space="preserve"> Quality of evidence of qualitative findings</w:t>
      </w:r>
    </w:p>
    <w:p w14:paraId="2E73B08B" w14:textId="058EDBD5" w:rsidR="00AA54BC" w:rsidRPr="00AA2DD6" w:rsidRDefault="00AA2DD6">
      <w:pPr>
        <w:rPr>
          <w:rFonts w:eastAsia="Arial Unicode MS" w:cstheme="minorHAnsi"/>
          <w:color w:val="000000"/>
          <w:u w:color="000000"/>
        </w:rPr>
      </w:pPr>
      <w:r w:rsidRPr="00AA2DD6">
        <w:rPr>
          <w:rFonts w:eastAsia="Arial Unicode MS" w:cstheme="minorHAnsi"/>
          <w:color w:val="000000"/>
          <w:u w:val="single" w:color="000000"/>
        </w:rPr>
        <w:t>Table 7</w:t>
      </w:r>
      <w:r w:rsidRPr="00AA2DD6">
        <w:rPr>
          <w:rFonts w:eastAsia="Arial Unicode MS" w:cstheme="minorHAnsi"/>
          <w:color w:val="000000"/>
          <w:u w:color="000000"/>
        </w:rPr>
        <w:t xml:space="preserve">: </w:t>
      </w:r>
      <w:r w:rsidR="00874B94" w:rsidRPr="00AA2DD6">
        <w:rPr>
          <w:rFonts w:eastAsia="Arial Unicode MS" w:cstheme="minorHAnsi"/>
          <w:color w:val="000000"/>
          <w:u w:color="000000"/>
        </w:rPr>
        <w:t xml:space="preserve"> </w:t>
      </w:r>
      <w:bookmarkStart w:id="58" w:name="_Hlk73990587"/>
      <w:r w:rsidR="009415E8" w:rsidRPr="00AA2DD6">
        <w:rPr>
          <w:rFonts w:eastAsia="Arial Unicode MS" w:cstheme="minorHAnsi"/>
          <w:color w:val="000000"/>
          <w:u w:color="000000"/>
        </w:rPr>
        <w:t xml:space="preserve">Quality of evidence using </w:t>
      </w:r>
      <w:r w:rsidR="00AA54BC" w:rsidRPr="00AA2DD6">
        <w:rPr>
          <w:rFonts w:eastAsia="Arial Unicode MS" w:cstheme="minorHAnsi"/>
          <w:color w:val="000000"/>
          <w:u w:color="000000"/>
        </w:rPr>
        <w:t>C</w:t>
      </w:r>
      <w:r w:rsidR="003B041C" w:rsidRPr="00AA2DD6">
        <w:rPr>
          <w:rFonts w:eastAsia="Arial Unicode MS" w:cstheme="minorHAnsi"/>
          <w:color w:val="000000"/>
          <w:u w:color="000000"/>
        </w:rPr>
        <w:t>ERT</w:t>
      </w:r>
      <w:r w:rsidR="00AA54BC" w:rsidRPr="00AA2DD6">
        <w:rPr>
          <w:rFonts w:eastAsia="Arial Unicode MS" w:cstheme="minorHAnsi"/>
          <w:color w:val="000000"/>
          <w:u w:color="000000"/>
        </w:rPr>
        <w:t>Qual</w:t>
      </w:r>
      <w:bookmarkEnd w:id="58"/>
      <w:r w:rsidR="003B041C" w:rsidRPr="00AA2DD6">
        <w:rPr>
          <w:rFonts w:eastAsia="Arial Unicode MS" w:cstheme="minorHAnsi"/>
          <w:color w:val="000000"/>
          <w:u w:color="000000"/>
        </w:rPr>
        <w:t xml:space="preserve"> </w:t>
      </w:r>
    </w:p>
    <w:tbl>
      <w:tblPr>
        <w:tblW w:w="13320" w:type="dxa"/>
        <w:jc w:val="center"/>
        <w:tblLook w:val="04A0" w:firstRow="1" w:lastRow="0" w:firstColumn="1" w:lastColumn="0" w:noHBand="0" w:noVBand="1"/>
      </w:tblPr>
      <w:tblGrid>
        <w:gridCol w:w="3242"/>
        <w:gridCol w:w="1989"/>
        <w:gridCol w:w="1959"/>
        <w:gridCol w:w="1716"/>
        <w:gridCol w:w="2077"/>
        <w:gridCol w:w="2337"/>
      </w:tblGrid>
      <w:tr w:rsidR="00AA54BC" w:rsidRPr="00B64CAB" w14:paraId="46085CBD" w14:textId="77777777" w:rsidTr="00900DAE">
        <w:trPr>
          <w:trHeight w:val="20"/>
          <w:tblHeader/>
          <w:jc w:val="center"/>
        </w:trPr>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E42B77" w14:textId="574EDBB9" w:rsidR="00AA54BC" w:rsidRPr="00B64CAB" w:rsidRDefault="001274E4" w:rsidP="00AA54BC">
            <w:pPr>
              <w:spacing w:after="0" w:line="240" w:lineRule="auto"/>
              <w:rPr>
                <w:rFonts w:eastAsia="Times New Roman" w:cstheme="minorHAnsi"/>
                <w:b/>
                <w:bCs/>
                <w:color w:val="000000"/>
              </w:rPr>
            </w:pPr>
            <w:bookmarkStart w:id="59" w:name="_Hlk73127179"/>
            <w:r w:rsidRPr="00B64CAB">
              <w:rPr>
                <w:rFonts w:eastAsia="Times New Roman" w:cstheme="minorHAnsi"/>
                <w:b/>
                <w:bCs/>
                <w:color w:val="000000"/>
              </w:rPr>
              <w:t>Author-year</w:t>
            </w:r>
          </w:p>
        </w:tc>
        <w:tc>
          <w:tcPr>
            <w:tcW w:w="1989" w:type="dxa"/>
            <w:tcBorders>
              <w:top w:val="single" w:sz="4" w:space="0" w:color="auto"/>
              <w:left w:val="nil"/>
              <w:bottom w:val="single" w:sz="4" w:space="0" w:color="auto"/>
              <w:right w:val="single" w:sz="4" w:space="0" w:color="auto"/>
            </w:tcBorders>
            <w:shd w:val="clear" w:color="auto" w:fill="auto"/>
            <w:hideMark/>
          </w:tcPr>
          <w:p w14:paraId="0072B5F3" w14:textId="77777777" w:rsidR="00AA54BC" w:rsidRPr="00B64CAB" w:rsidRDefault="00AA54BC" w:rsidP="00AA54BC">
            <w:pPr>
              <w:spacing w:after="0" w:line="240" w:lineRule="auto"/>
              <w:jc w:val="center"/>
              <w:rPr>
                <w:rFonts w:eastAsia="Times New Roman" w:cstheme="minorHAnsi"/>
                <w:b/>
                <w:bCs/>
                <w:color w:val="000000"/>
              </w:rPr>
            </w:pPr>
            <w:r w:rsidRPr="00B64CAB">
              <w:rPr>
                <w:rFonts w:eastAsia="Times New Roman" w:cstheme="minorHAnsi"/>
                <w:b/>
                <w:bCs/>
                <w:color w:val="000000"/>
              </w:rPr>
              <w:t>Methodological limitations</w:t>
            </w:r>
          </w:p>
        </w:tc>
        <w:tc>
          <w:tcPr>
            <w:tcW w:w="1959" w:type="dxa"/>
            <w:tcBorders>
              <w:top w:val="single" w:sz="4" w:space="0" w:color="auto"/>
              <w:left w:val="nil"/>
              <w:bottom w:val="single" w:sz="4" w:space="0" w:color="auto"/>
              <w:right w:val="single" w:sz="4" w:space="0" w:color="auto"/>
            </w:tcBorders>
            <w:shd w:val="clear" w:color="auto" w:fill="auto"/>
            <w:hideMark/>
          </w:tcPr>
          <w:p w14:paraId="4BBAC966" w14:textId="537B88E7" w:rsidR="00AA54BC" w:rsidRPr="00B64CAB" w:rsidRDefault="00AA54BC" w:rsidP="00AA54BC">
            <w:pPr>
              <w:spacing w:after="0" w:line="240" w:lineRule="auto"/>
              <w:jc w:val="center"/>
              <w:rPr>
                <w:rFonts w:eastAsia="Times New Roman" w:cstheme="minorHAnsi"/>
                <w:b/>
                <w:bCs/>
                <w:color w:val="000000"/>
              </w:rPr>
            </w:pPr>
            <w:r w:rsidRPr="00B64CAB">
              <w:rPr>
                <w:rFonts w:eastAsia="Times New Roman" w:cstheme="minorHAnsi"/>
                <w:b/>
                <w:bCs/>
                <w:color w:val="000000"/>
              </w:rPr>
              <w:t xml:space="preserve">Relevance </w:t>
            </w:r>
          </w:p>
        </w:tc>
        <w:tc>
          <w:tcPr>
            <w:tcW w:w="1716" w:type="dxa"/>
            <w:tcBorders>
              <w:top w:val="single" w:sz="4" w:space="0" w:color="auto"/>
              <w:left w:val="nil"/>
              <w:bottom w:val="single" w:sz="4" w:space="0" w:color="auto"/>
              <w:right w:val="single" w:sz="4" w:space="0" w:color="auto"/>
            </w:tcBorders>
            <w:shd w:val="clear" w:color="auto" w:fill="auto"/>
            <w:hideMark/>
          </w:tcPr>
          <w:p w14:paraId="57CD3424" w14:textId="77777777" w:rsidR="00AA54BC" w:rsidRPr="00B64CAB" w:rsidRDefault="00AA54BC" w:rsidP="00AA54BC">
            <w:pPr>
              <w:spacing w:after="0" w:line="240" w:lineRule="auto"/>
              <w:jc w:val="center"/>
              <w:rPr>
                <w:rFonts w:eastAsia="Times New Roman" w:cstheme="minorHAnsi"/>
                <w:b/>
                <w:bCs/>
                <w:color w:val="000000"/>
              </w:rPr>
            </w:pPr>
            <w:r w:rsidRPr="00B64CAB">
              <w:rPr>
                <w:rFonts w:eastAsia="Times New Roman" w:cstheme="minorHAnsi"/>
                <w:b/>
                <w:bCs/>
                <w:color w:val="000000"/>
              </w:rPr>
              <w:t>Coherence</w:t>
            </w:r>
          </w:p>
        </w:tc>
        <w:tc>
          <w:tcPr>
            <w:tcW w:w="2077" w:type="dxa"/>
            <w:tcBorders>
              <w:top w:val="single" w:sz="4" w:space="0" w:color="auto"/>
              <w:left w:val="nil"/>
              <w:bottom w:val="single" w:sz="4" w:space="0" w:color="auto"/>
              <w:right w:val="single" w:sz="4" w:space="0" w:color="auto"/>
            </w:tcBorders>
            <w:shd w:val="clear" w:color="auto" w:fill="auto"/>
            <w:hideMark/>
          </w:tcPr>
          <w:p w14:paraId="765631C0" w14:textId="77777777" w:rsidR="00AA54BC" w:rsidRPr="00B64CAB" w:rsidRDefault="00AA54BC" w:rsidP="00AA54BC">
            <w:pPr>
              <w:spacing w:after="0" w:line="240" w:lineRule="auto"/>
              <w:jc w:val="center"/>
              <w:rPr>
                <w:rFonts w:eastAsia="Times New Roman" w:cstheme="minorHAnsi"/>
                <w:b/>
                <w:bCs/>
                <w:color w:val="000000"/>
              </w:rPr>
            </w:pPr>
            <w:r w:rsidRPr="00B64CAB">
              <w:rPr>
                <w:rFonts w:eastAsia="Times New Roman" w:cstheme="minorHAnsi"/>
                <w:b/>
                <w:bCs/>
                <w:color w:val="000000"/>
              </w:rPr>
              <w:t>Adequacy of data</w:t>
            </w:r>
          </w:p>
        </w:tc>
        <w:tc>
          <w:tcPr>
            <w:tcW w:w="2337" w:type="dxa"/>
            <w:tcBorders>
              <w:top w:val="single" w:sz="4" w:space="0" w:color="auto"/>
              <w:left w:val="nil"/>
              <w:bottom w:val="single" w:sz="4" w:space="0" w:color="auto"/>
              <w:right w:val="single" w:sz="4" w:space="0" w:color="auto"/>
            </w:tcBorders>
            <w:shd w:val="clear" w:color="auto" w:fill="auto"/>
            <w:hideMark/>
          </w:tcPr>
          <w:p w14:paraId="63BF896F" w14:textId="77777777" w:rsidR="00AA54BC" w:rsidRPr="00B64CAB" w:rsidRDefault="00AA54BC" w:rsidP="00AA54BC">
            <w:pPr>
              <w:spacing w:after="0" w:line="240" w:lineRule="auto"/>
              <w:rPr>
                <w:rFonts w:eastAsia="Times New Roman" w:cstheme="minorHAnsi"/>
                <w:b/>
                <w:bCs/>
                <w:color w:val="000000"/>
              </w:rPr>
            </w:pPr>
            <w:r w:rsidRPr="00B64CAB">
              <w:rPr>
                <w:rFonts w:eastAsia="Times New Roman" w:cstheme="minorHAnsi"/>
                <w:b/>
                <w:bCs/>
                <w:color w:val="000000"/>
              </w:rPr>
              <w:t>Overall judgment (Level of evidence)</w:t>
            </w:r>
          </w:p>
        </w:tc>
      </w:tr>
      <w:tr w:rsidR="00AA54BC" w:rsidRPr="00B64CAB" w14:paraId="335B8571" w14:textId="77777777" w:rsidTr="00900DAE">
        <w:trPr>
          <w:trHeight w:val="144"/>
          <w:jc w:val="center"/>
        </w:trPr>
        <w:tc>
          <w:tcPr>
            <w:tcW w:w="3242" w:type="dxa"/>
            <w:tcBorders>
              <w:top w:val="nil"/>
              <w:left w:val="single" w:sz="4" w:space="0" w:color="auto"/>
              <w:bottom w:val="single" w:sz="4" w:space="0" w:color="auto"/>
              <w:right w:val="single" w:sz="4" w:space="0" w:color="auto"/>
            </w:tcBorders>
            <w:shd w:val="clear" w:color="auto" w:fill="auto"/>
            <w:hideMark/>
          </w:tcPr>
          <w:p w14:paraId="49DA8A56" w14:textId="77777777" w:rsidR="00AA54BC" w:rsidRPr="00B64CAB" w:rsidRDefault="00AA54BC" w:rsidP="00AA54BC">
            <w:pPr>
              <w:spacing w:after="240" w:line="240" w:lineRule="auto"/>
              <w:rPr>
                <w:rFonts w:eastAsia="Times New Roman" w:cstheme="minorHAnsi"/>
                <w:color w:val="000000"/>
              </w:rPr>
            </w:pPr>
            <w:r w:rsidRPr="00B64CAB">
              <w:rPr>
                <w:rFonts w:eastAsia="Times New Roman" w:cstheme="minorHAnsi"/>
                <w:color w:val="000000"/>
              </w:rPr>
              <w:t>Adyya 2018</w:t>
            </w:r>
          </w:p>
        </w:tc>
        <w:tc>
          <w:tcPr>
            <w:tcW w:w="1989" w:type="dxa"/>
            <w:tcBorders>
              <w:top w:val="single" w:sz="4" w:space="0" w:color="auto"/>
              <w:left w:val="nil"/>
              <w:bottom w:val="single" w:sz="4" w:space="0" w:color="auto"/>
              <w:right w:val="single" w:sz="4" w:space="0" w:color="auto"/>
            </w:tcBorders>
            <w:shd w:val="clear" w:color="000000" w:fill="A9D08E"/>
            <w:hideMark/>
          </w:tcPr>
          <w:p w14:paraId="12909C0B"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single" w:sz="4" w:space="0" w:color="auto"/>
              <w:left w:val="nil"/>
              <w:bottom w:val="single" w:sz="4" w:space="0" w:color="auto"/>
              <w:right w:val="single" w:sz="4" w:space="0" w:color="auto"/>
            </w:tcBorders>
            <w:shd w:val="clear" w:color="000000" w:fill="FFFF99"/>
            <w:hideMark/>
          </w:tcPr>
          <w:p w14:paraId="50BEFFC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716" w:type="dxa"/>
            <w:tcBorders>
              <w:top w:val="single" w:sz="4" w:space="0" w:color="auto"/>
              <w:left w:val="nil"/>
              <w:bottom w:val="single" w:sz="4" w:space="0" w:color="auto"/>
              <w:right w:val="single" w:sz="4" w:space="0" w:color="auto"/>
            </w:tcBorders>
            <w:shd w:val="clear" w:color="000000" w:fill="FFFF99"/>
            <w:hideMark/>
          </w:tcPr>
          <w:p w14:paraId="4A674E75"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single" w:sz="4" w:space="0" w:color="auto"/>
              <w:left w:val="nil"/>
              <w:bottom w:val="single" w:sz="4" w:space="0" w:color="auto"/>
              <w:right w:val="single" w:sz="4" w:space="0" w:color="auto"/>
            </w:tcBorders>
            <w:shd w:val="clear" w:color="000000" w:fill="FFFF99"/>
            <w:hideMark/>
          </w:tcPr>
          <w:p w14:paraId="7839BE2F"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337" w:type="dxa"/>
            <w:tcBorders>
              <w:top w:val="nil"/>
              <w:left w:val="nil"/>
              <w:bottom w:val="single" w:sz="4" w:space="0" w:color="auto"/>
              <w:right w:val="single" w:sz="4" w:space="0" w:color="auto"/>
            </w:tcBorders>
            <w:shd w:val="clear" w:color="000000" w:fill="FFFF99"/>
            <w:hideMark/>
          </w:tcPr>
          <w:p w14:paraId="5A420F8D"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AA54BC" w:rsidRPr="00B64CAB" w14:paraId="44308D69"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591B0522"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Afework 2018</w:t>
            </w:r>
          </w:p>
        </w:tc>
        <w:tc>
          <w:tcPr>
            <w:tcW w:w="1989" w:type="dxa"/>
            <w:tcBorders>
              <w:top w:val="nil"/>
              <w:left w:val="nil"/>
              <w:bottom w:val="single" w:sz="4" w:space="0" w:color="auto"/>
              <w:right w:val="single" w:sz="4" w:space="0" w:color="auto"/>
            </w:tcBorders>
            <w:shd w:val="clear" w:color="000000" w:fill="FFFF99"/>
            <w:hideMark/>
          </w:tcPr>
          <w:p w14:paraId="4124A12D"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959" w:type="dxa"/>
            <w:tcBorders>
              <w:top w:val="nil"/>
              <w:left w:val="nil"/>
              <w:bottom w:val="single" w:sz="4" w:space="0" w:color="auto"/>
              <w:right w:val="single" w:sz="4" w:space="0" w:color="auto"/>
            </w:tcBorders>
            <w:shd w:val="clear" w:color="000000" w:fill="FFFF99"/>
            <w:hideMark/>
          </w:tcPr>
          <w:p w14:paraId="354814E3"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716" w:type="dxa"/>
            <w:tcBorders>
              <w:top w:val="nil"/>
              <w:left w:val="nil"/>
              <w:bottom w:val="single" w:sz="4" w:space="0" w:color="auto"/>
              <w:right w:val="single" w:sz="4" w:space="0" w:color="auto"/>
            </w:tcBorders>
            <w:shd w:val="clear" w:color="000000" w:fill="FFFF99"/>
            <w:hideMark/>
          </w:tcPr>
          <w:p w14:paraId="295624A1"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FFFF99"/>
            <w:hideMark/>
          </w:tcPr>
          <w:p w14:paraId="68C7F7FF"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337" w:type="dxa"/>
            <w:tcBorders>
              <w:top w:val="nil"/>
              <w:left w:val="nil"/>
              <w:bottom w:val="single" w:sz="4" w:space="0" w:color="auto"/>
              <w:right w:val="single" w:sz="4" w:space="0" w:color="auto"/>
            </w:tcBorders>
            <w:shd w:val="clear" w:color="000000" w:fill="FFFF99"/>
            <w:hideMark/>
          </w:tcPr>
          <w:p w14:paraId="5A81E4BA"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AA54BC" w:rsidRPr="00B64CAB" w14:paraId="28682B68"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15ADC6D2"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Aijaz 2014</w:t>
            </w:r>
          </w:p>
        </w:tc>
        <w:tc>
          <w:tcPr>
            <w:tcW w:w="1989" w:type="dxa"/>
            <w:tcBorders>
              <w:top w:val="nil"/>
              <w:left w:val="nil"/>
              <w:bottom w:val="single" w:sz="4" w:space="0" w:color="auto"/>
              <w:right w:val="single" w:sz="4" w:space="0" w:color="auto"/>
            </w:tcBorders>
            <w:shd w:val="clear" w:color="000000" w:fill="FFFF99"/>
            <w:hideMark/>
          </w:tcPr>
          <w:p w14:paraId="132506A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959" w:type="dxa"/>
            <w:tcBorders>
              <w:top w:val="nil"/>
              <w:left w:val="nil"/>
              <w:bottom w:val="single" w:sz="4" w:space="0" w:color="auto"/>
              <w:right w:val="single" w:sz="4" w:space="0" w:color="auto"/>
            </w:tcBorders>
            <w:shd w:val="clear" w:color="000000" w:fill="FFFF99"/>
            <w:hideMark/>
          </w:tcPr>
          <w:p w14:paraId="0E7D006C"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716" w:type="dxa"/>
            <w:tcBorders>
              <w:top w:val="nil"/>
              <w:left w:val="nil"/>
              <w:bottom w:val="single" w:sz="4" w:space="0" w:color="auto"/>
              <w:right w:val="single" w:sz="4" w:space="0" w:color="auto"/>
            </w:tcBorders>
            <w:shd w:val="clear" w:color="000000" w:fill="FFFF99"/>
            <w:hideMark/>
          </w:tcPr>
          <w:p w14:paraId="6C85FB36"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6B03277F"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730F2E1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AA54BC" w:rsidRPr="00B64CAB" w14:paraId="0D55B79A"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3F5602C8"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Altaras  2017 </w:t>
            </w:r>
          </w:p>
        </w:tc>
        <w:tc>
          <w:tcPr>
            <w:tcW w:w="1989" w:type="dxa"/>
            <w:tcBorders>
              <w:top w:val="nil"/>
              <w:left w:val="nil"/>
              <w:bottom w:val="single" w:sz="4" w:space="0" w:color="auto"/>
              <w:right w:val="single" w:sz="4" w:space="0" w:color="auto"/>
            </w:tcBorders>
            <w:shd w:val="clear" w:color="000000" w:fill="A9D08E"/>
            <w:hideMark/>
          </w:tcPr>
          <w:p w14:paraId="0D5D0FFE"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463B3CAB"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69934B34"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FFFF99"/>
            <w:hideMark/>
          </w:tcPr>
          <w:p w14:paraId="52B8F6FC"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337" w:type="dxa"/>
            <w:tcBorders>
              <w:top w:val="nil"/>
              <w:left w:val="nil"/>
              <w:bottom w:val="single" w:sz="4" w:space="0" w:color="auto"/>
              <w:right w:val="single" w:sz="4" w:space="0" w:color="auto"/>
            </w:tcBorders>
            <w:shd w:val="clear" w:color="000000" w:fill="FFFF99"/>
            <w:hideMark/>
          </w:tcPr>
          <w:p w14:paraId="1CE80D5F"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MODERATE</w:t>
            </w:r>
          </w:p>
        </w:tc>
      </w:tr>
      <w:tr w:rsidR="00AA54BC" w:rsidRPr="00B64CAB" w14:paraId="09378E1E"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2C714A5D"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Anand 2020</w:t>
            </w:r>
          </w:p>
        </w:tc>
        <w:tc>
          <w:tcPr>
            <w:tcW w:w="1989" w:type="dxa"/>
            <w:tcBorders>
              <w:top w:val="nil"/>
              <w:left w:val="nil"/>
              <w:bottom w:val="single" w:sz="4" w:space="0" w:color="auto"/>
              <w:right w:val="single" w:sz="4" w:space="0" w:color="auto"/>
            </w:tcBorders>
            <w:shd w:val="clear" w:color="000000" w:fill="FFFF99"/>
            <w:hideMark/>
          </w:tcPr>
          <w:p w14:paraId="2C874815"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959" w:type="dxa"/>
            <w:tcBorders>
              <w:top w:val="nil"/>
              <w:left w:val="nil"/>
              <w:bottom w:val="single" w:sz="4" w:space="0" w:color="auto"/>
              <w:right w:val="single" w:sz="4" w:space="0" w:color="auto"/>
            </w:tcBorders>
            <w:shd w:val="clear" w:color="000000" w:fill="A9D08E"/>
            <w:hideMark/>
          </w:tcPr>
          <w:p w14:paraId="5CE51D34"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5C9E29FB"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FFFF99"/>
            <w:hideMark/>
          </w:tcPr>
          <w:p w14:paraId="3ABD7713"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337" w:type="dxa"/>
            <w:tcBorders>
              <w:top w:val="nil"/>
              <w:left w:val="nil"/>
              <w:bottom w:val="single" w:sz="4" w:space="0" w:color="auto"/>
              <w:right w:val="single" w:sz="4" w:space="0" w:color="auto"/>
            </w:tcBorders>
            <w:shd w:val="clear" w:color="000000" w:fill="FFFF99"/>
            <w:hideMark/>
          </w:tcPr>
          <w:p w14:paraId="118DD52B"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MODERATE</w:t>
            </w:r>
          </w:p>
        </w:tc>
      </w:tr>
      <w:tr w:rsidR="00AA54BC" w:rsidRPr="00B64CAB" w14:paraId="6E3E9EA9"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3353D0EB"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Andersson 2010</w:t>
            </w:r>
          </w:p>
        </w:tc>
        <w:tc>
          <w:tcPr>
            <w:tcW w:w="1989" w:type="dxa"/>
            <w:tcBorders>
              <w:top w:val="nil"/>
              <w:left w:val="nil"/>
              <w:bottom w:val="single" w:sz="4" w:space="0" w:color="auto"/>
              <w:right w:val="single" w:sz="4" w:space="0" w:color="auto"/>
            </w:tcBorders>
            <w:shd w:val="clear" w:color="000000" w:fill="FFCCFF"/>
            <w:hideMark/>
          </w:tcPr>
          <w:p w14:paraId="7886E7C8"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Significant</w:t>
            </w:r>
          </w:p>
        </w:tc>
        <w:tc>
          <w:tcPr>
            <w:tcW w:w="1959" w:type="dxa"/>
            <w:tcBorders>
              <w:top w:val="nil"/>
              <w:left w:val="nil"/>
              <w:bottom w:val="single" w:sz="4" w:space="0" w:color="auto"/>
              <w:right w:val="single" w:sz="4" w:space="0" w:color="auto"/>
            </w:tcBorders>
            <w:shd w:val="clear" w:color="000000" w:fill="A9D08E"/>
            <w:hideMark/>
          </w:tcPr>
          <w:p w14:paraId="6A76DC9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6CF96D49"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FFFF99"/>
            <w:hideMark/>
          </w:tcPr>
          <w:p w14:paraId="37E280F5"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Moderate</w:t>
            </w:r>
          </w:p>
        </w:tc>
        <w:tc>
          <w:tcPr>
            <w:tcW w:w="2337" w:type="dxa"/>
            <w:tcBorders>
              <w:top w:val="nil"/>
              <w:left w:val="nil"/>
              <w:bottom w:val="single" w:sz="4" w:space="0" w:color="auto"/>
              <w:right w:val="single" w:sz="4" w:space="0" w:color="auto"/>
            </w:tcBorders>
            <w:shd w:val="clear" w:color="000000" w:fill="FFCCFF"/>
            <w:hideMark/>
          </w:tcPr>
          <w:p w14:paraId="0779FF2A"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LOW</w:t>
            </w:r>
          </w:p>
        </w:tc>
      </w:tr>
      <w:tr w:rsidR="00AA54BC" w:rsidRPr="00B64CAB" w14:paraId="354F2D64"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7359A045" w14:textId="1D35EF18" w:rsidR="00AA54BC" w:rsidRPr="00B64CAB" w:rsidRDefault="00AA54BC" w:rsidP="00AA54BC">
            <w:pPr>
              <w:spacing w:after="0" w:line="240" w:lineRule="auto"/>
              <w:rPr>
                <w:rFonts w:eastAsia="Times New Roman" w:cstheme="minorHAnsi"/>
                <w:color w:val="000000"/>
              </w:rPr>
            </w:pPr>
            <w:bookmarkStart w:id="60" w:name="RANGE!A9"/>
            <w:r w:rsidRPr="00B64CAB">
              <w:rPr>
                <w:rFonts w:eastAsia="Times New Roman" w:cstheme="minorHAnsi"/>
                <w:color w:val="000000"/>
              </w:rPr>
              <w:t>Andersson 2013</w:t>
            </w:r>
            <w:bookmarkEnd w:id="60"/>
          </w:p>
        </w:tc>
        <w:tc>
          <w:tcPr>
            <w:tcW w:w="1989" w:type="dxa"/>
            <w:tcBorders>
              <w:top w:val="nil"/>
              <w:left w:val="nil"/>
              <w:bottom w:val="single" w:sz="4" w:space="0" w:color="auto"/>
              <w:right w:val="single" w:sz="4" w:space="0" w:color="auto"/>
            </w:tcBorders>
            <w:shd w:val="clear" w:color="000000" w:fill="FFFF99"/>
            <w:hideMark/>
          </w:tcPr>
          <w:p w14:paraId="027F4BE9"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959" w:type="dxa"/>
            <w:tcBorders>
              <w:top w:val="nil"/>
              <w:left w:val="nil"/>
              <w:bottom w:val="single" w:sz="4" w:space="0" w:color="auto"/>
              <w:right w:val="single" w:sz="4" w:space="0" w:color="auto"/>
            </w:tcBorders>
            <w:shd w:val="clear" w:color="000000" w:fill="A9D08E"/>
            <w:hideMark/>
          </w:tcPr>
          <w:p w14:paraId="688FC8D0"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6F17C2FB"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FFCCFF"/>
            <w:hideMark/>
          </w:tcPr>
          <w:p w14:paraId="7DA00BD8"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Low </w:t>
            </w:r>
          </w:p>
        </w:tc>
        <w:tc>
          <w:tcPr>
            <w:tcW w:w="2337" w:type="dxa"/>
            <w:tcBorders>
              <w:top w:val="nil"/>
              <w:left w:val="nil"/>
              <w:bottom w:val="single" w:sz="4" w:space="0" w:color="auto"/>
              <w:right w:val="single" w:sz="4" w:space="0" w:color="auto"/>
            </w:tcBorders>
            <w:shd w:val="clear" w:color="000000" w:fill="FFCCFF"/>
            <w:hideMark/>
          </w:tcPr>
          <w:p w14:paraId="7FF356A0"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LOW</w:t>
            </w:r>
          </w:p>
        </w:tc>
      </w:tr>
      <w:tr w:rsidR="00AA54BC" w:rsidRPr="00B64CAB" w14:paraId="7A4D870F"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398D1325"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Asweto 2016</w:t>
            </w:r>
          </w:p>
        </w:tc>
        <w:tc>
          <w:tcPr>
            <w:tcW w:w="1989" w:type="dxa"/>
            <w:tcBorders>
              <w:top w:val="nil"/>
              <w:left w:val="nil"/>
              <w:bottom w:val="single" w:sz="4" w:space="0" w:color="auto"/>
              <w:right w:val="single" w:sz="4" w:space="0" w:color="auto"/>
            </w:tcBorders>
            <w:shd w:val="clear" w:color="000000" w:fill="A9D08E"/>
            <w:hideMark/>
          </w:tcPr>
          <w:p w14:paraId="2EB7A18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55BC93AE"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3E7A59AC"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FFFF99"/>
            <w:hideMark/>
          </w:tcPr>
          <w:p w14:paraId="76CEDEB1"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337" w:type="dxa"/>
            <w:tcBorders>
              <w:top w:val="nil"/>
              <w:left w:val="nil"/>
              <w:bottom w:val="single" w:sz="4" w:space="0" w:color="auto"/>
              <w:right w:val="single" w:sz="4" w:space="0" w:color="auto"/>
            </w:tcBorders>
            <w:shd w:val="clear" w:color="000000" w:fill="FFFF99"/>
            <w:hideMark/>
          </w:tcPr>
          <w:p w14:paraId="794229E1"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MODERATE</w:t>
            </w:r>
          </w:p>
        </w:tc>
      </w:tr>
      <w:tr w:rsidR="00AA54BC" w:rsidRPr="00B64CAB" w14:paraId="103D201B"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0B434110"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Bagonza 2014</w:t>
            </w:r>
          </w:p>
        </w:tc>
        <w:tc>
          <w:tcPr>
            <w:tcW w:w="1989" w:type="dxa"/>
            <w:tcBorders>
              <w:top w:val="nil"/>
              <w:left w:val="nil"/>
              <w:bottom w:val="single" w:sz="4" w:space="0" w:color="auto"/>
              <w:right w:val="single" w:sz="4" w:space="0" w:color="auto"/>
            </w:tcBorders>
            <w:shd w:val="clear" w:color="000000" w:fill="A9D08E"/>
            <w:hideMark/>
          </w:tcPr>
          <w:p w14:paraId="2E2E62DD"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FFFF99"/>
            <w:hideMark/>
          </w:tcPr>
          <w:p w14:paraId="449378CC"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716" w:type="dxa"/>
            <w:tcBorders>
              <w:top w:val="nil"/>
              <w:left w:val="nil"/>
              <w:bottom w:val="single" w:sz="4" w:space="0" w:color="auto"/>
              <w:right w:val="single" w:sz="4" w:space="0" w:color="auto"/>
            </w:tcBorders>
            <w:shd w:val="clear" w:color="000000" w:fill="FFFF99"/>
            <w:hideMark/>
          </w:tcPr>
          <w:p w14:paraId="688E1302"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2D7C18F5"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0CD631B2"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AA54BC" w:rsidRPr="00B64CAB" w14:paraId="40FD3730"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14056641"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Bagonza 2015</w:t>
            </w:r>
          </w:p>
        </w:tc>
        <w:tc>
          <w:tcPr>
            <w:tcW w:w="1989" w:type="dxa"/>
            <w:tcBorders>
              <w:top w:val="nil"/>
              <w:left w:val="nil"/>
              <w:bottom w:val="single" w:sz="4" w:space="0" w:color="auto"/>
              <w:right w:val="single" w:sz="4" w:space="0" w:color="auto"/>
            </w:tcBorders>
            <w:shd w:val="clear" w:color="000000" w:fill="A9D08E"/>
            <w:hideMark/>
          </w:tcPr>
          <w:p w14:paraId="1970BA06"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149D42E3"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701BB59C"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A9D08E"/>
            <w:hideMark/>
          </w:tcPr>
          <w:p w14:paraId="721315E2"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A9D08E"/>
            <w:hideMark/>
          </w:tcPr>
          <w:p w14:paraId="613B74D0"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HIGH</w:t>
            </w:r>
          </w:p>
        </w:tc>
      </w:tr>
      <w:tr w:rsidR="00AA54BC" w:rsidRPr="00B64CAB" w14:paraId="6B4754D1"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43F8AB85"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Blanas 2013</w:t>
            </w:r>
          </w:p>
        </w:tc>
        <w:tc>
          <w:tcPr>
            <w:tcW w:w="1989" w:type="dxa"/>
            <w:tcBorders>
              <w:top w:val="nil"/>
              <w:left w:val="nil"/>
              <w:bottom w:val="single" w:sz="4" w:space="0" w:color="auto"/>
              <w:right w:val="single" w:sz="4" w:space="0" w:color="auto"/>
            </w:tcBorders>
            <w:shd w:val="clear" w:color="000000" w:fill="FFFF99"/>
            <w:hideMark/>
          </w:tcPr>
          <w:p w14:paraId="5CB2E081"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959" w:type="dxa"/>
            <w:tcBorders>
              <w:top w:val="nil"/>
              <w:left w:val="nil"/>
              <w:bottom w:val="single" w:sz="4" w:space="0" w:color="auto"/>
              <w:right w:val="single" w:sz="4" w:space="0" w:color="auto"/>
            </w:tcBorders>
            <w:shd w:val="clear" w:color="000000" w:fill="FFFF99"/>
            <w:hideMark/>
          </w:tcPr>
          <w:p w14:paraId="555B9DC3"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716" w:type="dxa"/>
            <w:tcBorders>
              <w:top w:val="nil"/>
              <w:left w:val="nil"/>
              <w:bottom w:val="single" w:sz="4" w:space="0" w:color="auto"/>
              <w:right w:val="single" w:sz="4" w:space="0" w:color="auto"/>
            </w:tcBorders>
            <w:shd w:val="clear" w:color="000000" w:fill="A9D08E"/>
            <w:hideMark/>
          </w:tcPr>
          <w:p w14:paraId="36C02712"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High</w:t>
            </w:r>
          </w:p>
        </w:tc>
        <w:tc>
          <w:tcPr>
            <w:tcW w:w="2077" w:type="dxa"/>
            <w:tcBorders>
              <w:top w:val="nil"/>
              <w:left w:val="nil"/>
              <w:bottom w:val="single" w:sz="4" w:space="0" w:color="auto"/>
              <w:right w:val="single" w:sz="4" w:space="0" w:color="auto"/>
            </w:tcBorders>
            <w:shd w:val="clear" w:color="000000" w:fill="A9D08E"/>
            <w:hideMark/>
          </w:tcPr>
          <w:p w14:paraId="04A7A03B"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2DBA9DE0"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AA54BC" w:rsidRPr="00B64CAB" w14:paraId="5B30E607" w14:textId="77777777" w:rsidTr="00900DAE">
        <w:trPr>
          <w:trHeight w:val="125"/>
          <w:jc w:val="center"/>
        </w:trPr>
        <w:tc>
          <w:tcPr>
            <w:tcW w:w="3242" w:type="dxa"/>
            <w:tcBorders>
              <w:top w:val="nil"/>
              <w:left w:val="single" w:sz="4" w:space="0" w:color="auto"/>
              <w:bottom w:val="single" w:sz="4" w:space="0" w:color="auto"/>
              <w:right w:val="single" w:sz="4" w:space="0" w:color="auto"/>
            </w:tcBorders>
            <w:shd w:val="clear" w:color="auto" w:fill="auto"/>
            <w:hideMark/>
          </w:tcPr>
          <w:p w14:paraId="2A8DC9D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Brunie 2018</w:t>
            </w:r>
          </w:p>
        </w:tc>
        <w:tc>
          <w:tcPr>
            <w:tcW w:w="1989" w:type="dxa"/>
            <w:tcBorders>
              <w:top w:val="nil"/>
              <w:left w:val="nil"/>
              <w:bottom w:val="single" w:sz="4" w:space="0" w:color="auto"/>
              <w:right w:val="single" w:sz="4" w:space="0" w:color="auto"/>
            </w:tcBorders>
            <w:shd w:val="clear" w:color="000000" w:fill="FFFF99"/>
            <w:hideMark/>
          </w:tcPr>
          <w:p w14:paraId="38CE1396" w14:textId="77777777" w:rsidR="00AA54BC" w:rsidRPr="00B64CAB" w:rsidRDefault="00AA54BC" w:rsidP="00AA54BC">
            <w:pPr>
              <w:spacing w:after="240" w:line="240" w:lineRule="auto"/>
              <w:rPr>
                <w:rFonts w:eastAsia="Times New Roman" w:cstheme="minorHAnsi"/>
                <w:color w:val="000000"/>
              </w:rPr>
            </w:pPr>
            <w:r w:rsidRPr="00B64CAB">
              <w:rPr>
                <w:rFonts w:eastAsia="Times New Roman" w:cstheme="minorHAnsi"/>
                <w:color w:val="000000"/>
              </w:rPr>
              <w:t xml:space="preserve">Moderate  </w:t>
            </w:r>
          </w:p>
        </w:tc>
        <w:tc>
          <w:tcPr>
            <w:tcW w:w="1959" w:type="dxa"/>
            <w:tcBorders>
              <w:top w:val="nil"/>
              <w:left w:val="nil"/>
              <w:bottom w:val="single" w:sz="4" w:space="0" w:color="auto"/>
              <w:right w:val="single" w:sz="4" w:space="0" w:color="auto"/>
            </w:tcBorders>
            <w:shd w:val="clear" w:color="000000" w:fill="A9D08E"/>
            <w:hideMark/>
          </w:tcPr>
          <w:p w14:paraId="54D23AE1"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2029BE54"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7C776844"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0BE7EB0C"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AA54BC" w:rsidRPr="00B64CAB" w14:paraId="516DE882"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7DF57CFF"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Callaghan-Koru 2013</w:t>
            </w:r>
          </w:p>
        </w:tc>
        <w:tc>
          <w:tcPr>
            <w:tcW w:w="1989" w:type="dxa"/>
            <w:tcBorders>
              <w:top w:val="nil"/>
              <w:left w:val="nil"/>
              <w:bottom w:val="single" w:sz="4" w:space="0" w:color="auto"/>
              <w:right w:val="single" w:sz="4" w:space="0" w:color="auto"/>
            </w:tcBorders>
            <w:shd w:val="clear" w:color="000000" w:fill="A9D08E"/>
            <w:hideMark/>
          </w:tcPr>
          <w:p w14:paraId="3B38D952"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0EF5F8B5"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0D52EA09"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40E90A2D"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47382EF3"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MODERATE</w:t>
            </w:r>
          </w:p>
        </w:tc>
      </w:tr>
      <w:tr w:rsidR="00AA54BC" w:rsidRPr="00B64CAB" w14:paraId="2BC7D4FF"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007DA0F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Chandani 2012</w:t>
            </w:r>
          </w:p>
        </w:tc>
        <w:tc>
          <w:tcPr>
            <w:tcW w:w="1989" w:type="dxa"/>
            <w:tcBorders>
              <w:top w:val="nil"/>
              <w:left w:val="nil"/>
              <w:bottom w:val="single" w:sz="4" w:space="0" w:color="auto"/>
              <w:right w:val="single" w:sz="4" w:space="0" w:color="auto"/>
            </w:tcBorders>
            <w:shd w:val="clear" w:color="000000" w:fill="A9D08E"/>
            <w:hideMark/>
          </w:tcPr>
          <w:p w14:paraId="6066EE89"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67D9EB16"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2E1CABB8"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A9D08E"/>
            <w:hideMark/>
          </w:tcPr>
          <w:p w14:paraId="1CF48DEF"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A9D08E"/>
            <w:hideMark/>
          </w:tcPr>
          <w:p w14:paraId="6CF5C65D"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HIGH</w:t>
            </w:r>
          </w:p>
        </w:tc>
      </w:tr>
      <w:tr w:rsidR="00AA54BC" w:rsidRPr="00B64CAB" w14:paraId="4983CDB9"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2C43142D"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Chandani 2013</w:t>
            </w:r>
          </w:p>
        </w:tc>
        <w:tc>
          <w:tcPr>
            <w:tcW w:w="1989" w:type="dxa"/>
            <w:tcBorders>
              <w:top w:val="nil"/>
              <w:left w:val="nil"/>
              <w:bottom w:val="single" w:sz="4" w:space="0" w:color="auto"/>
              <w:right w:val="single" w:sz="4" w:space="0" w:color="auto"/>
            </w:tcBorders>
            <w:shd w:val="clear" w:color="000000" w:fill="FFCCFF"/>
            <w:hideMark/>
          </w:tcPr>
          <w:p w14:paraId="0C8A0B1B"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Significant</w:t>
            </w:r>
          </w:p>
        </w:tc>
        <w:tc>
          <w:tcPr>
            <w:tcW w:w="1959" w:type="dxa"/>
            <w:tcBorders>
              <w:top w:val="nil"/>
              <w:left w:val="nil"/>
              <w:bottom w:val="single" w:sz="4" w:space="0" w:color="auto"/>
              <w:right w:val="single" w:sz="4" w:space="0" w:color="auto"/>
            </w:tcBorders>
            <w:shd w:val="clear" w:color="000000" w:fill="A9D08E"/>
            <w:hideMark/>
          </w:tcPr>
          <w:p w14:paraId="26D8B12C"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6211BED2"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FFCCFF"/>
            <w:hideMark/>
          </w:tcPr>
          <w:p w14:paraId="5DD27653"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Low </w:t>
            </w:r>
          </w:p>
        </w:tc>
        <w:tc>
          <w:tcPr>
            <w:tcW w:w="2337" w:type="dxa"/>
            <w:tcBorders>
              <w:top w:val="nil"/>
              <w:left w:val="nil"/>
              <w:bottom w:val="single" w:sz="4" w:space="0" w:color="auto"/>
              <w:right w:val="single" w:sz="4" w:space="0" w:color="auto"/>
            </w:tcBorders>
            <w:shd w:val="clear" w:color="000000" w:fill="FFCCFF"/>
            <w:hideMark/>
          </w:tcPr>
          <w:p w14:paraId="6E12278A"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LOW</w:t>
            </w:r>
          </w:p>
        </w:tc>
      </w:tr>
      <w:tr w:rsidR="00AA54BC" w:rsidRPr="00B64CAB" w14:paraId="2BEB086C"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6077FDF5"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Chandani (Ethiopia) 2014</w:t>
            </w:r>
          </w:p>
        </w:tc>
        <w:tc>
          <w:tcPr>
            <w:tcW w:w="1989" w:type="dxa"/>
            <w:tcBorders>
              <w:top w:val="nil"/>
              <w:left w:val="nil"/>
              <w:bottom w:val="single" w:sz="4" w:space="0" w:color="auto"/>
              <w:right w:val="single" w:sz="4" w:space="0" w:color="auto"/>
            </w:tcBorders>
            <w:shd w:val="clear" w:color="000000" w:fill="A9D08E"/>
            <w:hideMark/>
          </w:tcPr>
          <w:p w14:paraId="72391AD9"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13C7F1CB"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7893AF11"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A9D08E"/>
            <w:hideMark/>
          </w:tcPr>
          <w:p w14:paraId="54B0137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A9D08E"/>
            <w:hideMark/>
          </w:tcPr>
          <w:p w14:paraId="01E7927A"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HIGH</w:t>
            </w:r>
          </w:p>
        </w:tc>
      </w:tr>
      <w:tr w:rsidR="00AA54BC" w:rsidRPr="00B64CAB" w14:paraId="36EC10DD" w14:textId="77777777" w:rsidTr="00900DAE">
        <w:trPr>
          <w:trHeight w:val="242"/>
          <w:jc w:val="center"/>
        </w:trPr>
        <w:tc>
          <w:tcPr>
            <w:tcW w:w="3242" w:type="dxa"/>
            <w:tcBorders>
              <w:top w:val="nil"/>
              <w:left w:val="single" w:sz="4" w:space="0" w:color="auto"/>
              <w:bottom w:val="single" w:sz="4" w:space="0" w:color="auto"/>
              <w:right w:val="single" w:sz="4" w:space="0" w:color="auto"/>
            </w:tcBorders>
            <w:shd w:val="clear" w:color="auto" w:fill="auto"/>
            <w:hideMark/>
          </w:tcPr>
          <w:p w14:paraId="72AED041" w14:textId="77777777" w:rsidR="00AA54BC" w:rsidRPr="00B64CAB" w:rsidRDefault="00AA54BC" w:rsidP="00AA54BC">
            <w:pPr>
              <w:spacing w:after="240" w:line="240" w:lineRule="auto"/>
              <w:rPr>
                <w:rFonts w:eastAsia="Times New Roman" w:cstheme="minorHAnsi"/>
                <w:color w:val="000000"/>
              </w:rPr>
            </w:pPr>
            <w:r w:rsidRPr="00B64CAB">
              <w:rPr>
                <w:rFonts w:eastAsia="Times New Roman" w:cstheme="minorHAnsi"/>
                <w:color w:val="000000"/>
              </w:rPr>
              <w:t>Chipukuma 2020</w:t>
            </w:r>
          </w:p>
        </w:tc>
        <w:tc>
          <w:tcPr>
            <w:tcW w:w="1989" w:type="dxa"/>
            <w:tcBorders>
              <w:top w:val="nil"/>
              <w:left w:val="nil"/>
              <w:bottom w:val="single" w:sz="4" w:space="0" w:color="auto"/>
              <w:right w:val="single" w:sz="4" w:space="0" w:color="auto"/>
            </w:tcBorders>
            <w:shd w:val="clear" w:color="000000" w:fill="A9D08E"/>
            <w:hideMark/>
          </w:tcPr>
          <w:p w14:paraId="1C51280E"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707A6C76"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239FE0BB"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477D3522"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296C32F8"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MODERATE</w:t>
            </w:r>
          </w:p>
        </w:tc>
      </w:tr>
      <w:tr w:rsidR="00AA54BC" w:rsidRPr="00B64CAB" w14:paraId="3EEC5661"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194FADAD"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Colin 2018</w:t>
            </w:r>
          </w:p>
        </w:tc>
        <w:tc>
          <w:tcPr>
            <w:tcW w:w="1989" w:type="dxa"/>
            <w:tcBorders>
              <w:top w:val="nil"/>
              <w:left w:val="nil"/>
              <w:bottom w:val="single" w:sz="4" w:space="0" w:color="auto"/>
              <w:right w:val="single" w:sz="4" w:space="0" w:color="auto"/>
            </w:tcBorders>
            <w:shd w:val="clear" w:color="000000" w:fill="A9D08E"/>
            <w:hideMark/>
          </w:tcPr>
          <w:p w14:paraId="7D004A9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0F3A8CA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543297A4"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33F0588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268106BD"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MODERATE</w:t>
            </w:r>
          </w:p>
        </w:tc>
      </w:tr>
      <w:tr w:rsidR="00AA54BC" w:rsidRPr="00B64CAB" w14:paraId="2796501F" w14:textId="77777777" w:rsidTr="00900DAE">
        <w:trPr>
          <w:trHeight w:val="368"/>
          <w:jc w:val="center"/>
        </w:trPr>
        <w:tc>
          <w:tcPr>
            <w:tcW w:w="3242" w:type="dxa"/>
            <w:tcBorders>
              <w:top w:val="nil"/>
              <w:left w:val="single" w:sz="4" w:space="0" w:color="auto"/>
              <w:bottom w:val="single" w:sz="4" w:space="0" w:color="auto"/>
              <w:right w:val="single" w:sz="4" w:space="0" w:color="auto"/>
            </w:tcBorders>
            <w:shd w:val="clear" w:color="auto" w:fill="auto"/>
            <w:hideMark/>
          </w:tcPr>
          <w:p w14:paraId="0BBA994A" w14:textId="77777777" w:rsidR="00AA54BC" w:rsidRPr="00B64CAB" w:rsidRDefault="00AA54BC" w:rsidP="00AA54BC">
            <w:pPr>
              <w:spacing w:after="240" w:line="240" w:lineRule="auto"/>
              <w:rPr>
                <w:rFonts w:eastAsia="Times New Roman" w:cstheme="minorHAnsi"/>
                <w:color w:val="000000"/>
              </w:rPr>
            </w:pPr>
            <w:r w:rsidRPr="00B64CAB">
              <w:rPr>
                <w:rFonts w:eastAsia="Times New Roman" w:cstheme="minorHAnsi"/>
                <w:color w:val="000000"/>
              </w:rPr>
              <w:t>Cover 2014</w:t>
            </w:r>
          </w:p>
        </w:tc>
        <w:tc>
          <w:tcPr>
            <w:tcW w:w="1989" w:type="dxa"/>
            <w:tcBorders>
              <w:top w:val="nil"/>
              <w:left w:val="nil"/>
              <w:bottom w:val="single" w:sz="4" w:space="0" w:color="auto"/>
              <w:right w:val="single" w:sz="4" w:space="0" w:color="auto"/>
            </w:tcBorders>
            <w:shd w:val="clear" w:color="000000" w:fill="A9D08E"/>
            <w:hideMark/>
          </w:tcPr>
          <w:p w14:paraId="1999C4F3"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3B256BE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25A95DA7"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6D7A963F"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12E2F323"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AA54BC" w:rsidRPr="00B64CAB" w14:paraId="03D9C288"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4C8C76E6"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Doherty (Ethiopia) 2014</w:t>
            </w:r>
          </w:p>
        </w:tc>
        <w:tc>
          <w:tcPr>
            <w:tcW w:w="1989" w:type="dxa"/>
            <w:tcBorders>
              <w:top w:val="nil"/>
              <w:left w:val="nil"/>
              <w:bottom w:val="single" w:sz="4" w:space="0" w:color="auto"/>
              <w:right w:val="single" w:sz="4" w:space="0" w:color="auto"/>
            </w:tcBorders>
            <w:shd w:val="clear" w:color="000000" w:fill="A9D08E"/>
            <w:hideMark/>
          </w:tcPr>
          <w:p w14:paraId="59657F9A"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25DD259E"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2FF8DCBD"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79391D4B"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1F25AFE6"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MODERATE</w:t>
            </w:r>
          </w:p>
        </w:tc>
      </w:tr>
      <w:tr w:rsidR="00AA54BC" w:rsidRPr="00B64CAB" w14:paraId="2D6F96FB"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540882D1"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Gilroy 2012</w:t>
            </w:r>
          </w:p>
        </w:tc>
        <w:tc>
          <w:tcPr>
            <w:tcW w:w="1989" w:type="dxa"/>
            <w:tcBorders>
              <w:top w:val="nil"/>
              <w:left w:val="nil"/>
              <w:bottom w:val="single" w:sz="4" w:space="0" w:color="auto"/>
              <w:right w:val="single" w:sz="4" w:space="0" w:color="auto"/>
            </w:tcBorders>
            <w:shd w:val="clear" w:color="000000" w:fill="A9D08E"/>
            <w:hideMark/>
          </w:tcPr>
          <w:p w14:paraId="4C5EFDEC"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FFFF99"/>
            <w:hideMark/>
          </w:tcPr>
          <w:p w14:paraId="7340255E"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716" w:type="dxa"/>
            <w:tcBorders>
              <w:top w:val="nil"/>
              <w:left w:val="nil"/>
              <w:bottom w:val="single" w:sz="4" w:space="0" w:color="auto"/>
              <w:right w:val="single" w:sz="4" w:space="0" w:color="auto"/>
            </w:tcBorders>
            <w:shd w:val="clear" w:color="000000" w:fill="FFFF99"/>
            <w:hideMark/>
          </w:tcPr>
          <w:p w14:paraId="7EE670CB"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69822071"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40238344"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AA54BC" w:rsidRPr="00B64CAB" w14:paraId="27E2BE80"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2CFFD568"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HEFDC, Global F-und, UNICEF, WHO(Malawi - Kisunga) 2018</w:t>
            </w:r>
          </w:p>
        </w:tc>
        <w:tc>
          <w:tcPr>
            <w:tcW w:w="1989" w:type="dxa"/>
            <w:tcBorders>
              <w:top w:val="nil"/>
              <w:left w:val="nil"/>
              <w:bottom w:val="single" w:sz="4" w:space="0" w:color="auto"/>
              <w:right w:val="single" w:sz="4" w:space="0" w:color="auto"/>
            </w:tcBorders>
            <w:shd w:val="clear" w:color="000000" w:fill="A9D08E"/>
            <w:hideMark/>
          </w:tcPr>
          <w:p w14:paraId="4818CEBA"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7ABF7F39"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1F809CC1"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240A5315"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3B222498" w14:textId="77777777" w:rsidR="00AA54BC" w:rsidRPr="00B64CAB" w:rsidRDefault="00AA54BC" w:rsidP="00AA54BC">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900DAE" w:rsidRPr="00B64CAB" w14:paraId="3F5C3783"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tcPr>
          <w:p w14:paraId="3582085D" w14:textId="45027A1E" w:rsidR="00900DAE" w:rsidRPr="00B64CAB" w:rsidRDefault="00900DAE" w:rsidP="00900DAE">
            <w:pPr>
              <w:spacing w:after="0" w:line="240" w:lineRule="auto"/>
              <w:rPr>
                <w:rFonts w:eastAsia="Times New Roman" w:cstheme="minorHAnsi"/>
                <w:color w:val="000000"/>
              </w:rPr>
            </w:pPr>
            <w:r>
              <w:rPr>
                <w:rFonts w:eastAsia="Times New Roman" w:cstheme="minorHAnsi"/>
                <w:color w:val="000000"/>
              </w:rPr>
              <w:t>JSI 2018</w:t>
            </w:r>
          </w:p>
        </w:tc>
        <w:tc>
          <w:tcPr>
            <w:tcW w:w="1989" w:type="dxa"/>
            <w:tcBorders>
              <w:top w:val="nil"/>
              <w:left w:val="nil"/>
              <w:bottom w:val="single" w:sz="4" w:space="0" w:color="auto"/>
              <w:right w:val="single" w:sz="4" w:space="0" w:color="auto"/>
            </w:tcBorders>
            <w:shd w:val="clear" w:color="auto" w:fill="FFCCFF"/>
          </w:tcPr>
          <w:p w14:paraId="5887B3B9" w14:textId="14F4F7FE"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Significant</w:t>
            </w:r>
          </w:p>
        </w:tc>
        <w:tc>
          <w:tcPr>
            <w:tcW w:w="1959" w:type="dxa"/>
            <w:tcBorders>
              <w:top w:val="nil"/>
              <w:left w:val="nil"/>
              <w:bottom w:val="single" w:sz="4" w:space="0" w:color="auto"/>
              <w:right w:val="single" w:sz="4" w:space="0" w:color="auto"/>
            </w:tcBorders>
            <w:shd w:val="clear" w:color="000000" w:fill="A9D08E"/>
          </w:tcPr>
          <w:p w14:paraId="6906952C" w14:textId="2128D0E4" w:rsidR="00900DAE" w:rsidRPr="00B64CAB" w:rsidRDefault="00900DAE" w:rsidP="00900DAE">
            <w:pPr>
              <w:spacing w:after="0" w:line="240" w:lineRule="auto"/>
              <w:rPr>
                <w:rFonts w:eastAsia="Times New Roman" w:cstheme="minorHAnsi"/>
                <w:color w:val="000000"/>
              </w:rPr>
            </w:pPr>
            <w:r>
              <w:rPr>
                <w:rFonts w:eastAsia="Times New Roman" w:cstheme="minorHAnsi"/>
                <w:color w:val="000000"/>
              </w:rPr>
              <w:t>High</w:t>
            </w:r>
          </w:p>
        </w:tc>
        <w:tc>
          <w:tcPr>
            <w:tcW w:w="1716" w:type="dxa"/>
            <w:tcBorders>
              <w:top w:val="nil"/>
              <w:left w:val="nil"/>
              <w:bottom w:val="single" w:sz="4" w:space="0" w:color="auto"/>
              <w:right w:val="single" w:sz="4" w:space="0" w:color="auto"/>
            </w:tcBorders>
            <w:shd w:val="clear" w:color="000000" w:fill="FFFF99"/>
          </w:tcPr>
          <w:p w14:paraId="3C95B870" w14:textId="00B06DC8" w:rsidR="00900DAE" w:rsidRPr="00B64CAB" w:rsidRDefault="00900DAE" w:rsidP="00900DAE">
            <w:pPr>
              <w:spacing w:after="0" w:line="240" w:lineRule="auto"/>
              <w:rPr>
                <w:rFonts w:eastAsia="Times New Roman" w:cstheme="minorHAnsi"/>
                <w:color w:val="000000"/>
              </w:rPr>
            </w:pPr>
            <w:r>
              <w:rPr>
                <w:rFonts w:eastAsia="Times New Roman" w:cstheme="minorHAnsi"/>
                <w:color w:val="000000"/>
              </w:rPr>
              <w:t>Moderate</w:t>
            </w:r>
          </w:p>
        </w:tc>
        <w:tc>
          <w:tcPr>
            <w:tcW w:w="2077" w:type="dxa"/>
            <w:tcBorders>
              <w:top w:val="nil"/>
              <w:left w:val="nil"/>
              <w:bottom w:val="single" w:sz="4" w:space="0" w:color="auto"/>
              <w:right w:val="single" w:sz="4" w:space="0" w:color="auto"/>
            </w:tcBorders>
            <w:shd w:val="clear" w:color="auto" w:fill="A8D08D" w:themeFill="accent6" w:themeFillTint="99"/>
          </w:tcPr>
          <w:p w14:paraId="56D17967" w14:textId="40895066" w:rsidR="00900DAE" w:rsidRPr="00B64CAB" w:rsidRDefault="00900DAE" w:rsidP="00900DAE">
            <w:pPr>
              <w:spacing w:after="0" w:line="240" w:lineRule="auto"/>
              <w:rPr>
                <w:rFonts w:eastAsia="Times New Roman" w:cstheme="minorHAnsi"/>
                <w:color w:val="000000"/>
              </w:rPr>
            </w:pPr>
            <w:r>
              <w:rPr>
                <w:rFonts w:eastAsia="Times New Roman" w:cstheme="minorHAnsi"/>
                <w:color w:val="000000"/>
              </w:rPr>
              <w:t>High</w:t>
            </w:r>
          </w:p>
        </w:tc>
        <w:tc>
          <w:tcPr>
            <w:tcW w:w="2337" w:type="dxa"/>
            <w:tcBorders>
              <w:top w:val="nil"/>
              <w:left w:val="nil"/>
              <w:bottom w:val="single" w:sz="4" w:space="0" w:color="auto"/>
              <w:right w:val="single" w:sz="4" w:space="0" w:color="auto"/>
            </w:tcBorders>
            <w:shd w:val="clear" w:color="auto" w:fill="FFCCFF"/>
          </w:tcPr>
          <w:p w14:paraId="3D2B40A8" w14:textId="61805AB4" w:rsidR="00900DAE" w:rsidRPr="00B64CAB" w:rsidRDefault="00900DAE" w:rsidP="00900DAE">
            <w:pPr>
              <w:spacing w:after="0" w:line="240" w:lineRule="auto"/>
              <w:rPr>
                <w:rFonts w:eastAsia="Times New Roman" w:cstheme="minorHAnsi"/>
                <w:color w:val="000000"/>
              </w:rPr>
            </w:pPr>
            <w:r>
              <w:rPr>
                <w:rFonts w:eastAsia="Times New Roman" w:cstheme="minorHAnsi"/>
                <w:color w:val="000000"/>
              </w:rPr>
              <w:t>LOW</w:t>
            </w:r>
          </w:p>
        </w:tc>
      </w:tr>
      <w:tr w:rsidR="00900DAE" w:rsidRPr="00B64CAB" w14:paraId="0D536563"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40B301D4"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Kavle 2017</w:t>
            </w:r>
          </w:p>
        </w:tc>
        <w:tc>
          <w:tcPr>
            <w:tcW w:w="1989" w:type="dxa"/>
            <w:tcBorders>
              <w:top w:val="nil"/>
              <w:left w:val="nil"/>
              <w:bottom w:val="single" w:sz="4" w:space="0" w:color="auto"/>
              <w:right w:val="single" w:sz="4" w:space="0" w:color="auto"/>
            </w:tcBorders>
            <w:shd w:val="clear" w:color="000000" w:fill="A9D08E"/>
            <w:hideMark/>
          </w:tcPr>
          <w:p w14:paraId="49FAF671"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3BCD2970"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48BB861A"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FFFF99"/>
            <w:hideMark/>
          </w:tcPr>
          <w:p w14:paraId="5D147A2C"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337" w:type="dxa"/>
            <w:tcBorders>
              <w:top w:val="nil"/>
              <w:left w:val="nil"/>
              <w:bottom w:val="single" w:sz="4" w:space="0" w:color="auto"/>
              <w:right w:val="single" w:sz="4" w:space="0" w:color="auto"/>
            </w:tcBorders>
            <w:shd w:val="clear" w:color="000000" w:fill="FFFF99"/>
            <w:hideMark/>
          </w:tcPr>
          <w:p w14:paraId="759FC4F2"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MODERATE</w:t>
            </w:r>
          </w:p>
        </w:tc>
      </w:tr>
      <w:tr w:rsidR="00900DAE" w:rsidRPr="00B64CAB" w14:paraId="2B950A55"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536548FA"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Kiwanuka 2017</w:t>
            </w:r>
          </w:p>
        </w:tc>
        <w:tc>
          <w:tcPr>
            <w:tcW w:w="1989" w:type="dxa"/>
            <w:tcBorders>
              <w:top w:val="nil"/>
              <w:left w:val="nil"/>
              <w:bottom w:val="single" w:sz="4" w:space="0" w:color="auto"/>
              <w:right w:val="single" w:sz="4" w:space="0" w:color="auto"/>
            </w:tcBorders>
            <w:shd w:val="clear" w:color="000000" w:fill="A9D08E"/>
            <w:hideMark/>
          </w:tcPr>
          <w:p w14:paraId="6D201B62"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03C76F39"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1502917C"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1E94093B"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3032E557"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900DAE" w:rsidRPr="00B64CAB" w14:paraId="375278C8"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0FBA1C8C"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lastRenderedPageBreak/>
              <w:t>Kok  2020</w:t>
            </w:r>
          </w:p>
        </w:tc>
        <w:tc>
          <w:tcPr>
            <w:tcW w:w="1989" w:type="dxa"/>
            <w:tcBorders>
              <w:top w:val="nil"/>
              <w:left w:val="nil"/>
              <w:bottom w:val="single" w:sz="4" w:space="0" w:color="auto"/>
              <w:right w:val="single" w:sz="4" w:space="0" w:color="auto"/>
            </w:tcBorders>
            <w:shd w:val="clear" w:color="000000" w:fill="A9D08E"/>
            <w:hideMark/>
          </w:tcPr>
          <w:p w14:paraId="1CC76675"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28B24B08"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5AF5320B"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A9D08E"/>
            <w:hideMark/>
          </w:tcPr>
          <w:p w14:paraId="0B8DBC6C"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A9D08E"/>
            <w:hideMark/>
          </w:tcPr>
          <w:p w14:paraId="57822857" w14:textId="77777777" w:rsidR="00900DAE" w:rsidRPr="00B64CAB" w:rsidRDefault="00900DAE" w:rsidP="00900DAE">
            <w:pPr>
              <w:spacing w:after="0" w:line="240" w:lineRule="auto"/>
              <w:rPr>
                <w:rFonts w:eastAsia="Times New Roman" w:cstheme="minorHAnsi"/>
                <w:color w:val="000000"/>
              </w:rPr>
            </w:pPr>
            <w:r w:rsidRPr="00B64CAB">
              <w:rPr>
                <w:rFonts w:eastAsia="Times New Roman" w:cstheme="minorHAnsi"/>
                <w:color w:val="000000"/>
              </w:rPr>
              <w:t>HIGH</w:t>
            </w:r>
          </w:p>
        </w:tc>
      </w:tr>
      <w:tr w:rsidR="003462B8" w:rsidRPr="00B64CAB" w14:paraId="5BEBA994" w14:textId="77777777" w:rsidTr="003462B8">
        <w:trPr>
          <w:trHeight w:val="20"/>
          <w:jc w:val="center"/>
        </w:trPr>
        <w:tc>
          <w:tcPr>
            <w:tcW w:w="3242" w:type="dxa"/>
            <w:tcBorders>
              <w:top w:val="nil"/>
              <w:left w:val="single" w:sz="4" w:space="0" w:color="auto"/>
              <w:bottom w:val="single" w:sz="4" w:space="0" w:color="auto"/>
              <w:right w:val="single" w:sz="4" w:space="0" w:color="auto"/>
            </w:tcBorders>
            <w:shd w:val="clear" w:color="auto" w:fill="auto"/>
          </w:tcPr>
          <w:p w14:paraId="370A4F26" w14:textId="6838EB6D"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Leon 2020</w:t>
            </w:r>
          </w:p>
        </w:tc>
        <w:tc>
          <w:tcPr>
            <w:tcW w:w="1989" w:type="dxa"/>
            <w:tcBorders>
              <w:top w:val="nil"/>
              <w:left w:val="nil"/>
              <w:bottom w:val="single" w:sz="4" w:space="0" w:color="auto"/>
              <w:right w:val="single" w:sz="4" w:space="0" w:color="auto"/>
            </w:tcBorders>
            <w:shd w:val="clear" w:color="000000" w:fill="A9D08E"/>
          </w:tcPr>
          <w:p w14:paraId="218B3CFF" w14:textId="39E0E2EA"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Insignificant</w:t>
            </w:r>
          </w:p>
        </w:tc>
        <w:tc>
          <w:tcPr>
            <w:tcW w:w="1959" w:type="dxa"/>
            <w:tcBorders>
              <w:top w:val="nil"/>
              <w:left w:val="nil"/>
              <w:bottom w:val="single" w:sz="4" w:space="0" w:color="auto"/>
              <w:right w:val="single" w:sz="4" w:space="0" w:color="auto"/>
            </w:tcBorders>
            <w:shd w:val="clear" w:color="000000" w:fill="A9D08E"/>
          </w:tcPr>
          <w:p w14:paraId="75AFD475" w14:textId="1E79B5BD"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High</w:t>
            </w:r>
          </w:p>
        </w:tc>
        <w:tc>
          <w:tcPr>
            <w:tcW w:w="1716" w:type="dxa"/>
            <w:tcBorders>
              <w:top w:val="nil"/>
              <w:left w:val="nil"/>
              <w:bottom w:val="single" w:sz="4" w:space="0" w:color="auto"/>
              <w:right w:val="single" w:sz="4" w:space="0" w:color="auto"/>
            </w:tcBorders>
            <w:shd w:val="clear" w:color="auto" w:fill="FFFF99"/>
          </w:tcPr>
          <w:p w14:paraId="757673D4" w14:textId="6A666B94"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tcPr>
          <w:p w14:paraId="5C46786F" w14:textId="4D48E996"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High</w:t>
            </w:r>
          </w:p>
        </w:tc>
        <w:tc>
          <w:tcPr>
            <w:tcW w:w="2337" w:type="dxa"/>
            <w:tcBorders>
              <w:top w:val="nil"/>
              <w:left w:val="nil"/>
              <w:bottom w:val="single" w:sz="4" w:space="0" w:color="auto"/>
              <w:right w:val="single" w:sz="4" w:space="0" w:color="auto"/>
            </w:tcBorders>
            <w:shd w:val="clear" w:color="auto" w:fill="FFFF99"/>
          </w:tcPr>
          <w:p w14:paraId="1687343C" w14:textId="7B26A1F7"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MODERATE</w:t>
            </w:r>
          </w:p>
        </w:tc>
      </w:tr>
      <w:tr w:rsidR="003462B8" w:rsidRPr="00B64CAB" w14:paraId="0D3DDB50"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71F06F1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Lufesi 2007</w:t>
            </w:r>
          </w:p>
        </w:tc>
        <w:tc>
          <w:tcPr>
            <w:tcW w:w="1989" w:type="dxa"/>
            <w:tcBorders>
              <w:top w:val="nil"/>
              <w:left w:val="nil"/>
              <w:bottom w:val="single" w:sz="4" w:space="0" w:color="auto"/>
              <w:right w:val="single" w:sz="4" w:space="0" w:color="auto"/>
            </w:tcBorders>
            <w:shd w:val="clear" w:color="000000" w:fill="A9D08E"/>
            <w:hideMark/>
          </w:tcPr>
          <w:p w14:paraId="00C0290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66F18451"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5A6E14C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A9D08E"/>
            <w:hideMark/>
          </w:tcPr>
          <w:p w14:paraId="4C201D8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A9D08E"/>
            <w:hideMark/>
          </w:tcPr>
          <w:p w14:paraId="071A0BA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HIGH</w:t>
            </w:r>
          </w:p>
        </w:tc>
      </w:tr>
      <w:tr w:rsidR="003462B8" w:rsidRPr="00B64CAB" w14:paraId="7FB8B766"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380AEC8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Miller 2020</w:t>
            </w:r>
          </w:p>
        </w:tc>
        <w:tc>
          <w:tcPr>
            <w:tcW w:w="1989" w:type="dxa"/>
            <w:tcBorders>
              <w:top w:val="nil"/>
              <w:left w:val="nil"/>
              <w:bottom w:val="single" w:sz="4" w:space="0" w:color="auto"/>
              <w:right w:val="single" w:sz="4" w:space="0" w:color="auto"/>
            </w:tcBorders>
            <w:shd w:val="clear" w:color="000000" w:fill="A9D08E"/>
            <w:hideMark/>
          </w:tcPr>
          <w:p w14:paraId="06F6DD6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47976F3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179335F4"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05898D5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0900D359"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3DD66008"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6C60BB7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Moti 2019</w:t>
            </w:r>
          </w:p>
        </w:tc>
        <w:tc>
          <w:tcPr>
            <w:tcW w:w="1989" w:type="dxa"/>
            <w:tcBorders>
              <w:top w:val="nil"/>
              <w:left w:val="nil"/>
              <w:bottom w:val="single" w:sz="4" w:space="0" w:color="auto"/>
              <w:right w:val="single" w:sz="4" w:space="0" w:color="auto"/>
            </w:tcBorders>
            <w:shd w:val="clear" w:color="000000" w:fill="A9D08E"/>
            <w:hideMark/>
          </w:tcPr>
          <w:p w14:paraId="2FC8B94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4279ACD1"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50E7B2B4"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63BF88F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45F75DC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2333165F"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642EF59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Mukasa 2017</w:t>
            </w:r>
          </w:p>
        </w:tc>
        <w:tc>
          <w:tcPr>
            <w:tcW w:w="1989" w:type="dxa"/>
            <w:tcBorders>
              <w:top w:val="nil"/>
              <w:left w:val="nil"/>
              <w:bottom w:val="single" w:sz="4" w:space="0" w:color="auto"/>
              <w:right w:val="single" w:sz="4" w:space="0" w:color="auto"/>
            </w:tcBorders>
            <w:shd w:val="clear" w:color="000000" w:fill="A9D08E"/>
            <w:hideMark/>
          </w:tcPr>
          <w:p w14:paraId="556B40F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0EA70B5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396A950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A9D08E"/>
            <w:hideMark/>
          </w:tcPr>
          <w:p w14:paraId="48E4A6A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A9D08E"/>
            <w:hideMark/>
          </w:tcPr>
          <w:p w14:paraId="06DB395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HIGH</w:t>
            </w:r>
          </w:p>
        </w:tc>
      </w:tr>
      <w:tr w:rsidR="003462B8" w:rsidRPr="00B64CAB" w14:paraId="7A2FC611"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79EDFF9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Munos 2016</w:t>
            </w:r>
          </w:p>
        </w:tc>
        <w:tc>
          <w:tcPr>
            <w:tcW w:w="1989" w:type="dxa"/>
            <w:tcBorders>
              <w:top w:val="nil"/>
              <w:left w:val="nil"/>
              <w:bottom w:val="single" w:sz="4" w:space="0" w:color="auto"/>
              <w:right w:val="single" w:sz="4" w:space="0" w:color="auto"/>
            </w:tcBorders>
            <w:shd w:val="clear" w:color="000000" w:fill="A9D08E"/>
            <w:hideMark/>
          </w:tcPr>
          <w:p w14:paraId="75BE65E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2458091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606082D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7188CF71"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288B119F"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3BFD8AE0" w14:textId="77777777" w:rsidTr="003462B8">
        <w:trPr>
          <w:trHeight w:val="440"/>
          <w:jc w:val="center"/>
        </w:trPr>
        <w:tc>
          <w:tcPr>
            <w:tcW w:w="3242" w:type="dxa"/>
            <w:tcBorders>
              <w:top w:val="nil"/>
              <w:left w:val="single" w:sz="4" w:space="0" w:color="auto"/>
              <w:bottom w:val="single" w:sz="4" w:space="0" w:color="auto"/>
              <w:right w:val="single" w:sz="4" w:space="0" w:color="auto"/>
            </w:tcBorders>
            <w:shd w:val="clear" w:color="auto" w:fill="auto"/>
            <w:hideMark/>
          </w:tcPr>
          <w:p w14:paraId="15CE7B0E"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Naanyu 2020</w:t>
            </w:r>
          </w:p>
        </w:tc>
        <w:tc>
          <w:tcPr>
            <w:tcW w:w="1989" w:type="dxa"/>
            <w:tcBorders>
              <w:top w:val="nil"/>
              <w:left w:val="nil"/>
              <w:bottom w:val="single" w:sz="4" w:space="0" w:color="auto"/>
              <w:right w:val="single" w:sz="4" w:space="0" w:color="auto"/>
            </w:tcBorders>
            <w:shd w:val="clear" w:color="000000" w:fill="A9D08E"/>
            <w:hideMark/>
          </w:tcPr>
          <w:p w14:paraId="7924F90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1A733952"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516AD149"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09EBB6D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32D1F70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3D966487"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08C57EF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Nabugoomu 2020</w:t>
            </w:r>
          </w:p>
        </w:tc>
        <w:tc>
          <w:tcPr>
            <w:tcW w:w="1989" w:type="dxa"/>
            <w:tcBorders>
              <w:top w:val="nil"/>
              <w:left w:val="nil"/>
              <w:bottom w:val="single" w:sz="4" w:space="0" w:color="auto"/>
              <w:right w:val="single" w:sz="4" w:space="0" w:color="auto"/>
            </w:tcBorders>
            <w:shd w:val="clear" w:color="000000" w:fill="A9D08E"/>
            <w:hideMark/>
          </w:tcPr>
          <w:p w14:paraId="28F870D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5E0D6F2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446DE17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46706CB3"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6206E54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02958255"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4D9B6E6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Namazzi  2015</w:t>
            </w:r>
          </w:p>
        </w:tc>
        <w:tc>
          <w:tcPr>
            <w:tcW w:w="1989" w:type="dxa"/>
            <w:tcBorders>
              <w:top w:val="nil"/>
              <w:left w:val="nil"/>
              <w:bottom w:val="single" w:sz="4" w:space="0" w:color="auto"/>
              <w:right w:val="single" w:sz="4" w:space="0" w:color="auto"/>
            </w:tcBorders>
            <w:shd w:val="clear" w:color="000000" w:fill="A9D08E"/>
            <w:hideMark/>
          </w:tcPr>
          <w:p w14:paraId="0C415C3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427C070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2B261E83"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706D5D4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2EA171BF"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4742ADB1"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3CB5B77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Nancy 2012</w:t>
            </w:r>
          </w:p>
        </w:tc>
        <w:tc>
          <w:tcPr>
            <w:tcW w:w="1989" w:type="dxa"/>
            <w:tcBorders>
              <w:top w:val="nil"/>
              <w:left w:val="nil"/>
              <w:bottom w:val="single" w:sz="4" w:space="0" w:color="auto"/>
              <w:right w:val="single" w:sz="4" w:space="0" w:color="auto"/>
            </w:tcBorders>
            <w:shd w:val="clear" w:color="000000" w:fill="A9D08E"/>
            <w:hideMark/>
          </w:tcPr>
          <w:p w14:paraId="6243F731"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646EF32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0F73360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51EB6A2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4F533C71"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4BEBE6E5"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640E35B1"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Ndou 2013</w:t>
            </w:r>
          </w:p>
        </w:tc>
        <w:tc>
          <w:tcPr>
            <w:tcW w:w="1989" w:type="dxa"/>
            <w:tcBorders>
              <w:top w:val="nil"/>
              <w:left w:val="nil"/>
              <w:bottom w:val="single" w:sz="4" w:space="0" w:color="auto"/>
              <w:right w:val="single" w:sz="4" w:space="0" w:color="auto"/>
            </w:tcBorders>
            <w:shd w:val="clear" w:color="000000" w:fill="A9D08E"/>
            <w:hideMark/>
          </w:tcPr>
          <w:p w14:paraId="6A63F72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180E0FF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6E87BE1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A9D08E"/>
            <w:hideMark/>
          </w:tcPr>
          <w:p w14:paraId="689545A2"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A9D08E"/>
            <w:hideMark/>
          </w:tcPr>
          <w:p w14:paraId="419D55A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HIGH</w:t>
            </w:r>
          </w:p>
        </w:tc>
      </w:tr>
      <w:tr w:rsidR="003462B8" w:rsidRPr="00B64CAB" w14:paraId="19DB144D"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3405C95E" w14:textId="107C28E8" w:rsidR="003462B8" w:rsidRPr="00B64CAB" w:rsidRDefault="00FD0E56" w:rsidP="003462B8">
            <w:pPr>
              <w:spacing w:after="0" w:line="240" w:lineRule="auto"/>
              <w:rPr>
                <w:rFonts w:eastAsia="Times New Roman" w:cstheme="minorHAnsi"/>
                <w:color w:val="000000"/>
              </w:rPr>
            </w:pPr>
            <w:r>
              <w:rPr>
                <w:rFonts w:eastAsia="Times New Roman" w:cstheme="minorHAnsi"/>
                <w:color w:val="000000"/>
              </w:rPr>
              <w:t>Opwora 2011</w:t>
            </w:r>
          </w:p>
        </w:tc>
        <w:tc>
          <w:tcPr>
            <w:tcW w:w="1989" w:type="dxa"/>
            <w:tcBorders>
              <w:top w:val="nil"/>
              <w:left w:val="nil"/>
              <w:bottom w:val="single" w:sz="4" w:space="0" w:color="auto"/>
              <w:right w:val="single" w:sz="4" w:space="0" w:color="auto"/>
            </w:tcBorders>
            <w:shd w:val="clear" w:color="000000" w:fill="A9D08E"/>
            <w:hideMark/>
          </w:tcPr>
          <w:p w14:paraId="04DBE853"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FFFF99"/>
            <w:hideMark/>
          </w:tcPr>
          <w:p w14:paraId="036C64F7"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716" w:type="dxa"/>
            <w:tcBorders>
              <w:top w:val="nil"/>
              <w:left w:val="nil"/>
              <w:bottom w:val="single" w:sz="4" w:space="0" w:color="auto"/>
              <w:right w:val="single" w:sz="4" w:space="0" w:color="auto"/>
            </w:tcBorders>
            <w:shd w:val="clear" w:color="000000" w:fill="FFFF99"/>
            <w:hideMark/>
          </w:tcPr>
          <w:p w14:paraId="7069FCA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2D0F1B04"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378C3BB3"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MODERATE</w:t>
            </w:r>
          </w:p>
        </w:tc>
      </w:tr>
      <w:tr w:rsidR="003462B8" w:rsidRPr="00B64CAB" w14:paraId="095749A2"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04A69263"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Paintain 2014</w:t>
            </w:r>
          </w:p>
        </w:tc>
        <w:tc>
          <w:tcPr>
            <w:tcW w:w="1989" w:type="dxa"/>
            <w:tcBorders>
              <w:top w:val="nil"/>
              <w:left w:val="nil"/>
              <w:bottom w:val="single" w:sz="4" w:space="0" w:color="auto"/>
              <w:right w:val="single" w:sz="4" w:space="0" w:color="auto"/>
            </w:tcBorders>
            <w:shd w:val="clear" w:color="000000" w:fill="A9D08E"/>
            <w:hideMark/>
          </w:tcPr>
          <w:p w14:paraId="1818927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01B768A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743763F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FFFF99"/>
            <w:hideMark/>
          </w:tcPr>
          <w:p w14:paraId="0C03515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337" w:type="dxa"/>
            <w:tcBorders>
              <w:top w:val="nil"/>
              <w:left w:val="nil"/>
              <w:bottom w:val="single" w:sz="4" w:space="0" w:color="auto"/>
              <w:right w:val="single" w:sz="4" w:space="0" w:color="auto"/>
            </w:tcBorders>
            <w:shd w:val="clear" w:color="000000" w:fill="FFFF99"/>
            <w:hideMark/>
          </w:tcPr>
          <w:p w14:paraId="7653D67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4E96D608" w14:textId="77777777" w:rsidTr="003462B8">
        <w:trPr>
          <w:trHeight w:val="350"/>
          <w:jc w:val="center"/>
        </w:trPr>
        <w:tc>
          <w:tcPr>
            <w:tcW w:w="3242" w:type="dxa"/>
            <w:tcBorders>
              <w:top w:val="nil"/>
              <w:left w:val="single" w:sz="4" w:space="0" w:color="auto"/>
              <w:bottom w:val="single" w:sz="4" w:space="0" w:color="auto"/>
              <w:right w:val="single" w:sz="4" w:space="0" w:color="auto"/>
            </w:tcBorders>
            <w:shd w:val="clear" w:color="auto" w:fill="auto"/>
            <w:hideMark/>
          </w:tcPr>
          <w:p w14:paraId="74B07A87" w14:textId="34367CD2"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Panda 2015</w:t>
            </w:r>
          </w:p>
        </w:tc>
        <w:tc>
          <w:tcPr>
            <w:tcW w:w="1989" w:type="dxa"/>
            <w:tcBorders>
              <w:top w:val="nil"/>
              <w:left w:val="nil"/>
              <w:bottom w:val="single" w:sz="4" w:space="0" w:color="auto"/>
              <w:right w:val="single" w:sz="4" w:space="0" w:color="auto"/>
            </w:tcBorders>
            <w:shd w:val="clear" w:color="000000" w:fill="A9D08E"/>
            <w:hideMark/>
          </w:tcPr>
          <w:p w14:paraId="547B10F9"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10470B02"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107E0A72"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4E636C2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57395C4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5DEFE159"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0B9DC581"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Phiri 2017</w:t>
            </w:r>
          </w:p>
        </w:tc>
        <w:tc>
          <w:tcPr>
            <w:tcW w:w="1989" w:type="dxa"/>
            <w:tcBorders>
              <w:top w:val="nil"/>
              <w:left w:val="nil"/>
              <w:bottom w:val="single" w:sz="4" w:space="0" w:color="auto"/>
              <w:right w:val="single" w:sz="4" w:space="0" w:color="auto"/>
            </w:tcBorders>
            <w:shd w:val="clear" w:color="000000" w:fill="A9D08E"/>
            <w:hideMark/>
          </w:tcPr>
          <w:p w14:paraId="4BA7CB7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7F367B22"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681EC9C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0030A07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648859F4"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B6B83" w:rsidRPr="00B64CAB" w14:paraId="4C0EA565"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000000" w:fill="FFFFFF"/>
          </w:tcPr>
          <w:p w14:paraId="0E99F4B4" w14:textId="50BABB47" w:rsidR="003B6B83" w:rsidRPr="00B64CAB" w:rsidRDefault="003B6B83" w:rsidP="003462B8">
            <w:pPr>
              <w:spacing w:after="0" w:line="240" w:lineRule="auto"/>
              <w:rPr>
                <w:rFonts w:eastAsia="Times New Roman" w:cstheme="minorHAnsi"/>
                <w:color w:val="000000"/>
              </w:rPr>
            </w:pPr>
            <w:r>
              <w:rPr>
                <w:rFonts w:eastAsia="Times New Roman" w:cstheme="minorHAnsi"/>
                <w:color w:val="000000"/>
              </w:rPr>
              <w:t>Printz 2015</w:t>
            </w:r>
          </w:p>
        </w:tc>
        <w:tc>
          <w:tcPr>
            <w:tcW w:w="1989" w:type="dxa"/>
            <w:tcBorders>
              <w:top w:val="nil"/>
              <w:left w:val="nil"/>
              <w:bottom w:val="single" w:sz="4" w:space="0" w:color="auto"/>
              <w:right w:val="single" w:sz="4" w:space="0" w:color="auto"/>
            </w:tcBorders>
            <w:shd w:val="clear" w:color="000000" w:fill="FFFF99"/>
          </w:tcPr>
          <w:p w14:paraId="434D6698" w14:textId="64039E89" w:rsidR="003B6B83" w:rsidRPr="00B64CAB" w:rsidRDefault="003B6B83" w:rsidP="003462B8">
            <w:pPr>
              <w:spacing w:after="0" w:line="240" w:lineRule="auto"/>
              <w:rPr>
                <w:rFonts w:eastAsia="Times New Roman" w:cstheme="minorHAnsi"/>
                <w:color w:val="000000"/>
              </w:rPr>
            </w:pPr>
            <w:r>
              <w:rPr>
                <w:rFonts w:eastAsia="Times New Roman" w:cstheme="minorHAnsi"/>
                <w:color w:val="000000"/>
              </w:rPr>
              <w:t>Moderate</w:t>
            </w:r>
          </w:p>
        </w:tc>
        <w:tc>
          <w:tcPr>
            <w:tcW w:w="1959" w:type="dxa"/>
            <w:tcBorders>
              <w:top w:val="nil"/>
              <w:left w:val="nil"/>
              <w:bottom w:val="single" w:sz="4" w:space="0" w:color="auto"/>
              <w:right w:val="single" w:sz="4" w:space="0" w:color="auto"/>
            </w:tcBorders>
            <w:shd w:val="clear" w:color="000000" w:fill="A9D08E"/>
          </w:tcPr>
          <w:p w14:paraId="0B65C0D2" w14:textId="4AFC83E6" w:rsidR="003B6B83" w:rsidRPr="00B64CAB" w:rsidRDefault="003B6B83" w:rsidP="003462B8">
            <w:pPr>
              <w:spacing w:after="0" w:line="240" w:lineRule="auto"/>
              <w:rPr>
                <w:rFonts w:eastAsia="Times New Roman" w:cstheme="minorHAnsi"/>
                <w:color w:val="000000"/>
              </w:rPr>
            </w:pPr>
            <w:r>
              <w:rPr>
                <w:rFonts w:eastAsia="Times New Roman" w:cstheme="minorHAnsi"/>
                <w:color w:val="000000"/>
              </w:rPr>
              <w:t>High</w:t>
            </w:r>
          </w:p>
        </w:tc>
        <w:tc>
          <w:tcPr>
            <w:tcW w:w="1716" w:type="dxa"/>
            <w:tcBorders>
              <w:top w:val="nil"/>
              <w:left w:val="nil"/>
              <w:bottom w:val="single" w:sz="4" w:space="0" w:color="auto"/>
              <w:right w:val="single" w:sz="4" w:space="0" w:color="auto"/>
            </w:tcBorders>
            <w:shd w:val="clear" w:color="000000" w:fill="FFFF99"/>
          </w:tcPr>
          <w:p w14:paraId="59A2E578" w14:textId="53F5563A" w:rsidR="003B6B83" w:rsidRPr="00B64CAB" w:rsidRDefault="003B6B83" w:rsidP="003462B8">
            <w:pPr>
              <w:spacing w:after="0" w:line="240" w:lineRule="auto"/>
              <w:rPr>
                <w:rFonts w:eastAsia="Times New Roman" w:cstheme="minorHAnsi"/>
                <w:color w:val="000000"/>
              </w:rPr>
            </w:pPr>
            <w:r>
              <w:rPr>
                <w:rFonts w:eastAsia="Times New Roman" w:cstheme="minorHAnsi"/>
                <w:color w:val="000000"/>
              </w:rPr>
              <w:t>Moderate</w:t>
            </w:r>
          </w:p>
        </w:tc>
        <w:tc>
          <w:tcPr>
            <w:tcW w:w="2077" w:type="dxa"/>
            <w:tcBorders>
              <w:top w:val="nil"/>
              <w:left w:val="nil"/>
              <w:bottom w:val="single" w:sz="4" w:space="0" w:color="auto"/>
              <w:right w:val="single" w:sz="4" w:space="0" w:color="auto"/>
            </w:tcBorders>
            <w:shd w:val="clear" w:color="000000" w:fill="A9D08E"/>
          </w:tcPr>
          <w:p w14:paraId="594A1ABD" w14:textId="5420C5A0" w:rsidR="003B6B83" w:rsidRPr="00B64CAB" w:rsidRDefault="003B6B83" w:rsidP="003462B8">
            <w:pPr>
              <w:spacing w:after="0" w:line="240" w:lineRule="auto"/>
              <w:rPr>
                <w:rFonts w:eastAsia="Times New Roman" w:cstheme="minorHAnsi"/>
                <w:color w:val="000000"/>
              </w:rPr>
            </w:pPr>
            <w:r>
              <w:rPr>
                <w:rFonts w:eastAsia="Times New Roman" w:cstheme="minorHAnsi"/>
                <w:color w:val="000000"/>
              </w:rPr>
              <w:t>High</w:t>
            </w:r>
          </w:p>
        </w:tc>
        <w:tc>
          <w:tcPr>
            <w:tcW w:w="2337" w:type="dxa"/>
            <w:tcBorders>
              <w:top w:val="nil"/>
              <w:left w:val="nil"/>
              <w:bottom w:val="single" w:sz="4" w:space="0" w:color="auto"/>
              <w:right w:val="single" w:sz="4" w:space="0" w:color="auto"/>
            </w:tcBorders>
            <w:shd w:val="clear" w:color="000000" w:fill="FFFF99"/>
          </w:tcPr>
          <w:p w14:paraId="0AF09EF4" w14:textId="544F8921" w:rsidR="003B6B83" w:rsidRPr="00B64CAB" w:rsidRDefault="003B6B83" w:rsidP="003462B8">
            <w:pPr>
              <w:spacing w:after="0" w:line="240" w:lineRule="auto"/>
              <w:rPr>
                <w:rFonts w:eastAsia="Times New Roman" w:cstheme="minorHAnsi"/>
                <w:color w:val="000000"/>
              </w:rPr>
            </w:pPr>
            <w:r>
              <w:rPr>
                <w:rFonts w:eastAsia="Times New Roman" w:cstheme="minorHAnsi"/>
                <w:color w:val="000000"/>
              </w:rPr>
              <w:t>MODERATE</w:t>
            </w:r>
          </w:p>
        </w:tc>
      </w:tr>
      <w:tr w:rsidR="003462B8" w:rsidRPr="00B64CAB" w14:paraId="11EC66A3"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000000" w:fill="FFFFFF"/>
            <w:hideMark/>
          </w:tcPr>
          <w:p w14:paraId="56A4F749"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Pronyk 2016</w:t>
            </w:r>
          </w:p>
        </w:tc>
        <w:tc>
          <w:tcPr>
            <w:tcW w:w="1989" w:type="dxa"/>
            <w:tcBorders>
              <w:top w:val="nil"/>
              <w:left w:val="nil"/>
              <w:bottom w:val="single" w:sz="4" w:space="0" w:color="auto"/>
              <w:right w:val="single" w:sz="4" w:space="0" w:color="auto"/>
            </w:tcBorders>
            <w:shd w:val="clear" w:color="000000" w:fill="FFFF99"/>
            <w:hideMark/>
          </w:tcPr>
          <w:p w14:paraId="176217A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959" w:type="dxa"/>
            <w:tcBorders>
              <w:top w:val="nil"/>
              <w:left w:val="nil"/>
              <w:bottom w:val="single" w:sz="4" w:space="0" w:color="auto"/>
              <w:right w:val="single" w:sz="4" w:space="0" w:color="auto"/>
            </w:tcBorders>
            <w:shd w:val="clear" w:color="000000" w:fill="A9D08E"/>
            <w:hideMark/>
          </w:tcPr>
          <w:p w14:paraId="293288D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12B8367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400D1F1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526F466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3C05D678" w14:textId="77777777" w:rsidTr="003B6B83">
        <w:trPr>
          <w:trHeight w:val="332"/>
          <w:jc w:val="center"/>
        </w:trPr>
        <w:tc>
          <w:tcPr>
            <w:tcW w:w="3242" w:type="dxa"/>
            <w:tcBorders>
              <w:top w:val="nil"/>
              <w:left w:val="single" w:sz="4" w:space="0" w:color="auto"/>
              <w:bottom w:val="single" w:sz="4" w:space="0" w:color="auto"/>
              <w:right w:val="single" w:sz="4" w:space="0" w:color="auto"/>
            </w:tcBorders>
            <w:shd w:val="clear" w:color="auto" w:fill="auto"/>
            <w:hideMark/>
          </w:tcPr>
          <w:p w14:paraId="352A3BCE"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Rao 2013</w:t>
            </w:r>
          </w:p>
        </w:tc>
        <w:tc>
          <w:tcPr>
            <w:tcW w:w="1989" w:type="dxa"/>
            <w:tcBorders>
              <w:top w:val="nil"/>
              <w:left w:val="nil"/>
              <w:bottom w:val="single" w:sz="4" w:space="0" w:color="auto"/>
              <w:right w:val="single" w:sz="4" w:space="0" w:color="auto"/>
            </w:tcBorders>
            <w:shd w:val="clear" w:color="000000" w:fill="FFCCFF"/>
            <w:hideMark/>
          </w:tcPr>
          <w:p w14:paraId="659D45B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Significant</w:t>
            </w:r>
          </w:p>
        </w:tc>
        <w:tc>
          <w:tcPr>
            <w:tcW w:w="1959" w:type="dxa"/>
            <w:tcBorders>
              <w:top w:val="nil"/>
              <w:left w:val="nil"/>
              <w:bottom w:val="single" w:sz="4" w:space="0" w:color="auto"/>
              <w:right w:val="single" w:sz="4" w:space="0" w:color="auto"/>
            </w:tcBorders>
            <w:shd w:val="clear" w:color="000000" w:fill="A9D08E"/>
            <w:hideMark/>
          </w:tcPr>
          <w:p w14:paraId="5D88408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4F20DDC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FFFF99"/>
            <w:hideMark/>
          </w:tcPr>
          <w:p w14:paraId="3AE8E77F"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337" w:type="dxa"/>
            <w:tcBorders>
              <w:top w:val="nil"/>
              <w:left w:val="nil"/>
              <w:bottom w:val="single" w:sz="4" w:space="0" w:color="auto"/>
              <w:right w:val="single" w:sz="4" w:space="0" w:color="auto"/>
            </w:tcBorders>
            <w:shd w:val="clear" w:color="000000" w:fill="FFCCFF"/>
            <w:hideMark/>
          </w:tcPr>
          <w:p w14:paraId="1405C29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LOW</w:t>
            </w:r>
          </w:p>
        </w:tc>
      </w:tr>
      <w:tr w:rsidR="003462B8" w:rsidRPr="00B64CAB" w14:paraId="228DD4AB"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4701905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Rawal 2020</w:t>
            </w:r>
          </w:p>
        </w:tc>
        <w:tc>
          <w:tcPr>
            <w:tcW w:w="1989" w:type="dxa"/>
            <w:tcBorders>
              <w:top w:val="nil"/>
              <w:left w:val="nil"/>
              <w:bottom w:val="single" w:sz="4" w:space="0" w:color="auto"/>
              <w:right w:val="single" w:sz="4" w:space="0" w:color="auto"/>
            </w:tcBorders>
            <w:shd w:val="clear" w:color="000000" w:fill="A9D08E"/>
            <w:hideMark/>
          </w:tcPr>
          <w:p w14:paraId="41744C82"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25A7FC7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388CD731"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0E283F9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391CD7C1"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MODERATE</w:t>
            </w:r>
          </w:p>
        </w:tc>
      </w:tr>
      <w:tr w:rsidR="003462B8" w:rsidRPr="00B64CAB" w14:paraId="0463E70A"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36245786"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Rensburg-Bonthuyzen 2008</w:t>
            </w:r>
          </w:p>
        </w:tc>
        <w:tc>
          <w:tcPr>
            <w:tcW w:w="1989" w:type="dxa"/>
            <w:tcBorders>
              <w:top w:val="nil"/>
              <w:left w:val="nil"/>
              <w:bottom w:val="single" w:sz="4" w:space="0" w:color="auto"/>
              <w:right w:val="single" w:sz="4" w:space="0" w:color="auto"/>
            </w:tcBorders>
            <w:shd w:val="clear" w:color="000000" w:fill="A9D08E"/>
            <w:hideMark/>
          </w:tcPr>
          <w:p w14:paraId="16E9DF1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25212963"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043D8A3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A9D08E"/>
            <w:hideMark/>
          </w:tcPr>
          <w:p w14:paraId="47ED26B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A9D08E"/>
            <w:hideMark/>
          </w:tcPr>
          <w:p w14:paraId="6FF4260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HIGH</w:t>
            </w:r>
          </w:p>
        </w:tc>
      </w:tr>
      <w:tr w:rsidR="003462B8" w:rsidRPr="00B64CAB" w14:paraId="05626251"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07A30DEE"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Ruizendaal 2014</w:t>
            </w:r>
          </w:p>
        </w:tc>
        <w:tc>
          <w:tcPr>
            <w:tcW w:w="1989" w:type="dxa"/>
            <w:tcBorders>
              <w:top w:val="nil"/>
              <w:left w:val="nil"/>
              <w:bottom w:val="single" w:sz="4" w:space="0" w:color="auto"/>
              <w:right w:val="single" w:sz="4" w:space="0" w:color="auto"/>
            </w:tcBorders>
            <w:shd w:val="clear" w:color="000000" w:fill="A9D08E"/>
            <w:hideMark/>
          </w:tcPr>
          <w:p w14:paraId="399C847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44930659"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57676FD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363AF123"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0E41979F"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765FEA95" w14:textId="77777777" w:rsidTr="00900DAE">
        <w:trPr>
          <w:trHeight w:val="332"/>
          <w:jc w:val="center"/>
        </w:trPr>
        <w:tc>
          <w:tcPr>
            <w:tcW w:w="3242" w:type="dxa"/>
            <w:tcBorders>
              <w:top w:val="nil"/>
              <w:left w:val="single" w:sz="4" w:space="0" w:color="auto"/>
              <w:bottom w:val="single" w:sz="4" w:space="0" w:color="auto"/>
              <w:right w:val="single" w:sz="4" w:space="0" w:color="auto"/>
            </w:tcBorders>
            <w:shd w:val="clear" w:color="auto" w:fill="auto"/>
            <w:hideMark/>
          </w:tcPr>
          <w:p w14:paraId="2A626FB4"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Rutebemberwa 2009</w:t>
            </w:r>
          </w:p>
        </w:tc>
        <w:tc>
          <w:tcPr>
            <w:tcW w:w="1989" w:type="dxa"/>
            <w:tcBorders>
              <w:top w:val="nil"/>
              <w:left w:val="nil"/>
              <w:bottom w:val="single" w:sz="4" w:space="0" w:color="auto"/>
              <w:right w:val="single" w:sz="4" w:space="0" w:color="auto"/>
            </w:tcBorders>
            <w:shd w:val="clear" w:color="000000" w:fill="A9D08E"/>
            <w:hideMark/>
          </w:tcPr>
          <w:p w14:paraId="256C1EFF"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3FEDE4D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2471F663"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4305F05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55E2BC5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5ACA9B11"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58B750EF"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Sakeah 2014</w:t>
            </w:r>
          </w:p>
        </w:tc>
        <w:tc>
          <w:tcPr>
            <w:tcW w:w="1989" w:type="dxa"/>
            <w:tcBorders>
              <w:top w:val="nil"/>
              <w:left w:val="nil"/>
              <w:bottom w:val="single" w:sz="4" w:space="0" w:color="auto"/>
              <w:right w:val="single" w:sz="4" w:space="0" w:color="auto"/>
            </w:tcBorders>
            <w:shd w:val="clear" w:color="000000" w:fill="A9D08E"/>
            <w:hideMark/>
          </w:tcPr>
          <w:p w14:paraId="67242E5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72132E8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64EDBAB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0F2153C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0C98BE5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27AED498"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29ABD35D" w14:textId="1F148973"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Shaista 2017</w:t>
            </w:r>
          </w:p>
        </w:tc>
        <w:tc>
          <w:tcPr>
            <w:tcW w:w="1989" w:type="dxa"/>
            <w:tcBorders>
              <w:top w:val="nil"/>
              <w:left w:val="nil"/>
              <w:bottom w:val="single" w:sz="4" w:space="0" w:color="auto"/>
              <w:right w:val="single" w:sz="4" w:space="0" w:color="auto"/>
            </w:tcBorders>
            <w:shd w:val="clear" w:color="000000" w:fill="A9D08E"/>
            <w:hideMark/>
          </w:tcPr>
          <w:p w14:paraId="69AB26B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65F9C6C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3A4C6B6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20C152D2"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3392F431"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7C97324C"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791E880F"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lastRenderedPageBreak/>
              <w:t>Shelley 2016</w:t>
            </w:r>
          </w:p>
        </w:tc>
        <w:tc>
          <w:tcPr>
            <w:tcW w:w="1989" w:type="dxa"/>
            <w:tcBorders>
              <w:top w:val="nil"/>
              <w:left w:val="nil"/>
              <w:bottom w:val="single" w:sz="4" w:space="0" w:color="auto"/>
              <w:right w:val="single" w:sz="4" w:space="0" w:color="auto"/>
            </w:tcBorders>
            <w:shd w:val="clear" w:color="000000" w:fill="A9D08E"/>
            <w:hideMark/>
          </w:tcPr>
          <w:p w14:paraId="4B7F250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67BCCE4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5142EF0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0FD8F34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10FAB24F"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MODERATE</w:t>
            </w:r>
          </w:p>
        </w:tc>
      </w:tr>
      <w:tr w:rsidR="003462B8" w:rsidRPr="00B64CAB" w14:paraId="0DCFDBF0" w14:textId="77777777" w:rsidTr="00900DAE">
        <w:trPr>
          <w:trHeight w:val="287"/>
          <w:jc w:val="center"/>
        </w:trPr>
        <w:tc>
          <w:tcPr>
            <w:tcW w:w="3242" w:type="dxa"/>
            <w:tcBorders>
              <w:top w:val="nil"/>
              <w:left w:val="single" w:sz="4" w:space="0" w:color="auto"/>
              <w:bottom w:val="single" w:sz="4" w:space="0" w:color="auto"/>
              <w:right w:val="single" w:sz="4" w:space="0" w:color="auto"/>
            </w:tcBorders>
            <w:shd w:val="clear" w:color="auto" w:fill="auto"/>
            <w:hideMark/>
          </w:tcPr>
          <w:p w14:paraId="4F719741"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Shieshia 2014</w:t>
            </w:r>
          </w:p>
        </w:tc>
        <w:tc>
          <w:tcPr>
            <w:tcW w:w="1989" w:type="dxa"/>
            <w:tcBorders>
              <w:top w:val="nil"/>
              <w:left w:val="nil"/>
              <w:bottom w:val="single" w:sz="4" w:space="0" w:color="auto"/>
              <w:right w:val="single" w:sz="4" w:space="0" w:color="auto"/>
            </w:tcBorders>
            <w:shd w:val="clear" w:color="000000" w:fill="A9D08E"/>
            <w:hideMark/>
          </w:tcPr>
          <w:p w14:paraId="308A734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4A75641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148E163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A9D08E"/>
            <w:hideMark/>
          </w:tcPr>
          <w:p w14:paraId="29F6C42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A9D08E"/>
            <w:hideMark/>
          </w:tcPr>
          <w:p w14:paraId="7ACFB7E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HIGH</w:t>
            </w:r>
          </w:p>
        </w:tc>
      </w:tr>
      <w:tr w:rsidR="003462B8" w:rsidRPr="00B64CAB" w14:paraId="29356E6B"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7A353BC2"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Smith 2013</w:t>
            </w:r>
          </w:p>
        </w:tc>
        <w:tc>
          <w:tcPr>
            <w:tcW w:w="1989" w:type="dxa"/>
            <w:tcBorders>
              <w:top w:val="nil"/>
              <w:left w:val="nil"/>
              <w:bottom w:val="single" w:sz="4" w:space="0" w:color="auto"/>
              <w:right w:val="single" w:sz="4" w:space="0" w:color="auto"/>
            </w:tcBorders>
            <w:shd w:val="clear" w:color="000000" w:fill="A9D08E"/>
            <w:hideMark/>
          </w:tcPr>
          <w:p w14:paraId="7CBAEA6F"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29C0B157"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60602AC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6454E0E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274550B1"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0A524C00"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01D9C9B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Strachan 2014</w:t>
            </w:r>
          </w:p>
        </w:tc>
        <w:tc>
          <w:tcPr>
            <w:tcW w:w="1989" w:type="dxa"/>
            <w:tcBorders>
              <w:top w:val="nil"/>
              <w:left w:val="nil"/>
              <w:bottom w:val="single" w:sz="4" w:space="0" w:color="auto"/>
              <w:right w:val="single" w:sz="4" w:space="0" w:color="auto"/>
            </w:tcBorders>
            <w:shd w:val="clear" w:color="000000" w:fill="A9D08E"/>
            <w:hideMark/>
          </w:tcPr>
          <w:p w14:paraId="35A557A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2320159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20E9ABC9"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3F6FF4A5"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4509216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3E9D8AB0"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123A539A"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Sumankuuro 2018</w:t>
            </w:r>
          </w:p>
        </w:tc>
        <w:tc>
          <w:tcPr>
            <w:tcW w:w="1989" w:type="dxa"/>
            <w:tcBorders>
              <w:top w:val="nil"/>
              <w:left w:val="nil"/>
              <w:bottom w:val="single" w:sz="4" w:space="0" w:color="auto"/>
              <w:right w:val="single" w:sz="4" w:space="0" w:color="auto"/>
            </w:tcBorders>
            <w:shd w:val="clear" w:color="000000" w:fill="A9D08E"/>
            <w:hideMark/>
          </w:tcPr>
          <w:p w14:paraId="1170C5A7"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2E5B5423"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00B78C99"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1C9980CF"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47EF33A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6FC425ED"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3CDE4B38"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Sunguya 2017</w:t>
            </w:r>
          </w:p>
        </w:tc>
        <w:tc>
          <w:tcPr>
            <w:tcW w:w="1989" w:type="dxa"/>
            <w:tcBorders>
              <w:top w:val="nil"/>
              <w:left w:val="nil"/>
              <w:bottom w:val="single" w:sz="4" w:space="0" w:color="auto"/>
              <w:right w:val="single" w:sz="4" w:space="0" w:color="auto"/>
            </w:tcBorders>
            <w:shd w:val="clear" w:color="000000" w:fill="A9D08E"/>
            <w:hideMark/>
          </w:tcPr>
          <w:p w14:paraId="73DC1D4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5E5C41A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145060B1"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FFFF99"/>
            <w:hideMark/>
          </w:tcPr>
          <w:p w14:paraId="6A9A2DC8"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337" w:type="dxa"/>
            <w:tcBorders>
              <w:top w:val="nil"/>
              <w:left w:val="nil"/>
              <w:bottom w:val="single" w:sz="4" w:space="0" w:color="auto"/>
              <w:right w:val="single" w:sz="4" w:space="0" w:color="auto"/>
            </w:tcBorders>
            <w:shd w:val="clear" w:color="000000" w:fill="FFFF99"/>
            <w:hideMark/>
          </w:tcPr>
          <w:p w14:paraId="37DB367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491A5767"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52EFDAA0"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Surakat 2018</w:t>
            </w:r>
          </w:p>
        </w:tc>
        <w:tc>
          <w:tcPr>
            <w:tcW w:w="1989" w:type="dxa"/>
            <w:tcBorders>
              <w:top w:val="nil"/>
              <w:left w:val="nil"/>
              <w:bottom w:val="single" w:sz="4" w:space="0" w:color="auto"/>
              <w:right w:val="single" w:sz="4" w:space="0" w:color="auto"/>
            </w:tcBorders>
            <w:shd w:val="clear" w:color="000000" w:fill="A9D08E"/>
            <w:hideMark/>
          </w:tcPr>
          <w:p w14:paraId="47E09E2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0F1F0FD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35AE5E67"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7D6865F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291C98B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626B91F1"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000000" w:fill="FFFFFF"/>
            <w:hideMark/>
          </w:tcPr>
          <w:p w14:paraId="1297DE7E"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Thein 2017</w:t>
            </w:r>
          </w:p>
        </w:tc>
        <w:tc>
          <w:tcPr>
            <w:tcW w:w="1989" w:type="dxa"/>
            <w:tcBorders>
              <w:top w:val="nil"/>
              <w:left w:val="nil"/>
              <w:bottom w:val="single" w:sz="4" w:space="0" w:color="auto"/>
              <w:right w:val="single" w:sz="4" w:space="0" w:color="auto"/>
            </w:tcBorders>
            <w:shd w:val="clear" w:color="000000" w:fill="A9D08E"/>
            <w:hideMark/>
          </w:tcPr>
          <w:p w14:paraId="7EABA51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19EA2147"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460B6F3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3FB77E2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7D7090AF"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6EAEEA47"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53CABADE"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Umulisa 2018</w:t>
            </w:r>
          </w:p>
        </w:tc>
        <w:tc>
          <w:tcPr>
            <w:tcW w:w="1989" w:type="dxa"/>
            <w:tcBorders>
              <w:top w:val="nil"/>
              <w:left w:val="nil"/>
              <w:bottom w:val="single" w:sz="4" w:space="0" w:color="auto"/>
              <w:right w:val="single" w:sz="4" w:space="0" w:color="auto"/>
            </w:tcBorders>
            <w:shd w:val="clear" w:color="000000" w:fill="FFFF99"/>
            <w:hideMark/>
          </w:tcPr>
          <w:p w14:paraId="106D8A97"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959" w:type="dxa"/>
            <w:tcBorders>
              <w:top w:val="nil"/>
              <w:left w:val="nil"/>
              <w:bottom w:val="single" w:sz="4" w:space="0" w:color="auto"/>
              <w:right w:val="single" w:sz="4" w:space="0" w:color="auto"/>
            </w:tcBorders>
            <w:shd w:val="clear" w:color="000000" w:fill="FFFF99"/>
            <w:hideMark/>
          </w:tcPr>
          <w:p w14:paraId="556A8E62"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716" w:type="dxa"/>
            <w:tcBorders>
              <w:top w:val="nil"/>
              <w:left w:val="nil"/>
              <w:bottom w:val="single" w:sz="4" w:space="0" w:color="auto"/>
              <w:right w:val="single" w:sz="4" w:space="0" w:color="auto"/>
            </w:tcBorders>
            <w:shd w:val="clear" w:color="000000" w:fill="FFFF99"/>
            <w:hideMark/>
          </w:tcPr>
          <w:p w14:paraId="73E52309"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387DFD84"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5473847F"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5A6D1DCC"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475EA672"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UNICEF, WHO, GF. ICCM 2018</w:t>
            </w:r>
          </w:p>
        </w:tc>
        <w:tc>
          <w:tcPr>
            <w:tcW w:w="1989" w:type="dxa"/>
            <w:tcBorders>
              <w:top w:val="nil"/>
              <w:left w:val="nil"/>
              <w:bottom w:val="single" w:sz="4" w:space="0" w:color="auto"/>
              <w:right w:val="single" w:sz="4" w:space="0" w:color="auto"/>
            </w:tcBorders>
            <w:shd w:val="clear" w:color="000000" w:fill="A9D08E"/>
            <w:hideMark/>
          </w:tcPr>
          <w:p w14:paraId="299C804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73F2FCAF"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4BD4C94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3D3B4F09"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2753F1B9"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204B6E51"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271D01E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USAID Deliver Project. Mozambique 2014</w:t>
            </w:r>
          </w:p>
        </w:tc>
        <w:tc>
          <w:tcPr>
            <w:tcW w:w="1989" w:type="dxa"/>
            <w:tcBorders>
              <w:top w:val="nil"/>
              <w:left w:val="nil"/>
              <w:bottom w:val="single" w:sz="4" w:space="0" w:color="auto"/>
              <w:right w:val="single" w:sz="4" w:space="0" w:color="auto"/>
            </w:tcBorders>
            <w:shd w:val="clear" w:color="000000" w:fill="A9D08E"/>
            <w:hideMark/>
          </w:tcPr>
          <w:p w14:paraId="724AD5C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3BF70F6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1017990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A9D08E"/>
            <w:hideMark/>
          </w:tcPr>
          <w:p w14:paraId="745544A7"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A9D08E"/>
            <w:hideMark/>
          </w:tcPr>
          <w:p w14:paraId="0637A897"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HIGH</w:t>
            </w:r>
          </w:p>
        </w:tc>
      </w:tr>
      <w:tr w:rsidR="003462B8" w:rsidRPr="00B64CAB" w14:paraId="74557DC7" w14:textId="77777777" w:rsidTr="007C7FE6">
        <w:trPr>
          <w:trHeight w:val="20"/>
          <w:jc w:val="center"/>
        </w:trPr>
        <w:tc>
          <w:tcPr>
            <w:tcW w:w="3242" w:type="dxa"/>
            <w:tcBorders>
              <w:top w:val="nil"/>
              <w:left w:val="single" w:sz="4" w:space="0" w:color="auto"/>
              <w:bottom w:val="single" w:sz="4" w:space="0" w:color="auto"/>
              <w:right w:val="single" w:sz="4" w:space="0" w:color="auto"/>
            </w:tcBorders>
            <w:shd w:val="clear" w:color="auto" w:fill="auto"/>
          </w:tcPr>
          <w:p w14:paraId="6F5B331D" w14:textId="3C8D6092"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Village Reach 2014</w:t>
            </w:r>
          </w:p>
        </w:tc>
        <w:tc>
          <w:tcPr>
            <w:tcW w:w="1989" w:type="dxa"/>
            <w:tcBorders>
              <w:top w:val="nil"/>
              <w:left w:val="nil"/>
              <w:bottom w:val="single" w:sz="4" w:space="0" w:color="auto"/>
              <w:right w:val="single" w:sz="4" w:space="0" w:color="auto"/>
            </w:tcBorders>
            <w:shd w:val="clear" w:color="auto" w:fill="FFCCFF"/>
          </w:tcPr>
          <w:p w14:paraId="18C4D3AD" w14:textId="7BB36920"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Significant</w:t>
            </w:r>
          </w:p>
        </w:tc>
        <w:tc>
          <w:tcPr>
            <w:tcW w:w="1959" w:type="dxa"/>
            <w:tcBorders>
              <w:top w:val="nil"/>
              <w:left w:val="nil"/>
              <w:bottom w:val="single" w:sz="4" w:space="0" w:color="auto"/>
              <w:right w:val="single" w:sz="4" w:space="0" w:color="auto"/>
            </w:tcBorders>
            <w:shd w:val="clear" w:color="000000" w:fill="A9D08E"/>
          </w:tcPr>
          <w:p w14:paraId="51F95C4D" w14:textId="6E0DE66E"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High</w:t>
            </w:r>
          </w:p>
        </w:tc>
        <w:tc>
          <w:tcPr>
            <w:tcW w:w="1716" w:type="dxa"/>
            <w:tcBorders>
              <w:top w:val="nil"/>
              <w:left w:val="nil"/>
              <w:bottom w:val="single" w:sz="4" w:space="0" w:color="auto"/>
              <w:right w:val="single" w:sz="4" w:space="0" w:color="auto"/>
            </w:tcBorders>
            <w:shd w:val="clear" w:color="000000" w:fill="A9D08E"/>
          </w:tcPr>
          <w:p w14:paraId="6656E89C" w14:textId="2FA0FE2D"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High</w:t>
            </w:r>
          </w:p>
        </w:tc>
        <w:tc>
          <w:tcPr>
            <w:tcW w:w="2077" w:type="dxa"/>
            <w:tcBorders>
              <w:top w:val="nil"/>
              <w:left w:val="nil"/>
              <w:bottom w:val="single" w:sz="4" w:space="0" w:color="auto"/>
              <w:right w:val="single" w:sz="4" w:space="0" w:color="auto"/>
            </w:tcBorders>
            <w:shd w:val="clear" w:color="auto" w:fill="FFFF99"/>
          </w:tcPr>
          <w:p w14:paraId="2F26A56E" w14:textId="4401C090"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Moderate</w:t>
            </w:r>
          </w:p>
        </w:tc>
        <w:tc>
          <w:tcPr>
            <w:tcW w:w="2337" w:type="dxa"/>
            <w:tcBorders>
              <w:top w:val="nil"/>
              <w:left w:val="nil"/>
              <w:bottom w:val="single" w:sz="4" w:space="0" w:color="auto"/>
              <w:right w:val="single" w:sz="4" w:space="0" w:color="auto"/>
            </w:tcBorders>
            <w:shd w:val="clear" w:color="auto" w:fill="FFCCFF"/>
          </w:tcPr>
          <w:p w14:paraId="78A530FE" w14:textId="710D591C"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LOW</w:t>
            </w:r>
          </w:p>
        </w:tc>
      </w:tr>
      <w:tr w:rsidR="003462B8" w:rsidRPr="00B64CAB" w14:paraId="0EFBFD5D"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08D3DB84"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Village Reach 2015</w:t>
            </w:r>
          </w:p>
        </w:tc>
        <w:tc>
          <w:tcPr>
            <w:tcW w:w="1989" w:type="dxa"/>
            <w:tcBorders>
              <w:top w:val="nil"/>
              <w:left w:val="nil"/>
              <w:bottom w:val="single" w:sz="4" w:space="0" w:color="auto"/>
              <w:right w:val="single" w:sz="4" w:space="0" w:color="auto"/>
            </w:tcBorders>
            <w:shd w:val="clear" w:color="000000" w:fill="A9D08E"/>
            <w:hideMark/>
          </w:tcPr>
          <w:p w14:paraId="0562A1E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33EACBA7"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5193953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A9D08E"/>
            <w:hideMark/>
          </w:tcPr>
          <w:p w14:paraId="25D1419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A9D08E"/>
            <w:hideMark/>
          </w:tcPr>
          <w:p w14:paraId="67CF18E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HIGH</w:t>
            </w:r>
          </w:p>
        </w:tc>
      </w:tr>
      <w:tr w:rsidR="003462B8" w:rsidRPr="00B64CAB" w14:paraId="3179219E" w14:textId="77777777" w:rsidTr="00BA59B7">
        <w:trPr>
          <w:trHeight w:val="20"/>
          <w:jc w:val="center"/>
        </w:trPr>
        <w:tc>
          <w:tcPr>
            <w:tcW w:w="3242" w:type="dxa"/>
            <w:tcBorders>
              <w:top w:val="nil"/>
              <w:left w:val="single" w:sz="4" w:space="0" w:color="auto"/>
              <w:bottom w:val="single" w:sz="4" w:space="0" w:color="auto"/>
              <w:right w:val="single" w:sz="4" w:space="0" w:color="auto"/>
            </w:tcBorders>
            <w:shd w:val="clear" w:color="auto" w:fill="auto"/>
          </w:tcPr>
          <w:p w14:paraId="47697833" w14:textId="726035A4"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Village Reach 2016</w:t>
            </w:r>
          </w:p>
        </w:tc>
        <w:tc>
          <w:tcPr>
            <w:tcW w:w="1989" w:type="dxa"/>
            <w:tcBorders>
              <w:top w:val="nil"/>
              <w:left w:val="nil"/>
              <w:bottom w:val="single" w:sz="4" w:space="0" w:color="auto"/>
              <w:right w:val="single" w:sz="4" w:space="0" w:color="auto"/>
            </w:tcBorders>
            <w:shd w:val="clear" w:color="auto" w:fill="FFCCFF"/>
          </w:tcPr>
          <w:p w14:paraId="343519D0" w14:textId="54A14950"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Significant</w:t>
            </w:r>
          </w:p>
        </w:tc>
        <w:tc>
          <w:tcPr>
            <w:tcW w:w="1959" w:type="dxa"/>
            <w:tcBorders>
              <w:top w:val="nil"/>
              <w:left w:val="nil"/>
              <w:bottom w:val="single" w:sz="4" w:space="0" w:color="auto"/>
              <w:right w:val="single" w:sz="4" w:space="0" w:color="auto"/>
            </w:tcBorders>
            <w:shd w:val="clear" w:color="000000" w:fill="A9D08E"/>
          </w:tcPr>
          <w:p w14:paraId="742C1FDE" w14:textId="231A2398"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High</w:t>
            </w:r>
          </w:p>
        </w:tc>
        <w:tc>
          <w:tcPr>
            <w:tcW w:w="1716" w:type="dxa"/>
            <w:tcBorders>
              <w:top w:val="nil"/>
              <w:left w:val="nil"/>
              <w:bottom w:val="single" w:sz="4" w:space="0" w:color="auto"/>
              <w:right w:val="single" w:sz="4" w:space="0" w:color="auto"/>
            </w:tcBorders>
            <w:shd w:val="clear" w:color="000000" w:fill="A9D08E"/>
          </w:tcPr>
          <w:p w14:paraId="5BCF89A6" w14:textId="7D013996"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High</w:t>
            </w:r>
          </w:p>
        </w:tc>
        <w:tc>
          <w:tcPr>
            <w:tcW w:w="2077" w:type="dxa"/>
            <w:tcBorders>
              <w:top w:val="nil"/>
              <w:left w:val="nil"/>
              <w:bottom w:val="single" w:sz="4" w:space="0" w:color="auto"/>
              <w:right w:val="single" w:sz="4" w:space="0" w:color="auto"/>
            </w:tcBorders>
            <w:shd w:val="clear" w:color="auto" w:fill="FFCCFF"/>
          </w:tcPr>
          <w:p w14:paraId="43E084D7" w14:textId="0EAEA8F8"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Low</w:t>
            </w:r>
          </w:p>
        </w:tc>
        <w:tc>
          <w:tcPr>
            <w:tcW w:w="2337" w:type="dxa"/>
            <w:tcBorders>
              <w:top w:val="nil"/>
              <w:left w:val="nil"/>
              <w:bottom w:val="single" w:sz="4" w:space="0" w:color="auto"/>
              <w:right w:val="single" w:sz="4" w:space="0" w:color="auto"/>
            </w:tcBorders>
            <w:shd w:val="clear" w:color="auto" w:fill="FFCCFF"/>
          </w:tcPr>
          <w:p w14:paraId="1754F64A" w14:textId="224026D2" w:rsidR="003462B8" w:rsidRPr="00B64CAB" w:rsidRDefault="003462B8" w:rsidP="003462B8">
            <w:pPr>
              <w:spacing w:after="0" w:line="240" w:lineRule="auto"/>
              <w:rPr>
                <w:rFonts w:eastAsia="Times New Roman" w:cstheme="minorHAnsi"/>
                <w:color w:val="000000"/>
              </w:rPr>
            </w:pPr>
            <w:r>
              <w:rPr>
                <w:rFonts w:eastAsia="Times New Roman" w:cstheme="minorHAnsi"/>
                <w:color w:val="000000"/>
              </w:rPr>
              <w:t>LOW</w:t>
            </w:r>
          </w:p>
        </w:tc>
      </w:tr>
      <w:tr w:rsidR="003462B8" w:rsidRPr="00B64CAB" w14:paraId="573F8929"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7433944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Wagenaar 2014</w:t>
            </w:r>
          </w:p>
        </w:tc>
        <w:tc>
          <w:tcPr>
            <w:tcW w:w="1989" w:type="dxa"/>
            <w:tcBorders>
              <w:top w:val="nil"/>
              <w:left w:val="nil"/>
              <w:bottom w:val="single" w:sz="4" w:space="0" w:color="auto"/>
              <w:right w:val="single" w:sz="4" w:space="0" w:color="auto"/>
            </w:tcBorders>
            <w:shd w:val="clear" w:color="000000" w:fill="A9D08E"/>
            <w:hideMark/>
          </w:tcPr>
          <w:p w14:paraId="2D4666DB"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00E4B68E"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A9D08E"/>
            <w:hideMark/>
          </w:tcPr>
          <w:p w14:paraId="613C14A4"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077" w:type="dxa"/>
            <w:tcBorders>
              <w:top w:val="nil"/>
              <w:left w:val="nil"/>
              <w:bottom w:val="single" w:sz="4" w:space="0" w:color="auto"/>
              <w:right w:val="single" w:sz="4" w:space="0" w:color="auto"/>
            </w:tcBorders>
            <w:shd w:val="clear" w:color="000000" w:fill="A9D08E"/>
            <w:hideMark/>
          </w:tcPr>
          <w:p w14:paraId="58F0B41D"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A9D08E"/>
            <w:hideMark/>
          </w:tcPr>
          <w:p w14:paraId="253AAE5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HIGH</w:t>
            </w:r>
          </w:p>
        </w:tc>
      </w:tr>
      <w:tr w:rsidR="003462B8" w:rsidRPr="00B64CAB" w14:paraId="0428C394"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000000" w:fill="FFFFFF"/>
            <w:hideMark/>
          </w:tcPr>
          <w:p w14:paraId="3B7DDB43"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WHO (DRC) 2018</w:t>
            </w:r>
          </w:p>
        </w:tc>
        <w:tc>
          <w:tcPr>
            <w:tcW w:w="1989" w:type="dxa"/>
            <w:tcBorders>
              <w:top w:val="nil"/>
              <w:left w:val="nil"/>
              <w:bottom w:val="single" w:sz="4" w:space="0" w:color="auto"/>
              <w:right w:val="single" w:sz="4" w:space="0" w:color="auto"/>
            </w:tcBorders>
            <w:shd w:val="clear" w:color="000000" w:fill="A9D08E"/>
            <w:hideMark/>
          </w:tcPr>
          <w:p w14:paraId="5CB6E926"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Insignificant </w:t>
            </w:r>
          </w:p>
        </w:tc>
        <w:tc>
          <w:tcPr>
            <w:tcW w:w="1959" w:type="dxa"/>
            <w:tcBorders>
              <w:top w:val="nil"/>
              <w:left w:val="nil"/>
              <w:bottom w:val="single" w:sz="4" w:space="0" w:color="auto"/>
              <w:right w:val="single" w:sz="4" w:space="0" w:color="auto"/>
            </w:tcBorders>
            <w:shd w:val="clear" w:color="000000" w:fill="A9D08E"/>
            <w:hideMark/>
          </w:tcPr>
          <w:p w14:paraId="701B4DF0"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6289E90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5FBE4ABF"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224675FA"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tr w:rsidR="003462B8" w:rsidRPr="00B64CAB" w14:paraId="4FB52972" w14:textId="77777777" w:rsidTr="00900DAE">
        <w:trPr>
          <w:trHeight w:val="20"/>
          <w:jc w:val="center"/>
        </w:trPr>
        <w:tc>
          <w:tcPr>
            <w:tcW w:w="3242" w:type="dxa"/>
            <w:tcBorders>
              <w:top w:val="nil"/>
              <w:left w:val="single" w:sz="4" w:space="0" w:color="auto"/>
              <w:bottom w:val="single" w:sz="4" w:space="0" w:color="auto"/>
              <w:right w:val="single" w:sz="4" w:space="0" w:color="auto"/>
            </w:tcBorders>
            <w:shd w:val="clear" w:color="auto" w:fill="auto"/>
            <w:hideMark/>
          </w:tcPr>
          <w:p w14:paraId="2AE3AA62" w14:textId="77777777" w:rsidR="003462B8" w:rsidRPr="00B64CAB" w:rsidRDefault="003462B8" w:rsidP="003462B8">
            <w:pPr>
              <w:spacing w:after="240" w:line="240" w:lineRule="auto"/>
              <w:rPr>
                <w:rFonts w:eastAsia="Times New Roman" w:cstheme="minorHAnsi"/>
                <w:color w:val="000000"/>
              </w:rPr>
            </w:pPr>
            <w:r w:rsidRPr="00B64CAB">
              <w:rPr>
                <w:rFonts w:eastAsia="Times New Roman" w:cstheme="minorHAnsi"/>
                <w:color w:val="000000"/>
              </w:rPr>
              <w:t>Williams</w:t>
            </w:r>
          </w:p>
        </w:tc>
        <w:tc>
          <w:tcPr>
            <w:tcW w:w="1989" w:type="dxa"/>
            <w:tcBorders>
              <w:top w:val="nil"/>
              <w:left w:val="nil"/>
              <w:bottom w:val="single" w:sz="4" w:space="0" w:color="auto"/>
              <w:right w:val="single" w:sz="4" w:space="0" w:color="auto"/>
            </w:tcBorders>
            <w:shd w:val="clear" w:color="000000" w:fill="FFFF99"/>
            <w:hideMark/>
          </w:tcPr>
          <w:p w14:paraId="1D0575C9"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1959" w:type="dxa"/>
            <w:tcBorders>
              <w:top w:val="nil"/>
              <w:left w:val="nil"/>
              <w:bottom w:val="single" w:sz="4" w:space="0" w:color="auto"/>
              <w:right w:val="single" w:sz="4" w:space="0" w:color="auto"/>
            </w:tcBorders>
            <w:shd w:val="clear" w:color="000000" w:fill="A9D08E"/>
            <w:hideMark/>
          </w:tcPr>
          <w:p w14:paraId="75844F4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1716" w:type="dxa"/>
            <w:tcBorders>
              <w:top w:val="nil"/>
              <w:left w:val="nil"/>
              <w:bottom w:val="single" w:sz="4" w:space="0" w:color="auto"/>
              <w:right w:val="single" w:sz="4" w:space="0" w:color="auto"/>
            </w:tcBorders>
            <w:shd w:val="clear" w:color="000000" w:fill="FFFF99"/>
            <w:hideMark/>
          </w:tcPr>
          <w:p w14:paraId="6FE3080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c>
          <w:tcPr>
            <w:tcW w:w="2077" w:type="dxa"/>
            <w:tcBorders>
              <w:top w:val="nil"/>
              <w:left w:val="nil"/>
              <w:bottom w:val="single" w:sz="4" w:space="0" w:color="auto"/>
              <w:right w:val="single" w:sz="4" w:space="0" w:color="auto"/>
            </w:tcBorders>
            <w:shd w:val="clear" w:color="000000" w:fill="A9D08E"/>
            <w:hideMark/>
          </w:tcPr>
          <w:p w14:paraId="73B8B4D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High   </w:t>
            </w:r>
          </w:p>
        </w:tc>
        <w:tc>
          <w:tcPr>
            <w:tcW w:w="2337" w:type="dxa"/>
            <w:tcBorders>
              <w:top w:val="nil"/>
              <w:left w:val="nil"/>
              <w:bottom w:val="single" w:sz="4" w:space="0" w:color="auto"/>
              <w:right w:val="single" w:sz="4" w:space="0" w:color="auto"/>
            </w:tcBorders>
            <w:shd w:val="clear" w:color="000000" w:fill="FFFF99"/>
            <w:hideMark/>
          </w:tcPr>
          <w:p w14:paraId="0FFF498C" w14:textId="77777777" w:rsidR="003462B8" w:rsidRPr="00B64CAB" w:rsidRDefault="003462B8" w:rsidP="003462B8">
            <w:pPr>
              <w:spacing w:after="0" w:line="240" w:lineRule="auto"/>
              <w:rPr>
                <w:rFonts w:eastAsia="Times New Roman" w:cstheme="minorHAnsi"/>
                <w:color w:val="000000"/>
              </w:rPr>
            </w:pPr>
            <w:r w:rsidRPr="00B64CAB">
              <w:rPr>
                <w:rFonts w:eastAsia="Times New Roman" w:cstheme="minorHAnsi"/>
                <w:color w:val="000000"/>
              </w:rPr>
              <w:t xml:space="preserve">MODERATE </w:t>
            </w:r>
          </w:p>
        </w:tc>
      </w:tr>
      <w:bookmarkEnd w:id="59"/>
    </w:tbl>
    <w:p w14:paraId="52F20955" w14:textId="77777777" w:rsidR="004565D8" w:rsidRDefault="004565D8">
      <w:pPr>
        <w:rPr>
          <w:rFonts w:eastAsia="Arial Unicode MS" w:cstheme="minorHAnsi"/>
          <w:i/>
          <w:iCs/>
          <w:color w:val="000000"/>
          <w:u w:color="000000"/>
        </w:rPr>
      </w:pPr>
    </w:p>
    <w:p w14:paraId="29C83C61" w14:textId="6E5EC9AC" w:rsidR="004565D8" w:rsidRPr="00AA2DD6" w:rsidRDefault="004565D8">
      <w:pPr>
        <w:rPr>
          <w:rFonts w:eastAsia="Arial Unicode MS" w:cstheme="minorHAnsi"/>
          <w:color w:val="000000"/>
          <w:u w:color="000000"/>
        </w:rPr>
      </w:pPr>
      <w:r>
        <w:rPr>
          <w:rFonts w:eastAsia="Arial Unicode MS" w:cstheme="minorHAnsi"/>
          <w:b/>
          <w:bCs/>
          <w:color w:val="000000"/>
          <w:u w:color="000000"/>
        </w:rPr>
        <w:br w:type="page"/>
      </w:r>
      <w:bookmarkEnd w:id="57"/>
      <w:r w:rsidR="00AA2DD6" w:rsidRPr="00AA2DD6">
        <w:rPr>
          <w:rFonts w:eastAsia="Arial Unicode MS" w:cstheme="minorHAnsi"/>
          <w:color w:val="000000"/>
          <w:u w:val="single" w:color="000000"/>
        </w:rPr>
        <w:lastRenderedPageBreak/>
        <w:t>Table 8</w:t>
      </w:r>
      <w:r w:rsidR="00AA2DD6" w:rsidRPr="00AA2DD6">
        <w:rPr>
          <w:rFonts w:eastAsia="Arial Unicode MS" w:cstheme="minorHAnsi"/>
          <w:color w:val="000000"/>
          <w:u w:color="000000"/>
        </w:rPr>
        <w:t xml:space="preserve">: </w:t>
      </w:r>
      <w:r w:rsidR="00C921E0" w:rsidRPr="00AA2DD6">
        <w:rPr>
          <w:rFonts w:eastAsia="Arial Unicode MS" w:cstheme="minorHAnsi"/>
          <w:color w:val="000000"/>
          <w:u w:color="000000"/>
        </w:rPr>
        <w:t>Summary of Qualitative Findings table</w:t>
      </w:r>
    </w:p>
    <w:tbl>
      <w:tblPr>
        <w:tblStyle w:val="TableGrid1"/>
        <w:tblW w:w="0" w:type="auto"/>
        <w:tblLook w:val="04A0" w:firstRow="1" w:lastRow="0" w:firstColumn="1" w:lastColumn="0" w:noHBand="0" w:noVBand="1"/>
      </w:tblPr>
      <w:tblGrid>
        <w:gridCol w:w="1572"/>
        <w:gridCol w:w="1818"/>
        <w:gridCol w:w="1775"/>
        <w:gridCol w:w="1346"/>
        <w:gridCol w:w="1349"/>
        <w:gridCol w:w="1526"/>
        <w:gridCol w:w="1760"/>
        <w:gridCol w:w="1760"/>
      </w:tblGrid>
      <w:tr w:rsidR="003B0485" w:rsidRPr="003B0485" w14:paraId="3737E81B" w14:textId="77777777" w:rsidTr="002C1BDB">
        <w:trPr>
          <w:trHeight w:val="1082"/>
        </w:trPr>
        <w:tc>
          <w:tcPr>
            <w:tcW w:w="1572" w:type="dxa"/>
          </w:tcPr>
          <w:p w14:paraId="4E6639C3" w14:textId="77777777" w:rsidR="003B0485" w:rsidRPr="003B0485" w:rsidRDefault="003B0485" w:rsidP="003B0485">
            <w:pPr>
              <w:ind w:hanging="2"/>
              <w:rPr>
                <w:rFonts w:cs="Calibri"/>
              </w:rPr>
            </w:pPr>
            <w:r w:rsidRPr="003B0485">
              <w:rPr>
                <w:rFonts w:cs="Calibri"/>
              </w:rPr>
              <w:t>Summary of review finding</w:t>
            </w:r>
          </w:p>
        </w:tc>
        <w:tc>
          <w:tcPr>
            <w:tcW w:w="1818" w:type="dxa"/>
          </w:tcPr>
          <w:p w14:paraId="42C2BE63" w14:textId="77777777" w:rsidR="003B0485" w:rsidRPr="003B0485" w:rsidRDefault="003B0485" w:rsidP="003B0485">
            <w:pPr>
              <w:ind w:hanging="2"/>
              <w:rPr>
                <w:rFonts w:cs="Calibri"/>
              </w:rPr>
            </w:pPr>
            <w:r w:rsidRPr="003B0485">
              <w:rPr>
                <w:rFonts w:cs="Calibri"/>
              </w:rPr>
              <w:t>Studies contributing to the review finding</w:t>
            </w:r>
          </w:p>
        </w:tc>
        <w:tc>
          <w:tcPr>
            <w:tcW w:w="1775" w:type="dxa"/>
          </w:tcPr>
          <w:p w14:paraId="440EBFEB" w14:textId="77777777" w:rsidR="003B0485" w:rsidRPr="003B0485" w:rsidRDefault="003B0485" w:rsidP="003B0485">
            <w:pPr>
              <w:ind w:hanging="2"/>
              <w:rPr>
                <w:rFonts w:cs="Calibri"/>
              </w:rPr>
            </w:pPr>
            <w:r w:rsidRPr="003B0485">
              <w:rPr>
                <w:rFonts w:cs="Calibri"/>
              </w:rPr>
              <w:t>Methodological limitations</w:t>
            </w:r>
          </w:p>
        </w:tc>
        <w:tc>
          <w:tcPr>
            <w:tcW w:w="1346" w:type="dxa"/>
          </w:tcPr>
          <w:p w14:paraId="04E5800D" w14:textId="77777777" w:rsidR="003B0485" w:rsidRPr="003B0485" w:rsidRDefault="003B0485" w:rsidP="003B0485">
            <w:pPr>
              <w:ind w:hanging="2"/>
              <w:rPr>
                <w:rFonts w:cs="Calibri"/>
              </w:rPr>
            </w:pPr>
            <w:r w:rsidRPr="003B0485">
              <w:rPr>
                <w:rFonts w:cs="Calibri"/>
              </w:rPr>
              <w:t>Coherence</w:t>
            </w:r>
          </w:p>
        </w:tc>
        <w:tc>
          <w:tcPr>
            <w:tcW w:w="1349" w:type="dxa"/>
          </w:tcPr>
          <w:p w14:paraId="736E38DA" w14:textId="77777777" w:rsidR="003B0485" w:rsidRPr="003B0485" w:rsidRDefault="003B0485" w:rsidP="003B0485">
            <w:pPr>
              <w:ind w:hanging="2"/>
              <w:rPr>
                <w:rFonts w:cs="Calibri"/>
              </w:rPr>
            </w:pPr>
            <w:r w:rsidRPr="003B0485">
              <w:rPr>
                <w:rFonts w:cs="Calibri"/>
              </w:rPr>
              <w:t>Adequacy</w:t>
            </w:r>
          </w:p>
        </w:tc>
        <w:tc>
          <w:tcPr>
            <w:tcW w:w="1526" w:type="dxa"/>
          </w:tcPr>
          <w:p w14:paraId="668803FF" w14:textId="77777777" w:rsidR="003B0485" w:rsidRPr="003B0485" w:rsidRDefault="003B0485" w:rsidP="003B0485">
            <w:pPr>
              <w:ind w:hanging="2"/>
              <w:rPr>
                <w:rFonts w:cs="Calibri"/>
              </w:rPr>
            </w:pPr>
            <w:r w:rsidRPr="003B0485">
              <w:rPr>
                <w:rFonts w:cs="Calibri"/>
              </w:rPr>
              <w:t>Relevance</w:t>
            </w:r>
          </w:p>
        </w:tc>
        <w:tc>
          <w:tcPr>
            <w:tcW w:w="1760" w:type="dxa"/>
          </w:tcPr>
          <w:p w14:paraId="0B0E30C5" w14:textId="77777777" w:rsidR="003B0485" w:rsidRPr="003B0485" w:rsidRDefault="003B0485" w:rsidP="003B0485">
            <w:pPr>
              <w:ind w:hanging="2"/>
              <w:rPr>
                <w:rFonts w:cs="Calibri"/>
              </w:rPr>
            </w:pPr>
            <w:r w:rsidRPr="003B0485">
              <w:rPr>
                <w:rFonts w:cs="Calibri"/>
              </w:rPr>
              <w:t>CERQual assessment of confidence in the evidence</w:t>
            </w:r>
          </w:p>
        </w:tc>
        <w:tc>
          <w:tcPr>
            <w:tcW w:w="1760" w:type="dxa"/>
          </w:tcPr>
          <w:p w14:paraId="3A71B4F5" w14:textId="77777777" w:rsidR="003B0485" w:rsidRPr="003B0485" w:rsidRDefault="003B0485" w:rsidP="003B0485">
            <w:pPr>
              <w:ind w:hanging="2"/>
              <w:rPr>
                <w:rFonts w:cs="Calibri"/>
              </w:rPr>
            </w:pPr>
            <w:r w:rsidRPr="003B0485">
              <w:rPr>
                <w:rFonts w:cs="Calibri"/>
              </w:rPr>
              <w:t>Explanation of CERQual assessment</w:t>
            </w:r>
          </w:p>
        </w:tc>
      </w:tr>
      <w:tr w:rsidR="003B0485" w:rsidRPr="003B0485" w14:paraId="03EDEF7D" w14:textId="77777777" w:rsidTr="002C1BDB">
        <w:trPr>
          <w:trHeight w:val="7091"/>
        </w:trPr>
        <w:tc>
          <w:tcPr>
            <w:tcW w:w="1572" w:type="dxa"/>
          </w:tcPr>
          <w:p w14:paraId="76D02A1F" w14:textId="77777777" w:rsidR="003B0485" w:rsidRPr="003B0485" w:rsidRDefault="003B0485" w:rsidP="003B0485">
            <w:pPr>
              <w:ind w:hanging="2"/>
              <w:rPr>
                <w:rFonts w:cs="Calibri"/>
              </w:rPr>
            </w:pPr>
            <w:r w:rsidRPr="003B0485">
              <w:rPr>
                <w:rFonts w:cs="Calibri"/>
              </w:rPr>
              <w:t>1. Reasons for stock-out relate to procurement, distribution, storage and quantification with distribution being the most cited reason for stock-out.</w:t>
            </w:r>
          </w:p>
          <w:p w14:paraId="2AECF10E" w14:textId="77777777" w:rsidR="003B0485" w:rsidRPr="003B0485" w:rsidRDefault="003B0485" w:rsidP="003B0485">
            <w:pPr>
              <w:ind w:hanging="2"/>
            </w:pPr>
            <w:r w:rsidRPr="003B0485">
              <w:t xml:space="preserve">Stakeholders affected were program, health center, CHWs and end-users with the end-users being the most affected. </w:t>
            </w:r>
          </w:p>
          <w:p w14:paraId="5EE8816C" w14:textId="77777777" w:rsidR="003B0485" w:rsidRPr="003B0485" w:rsidRDefault="003B0485" w:rsidP="003B0485">
            <w:pPr>
              <w:ind w:hanging="2"/>
            </w:pPr>
          </w:p>
          <w:p w14:paraId="18B9F630" w14:textId="77777777" w:rsidR="003B0485" w:rsidRPr="003B0485" w:rsidRDefault="003B0485" w:rsidP="003B0485">
            <w:pPr>
              <w:ind w:hanging="2"/>
            </w:pPr>
          </w:p>
        </w:tc>
        <w:tc>
          <w:tcPr>
            <w:tcW w:w="1818" w:type="dxa"/>
          </w:tcPr>
          <w:p w14:paraId="31263CC5" w14:textId="225797EC" w:rsidR="003B0485" w:rsidRPr="003B0485" w:rsidRDefault="003B0485" w:rsidP="003B0485">
            <w:pPr>
              <w:ind w:hanging="2"/>
              <w:rPr>
                <w:rFonts w:cs="Calibri"/>
              </w:rPr>
            </w:pPr>
            <w:r w:rsidRPr="003B0485">
              <w:rPr>
                <w:rFonts w:ascii="Times New Roman" w:hAnsi="Times New Roman"/>
                <w:sz w:val="24"/>
                <w:szCs w:val="24"/>
              </w:rPr>
              <w:fldChar w:fldCharType="begin" w:fldLock="1"/>
            </w:r>
            <w:r w:rsidR="009D72B0">
              <w:rPr>
                <w:rFonts w:ascii="Times New Roman" w:hAnsi="Times New Roman"/>
                <w:sz w:val="24"/>
                <w:szCs w:val="24"/>
              </w:rPr>
              <w:instrText>ADDIN CSL_CITATION {"citationItems":[{"id":"ITEM-1","itemData":{"DOI":"10.1186/1472-6963-13-55","ISBN":"1472-6963 (Electronic)\\r1472-6963 (Linking)","ISSN":"1472-6963","PMID":"23394591","abstract":"ABSTRACT: BACKGROUND: National community-based health worker (CBHW) programs often face challenges in ensuring that these remote workers are adequately trained, equipped and supervised. As governments increasingly deploy CBHWs to improve access to primary health care, there is an urgent need to assess how well health systems are supporting CBHWs to provide high quality care. METHODS: This paper presents the results of a mixed-methods assessment of selected health systems supports (supervision, drug supply, and job aids) for a national community case management (CCM) program for childhood illness in Malawi during the first year of implementation. We collected data on the types and levels of drug supply and supervision through a cross-sectional survey of a random sample of Health Surveillance Assistants (HSAs) providing CCM services in six districts. We then conducted in-depth interviews and focus group discussions with program managers and HSAs, respectively, to gain an understanding of the barriers and facilitating factors for delivering health systems supports for CCM. RESULTS: Although the CCM training and job aid were well received by stakeholders, HSAs who participated in the first CCM training sessions often waited up to 4 months before receiving their initial supply of drugs and first supervision visits. One year after training began, 69 % of HSAs had all essential CCM drugs in stock and only 38 % of HSAs reported a CCM supervision visit in the 3 months prior to the survey. Results of the qualitative assessment indicated that drug supply was constrained by travel distance and stock outs at health facilities, and that the initial supervision system relied on clinicians who were able to spend only limited time away from clinical duties. Proactive district managers trained and enrolled HSAs' routine supervisors to provide CCM supervision. CONCLUSIONS: Malawi's CCM program is promising, but health systems supports must be improved to ensure consistent coverage and quality. Mixed-methods implementation research provided the Ministry of Health with actionable feedback that it is using to adapt program policies and improve performance.","author":[{"dropping-particle":"","family":"Callaghan-Koru","given":"Jennifer a","non-dropping-particle":"","parse-names":false,"suffix":""},{"dropping-particle":"","family":"Gilroy","given":"Kate","non-dropping-particle":"","parse-names":false,"suffix":""},{"dropping-particle":"","family":"Hyder","given":"Adnan a","non-dropping-particle":"","parse-names":false,"suffix":""},{"dropping-particle":"","family":"George","given":"Asha","non-dropping-particle":"","parse-names":false,"suffix":""},{"dropping-particle":"","family":"Nsona","given":"Humphreys","non-dropping-particle":"","parse-names":false,"suffix":""},{"dropping-particle":"","family":"Mtimuni","given":"Angella","non-dropping-particle":"","parse-names":false,"suffix":""},{"dropping-particle":"","family":"Zakeyo","given":"Bernie","non-dropping-particle":"","parse-names":false,"suffix":""},{"dropping-particle":"","family":"Mayani","given":"Josiah","non-dropping-particle":"","parse-names":false,"suffix":""},{"dropping-particle":"","family":"Cardemil","given":"Cristina","non-dropping-particle":"","parse-names":false,"suffix":""},{"dropping-particle":"","family":"Bryce","given":"Jennifer","non-dropping-particle":"","parse-names":false,"suffix":""}],"container-title":"BMC health services research","id":"ITEM-1","issue":"1","issued":{"date-parts":[["2013"]]},"page":"55","title":"Health systems supports for community case management of childhood illness: lessons from an assessment of early implementation in Malawi.","type":"article-journal","volume":"13"},"uris":["http://www.mendeley.com/documents/?uuid=365c7ead-25b1-4b3a-b3fe-1e61a83ab885"]},{"id":"ITEM-2","itemData":{"DOI":"10.3402/gha.v8.24271","ISSN":"16549880","PMID":"25843496","abstract":"Background: In Uganda maternal and neonatal mortality remains high due to a number of factors, including poor quality of care at health facilities. Objective: This paper describes the experience of building capacity for maternal and newborn care at a district hospital and lower-level health facilities in eastern Uganda within the existing system parameters and a robust community outreach programme. Design: This health system strengthening study, part of the Uganda Newborn Study (UNEST), aimed to increase frontline health worker capacity through district-led training, support supervision, and mentoring at one district hospital and 19 lower-level facilities. A once-off supply of essential medicines and equipment was provided to address immediate critical gaps. Health workers were empowered to requisition subsequent supplies through use of district resources. Minimal infrastructure adjustments were provided. Quantitative data collection was done within routine process monitoring and qualitative data were collected during support supervision visits. We use the World Health Organization Health System Building Blocks to describe the process of district-led health facility strengthening. Results: Seventy two per cent of eligible health workers were trained. The mean post-training knowledge score was 68% compared to 32% in the pre-training test, and 80% 1 year later. Health worker skills and competencies in care of high-risk babies improved following support supervision and mentoring. Health facility deliveries increased from 3,151 to 4,115 (a 30% increase) in 2 years. Of 547 preterm babies admitted to the newly introduced kangaroo mother care (KMC) unit, 85% were discharged alive to continue KMC at home. There was a non-significant declining trend for in-hospital neonatal deaths across the 2-year study period. While equipment levels remained high after initial improvement efforts, maintaining supply of even the most basic medications was a challenge, with less than 40% of health facilities reporting no stock-outs. Conclusion: Health system strengthening for care at birth and the newborn period is possible even in lowresource settings and can be associated with improved utilisation and outcomes. Through a participatory process with wide engagement, training, and improvements to support supervision and logistics, health workers were able to change behaviours and practices for maternal and newborn care. Local solutions are needed to ensure sustainability of medic…","author":[{"dropping-particle":"","family":"Namazzi","given":"Gertrude","non-dropping-particle":"","parse-names":false,"suffix":""},{"dropping-particle":"","family":"Waiswa","given":"Peter","non-dropping-particle":"","parse-names":false,"suffix":""},{"dropping-particle":"","family":"Nakakeeto","given":"Margaret","non-dropping-particle":"","parse-names":false,"suffix":""},{"dropping-particle":"","family":"Nakibuuka","given":"Victoria K.","non-dropping-particle":"","parse-names":false,"suffix":""},{"dropping-particle":"","family":"Namutamba","given":"Sarah","non-dropping-particle":"","parse-names":false,"suffix":""},{"dropping-particle":"","family":"Najjemba","given":"Maria","non-dropping-particle":"","parse-names":false,"suffix":""},{"dropping-particle":"","family":"Namusaabi","given":"Ruth","non-dropping-particle":"","parse-names":false,"suffix":""},{"dropping-particle":"","family":"Tagoola","given":"Abner","non-dropping-particle":"","parse-names":false,"suffix":""},{"dropping-particle":"","family":"Nakate","given":"Grace","non-dropping-particle":"","parse-names":false,"suffix":""},{"dropping-particle":"","family":"Ajeani","given":"Judith","non-dropping-particle":"","parse-names":false,"suffix":""},{"dropping-particle":"","family":"Peterson","given":"Stefan","non-dropping-particle":"","parse-names":false,"suffix":""},{"dropping-particle":"","family":"Byaruhanga","given":"Romano N.","non-dropping-particle":"","parse-names":false,"suffix":""}],"container-title":"Global Health Action","id":"ITEM-2","issue":"1","issued":{"date-parts":[["2015"]]},"publisher":"Co-Action Publishing","title":"Strengthening health facilities for maternal and newborn care: Experiences from rural eastern Uganda","type":"article-journal","volume":"8"},"uris":["http://www.mendeley.com/documents/?uuid=1fe540b1-651a-3b6a-aada-a5584bca99af"]},{"id":"ITEM-3","itemData":{"author":[{"dropping-particle":"","family":"Global Fund","given":"","non-dropping-particle":"","parse-names":false,"suffix":""},{"dropping-particle":"","family":"WHO","given":"","non-dropping-particle":"","parse-names":false,"suffix":""},{"dropping-particle":"","family":"UNICEF","given":"","non-dropping-particle":"","parse-names":false,"suffix":""}],"id":"ITEM-3","issued":{"date-parts":[["2018"]]},"title":"Integrated Community Case Management (iCCM) in Sub-Saharan Africa: Successes &amp; Challenges with Access, Speed &amp; Quality Thematic review report","type":"report"},"uris":["http://www.mendeley.com/documents/?uuid=cdd8cc09-fda0-3226-b6c3-baca7bae910b"]},{"id":"ITEM-4","itemData":{"author":[{"dropping-particle":"","family":"World Health Organization","given":"","non-dropping-particle":"","parse-names":false,"suffix":""}],"container-title":"WHO Evaluation Office,","id":"ITEM-4","issue":"May","issued":{"date-parts":[["2018"]]},"number-of-pages":"1- 157","title":"Summative evaluation of the WHO Rapid Access Expansion Initiative Volume 3 : Country Briefs","type":"report","volume":"3"},"uris":["http://www.mendeley.com/documents/?uuid=4bf4f451-b078-38e8-b60a-69b39e08b04e"]},{"id":"ITEM-5","itemData":{"DOI":"10.1177/0046958018798493","ISSN":"00469580","PMID":"30215263","abstract":"With health worker shortages in rural areas, community health workers (CHWs) are instrumental to the sustainability of primary health care and to the ability to meet health needs. Identifying appropriate operational models and incentive structures is an important element of long-term success. This article reports on CHWs’ work demands and affective response to their volunteer work within the broader context of their livelihoods in Madagascar. A cross-sectional survey of 874 CHWs, called Agents de Santé Communautaire (ACs), from 14 districts across 5 regions was conducted in June 2015. Only 44% of ACs had cash savings. Subsistence farming was the main livelihood strategy; ninety-two percent of ACs were food insecure and 89% had experienced a shock in the past year. Overall, 77% of ACs financed commodity resupply through sales of health products and 18% from their personal savings; stock-outs at point of supply and financial and time constraints were the main reported challenges in getting health products. The average satisfaction score with AC work was 3 out of 4. This assessment from Madagascar helps unveil a more comprehensive view of the reality of CHWs’ lives. Managers need to take into account the potential implications of the demands of CHW work on already precarious livelihoods.","author":[{"dropping-particle":"","family":"Brunie","given":"Aurélie","non-dropping-particle":"","parse-names":false,"suffix":""},{"dropping-particle":"","family":"Mercer","given":"Sarah","non-dropping-particle":"","parse-names":false,"suffix":""},{"dropping-particle":"","family":"Chen","given":"Mario","non-dropping-particle":"","parse-names":false,"suffix":""},{"dropping-particle":"","family":"Andrianantoandro","given":"Tokinirina","non-dropping-particle":"","parse-names":false,"suffix":""}],"container-title":"Inquiry (United States)","id":"ITEM-5","issued":{"date-parts":[["2018","1","1"]]},"page":"1-8","publisher":"SAGE Publications Inc.","title":"Expanding understanding of community health worker programs: A cross-sectional survey on the work, satisfaction, and livelihoods of CHWs in Madagascar","type":"article-journal","volume":"55"},"uris":["http://www.mendeley.com/documents/?uuid=0c7581d5-6638-3d87-b97d-ed8da9a2d37a"]},{"id":"ITEM-6","itemData":{"author":[{"dropping-particle":"","family":"Village Reach","given":"","non-dropping-particle":"","parse-names":false,"suffix":""}],"id":"ITEM-6","issue":"October","issued":{"date-parts":[["2015"]]},"number-of-pages":"1-59","title":"Exploring New Distribution Models for Vaccines and other Health Commodities Adapted to the on the Ground Realities of the Equateur and Tshuapa Provinces , Democratic Republic of Congo","type":"report"},"uris":["http://www.mendeley.com/documents/?uuid=54537a97-5da5-3cc2-9f22-6bfb239fc036"]},{"id":"ITEM-7","itemData":{"ISBN":"9781920618315","author":[{"dropping-particle":"","family":"Doherty","given":"Tanya","non-dropping-particle":"","parse-names":false,"suffix":""},{"dropping-particle":"","family":"Besada","given":"D","non-dropping-particle":"","parse-names":false,"suffix":""},{"dropping-particle":"","family":"Zembe","given":"W","non-dropping-particle":"","parse-names":false,"suffix":""},{"dropping-particle":"","family":"Daniels","given":"K","non-dropping-particle":"","parse-names":false,"suffix":""},{"dropping-particle":"","family":"Kinney","given":"M","non-dropping-particle":"","parse-names":false,"suffix":""},{"dropping-particle":"","family":"Kerber","given":"K","non-dropping-particle":"","parse-names":false,"suffix":""},{"dropping-particle":"","family":"Daviaud","given":"E","non-dropping-particle":"","parse-names":false,"suffix":""},{"dropping-particle":"","family":"Rohde","given":"S","non-dropping-particle":"","parse-names":false,"suffix":""},{"dropping-particle":"","family":"Ngandu","given":"N","non-dropping-particle":"","parse-names":false,"suffix":""},{"dropping-particle":"","family":"Jackson","given":"D","non-dropping-particle":"","parse-names":false,"suffix":""}],"id":"ITEM-7","issued":{"date-parts":[["2014"]]},"title":"Report on the summative external evaluation of the Integrated Health System Strengthening programme in Ethiopia, Mali, Mozambique, Ghana, Malawi and Niger","type":"report"},"uris":["http://www.mendeley.com/documents/?uuid=94986425-7399-348b-95f8-c3ff8107c94a"]},{"id":"ITEM-8","itemData":{"author":[{"dropping-particle":"","family":"Ndou","given":"T","non-dropping-particle":"","parse-names":false,"suffix":""},{"dropping-particle":"van","family":"Zyl","given":"G","non-dropping-particle":"","parse-names":false,"suffix":""},{"dropping-particle":"","family":"Hlahane","given":"S","non-dropping-particle":"","parse-names":false,"suffix":""},{"dropping-particle":"","family":"Goudge","given":"J","non-dropping-particle":"","parse-names":false,"suffix":""}],"container-title":"Global Health Action","id":"ITEM-8","issue":"19228","issued":{"date-parts":[["2013"]]},"note":"Using Smart Source Parsing\n15 ref","title":"A rapid assessment of a community health worker pilot programme to improve the management of hypertension and diabetes in Emfuleni sub-district of Gauteng Province, South Africa. (Special Issue: Building new knowledge.)","type":"article-journal","volume":"6"},"uris":["http://www.mendeley.com/documents/?uuid=0dddc598-c1f5-4a20-95a1-645eb3ee79fe"]},{"id":"ITEM-9","itemData":{"author":[{"dropping-particle":"","family":"Baldridge","given":"A","non-dropping-particle":"","parse-names":false,"suffix":""},{"dropping-particle":"","family":"Orji","given":"A","non-dropping-particle":"","parse-names":false,"suffix":""},{"dropping-particle":"","family":"Omitiran","given":"K","non-dropping-particle":"","parse-names":false,"suffix":""},{"dropping-particle":"","family":"Guo","given":"M","non-dropping-particle":"","parse-names":false,"suffix":""},{"dropping-particle":"","family":"Ajisegiri","given":"S","non-dropping-particle":"","parse-names":false,"suffix":""},{"dropping-particle":"","family":"Ojo","given":"T","non-dropping-particle":"","parse-names":false,"suffix":""},{"dropping-particle":"","family":"Kandula","given":"N","non-dropping-particle":"","parse-names":false,"suffix":""},{"dropping-particle":"","family":"Hirschhorn","given":"L","non-dropping-particle":"","parse-names":false,"suffix":""},{"dropping-particle":"","family":"Huffman","given":"M","non-dropping-particle":"","parse-names":false,"suffix":""},{"dropping-particle":"","family":"Ojji","given":"D","non-dropping-particle":"","parse-names":false,"suffix":""}],"container-title":"Health Services Research","id":"ITEM-9","issued":{"date-parts":[["2020"]]},"note":"Academy Health Annual Research Meeting, ARM 2020","page":"67","title":"Capacity and site readiness for hypertension control program implementation in the federal capital territory of Nigeria: A cross-sectional study","type":"article-journal","volume":"55 (SUPPL "},"uris":["http://www.mendeley.com/documents/?uuid=c05a0d01-3683-433a-af0e-d992d120a6df"]},{"id":"ITEM-10","itemData":{"DOI":"10.1080/13625187.2017.1394453","ISBN":"1362-5187","abstract":"Purpose: To identify and assess factors determining the functioning of supply chain systems for modern contraception in low-and middle-income countries (LMICs), and to identify challenges contributing to contraception stockouts that may lead to unmet need. Materials and methods: Scientific databases and grey literature were searched including Database of Abstracts of Reviews of Effectiveness (DARE), PubMed, MEDLINE, POPLINE, CINAHL, Academic Search Complete, Science Direct, Web of Science, Cochrane Central, Google Scholar, WHO databases and websites of key international organisations. Results: Studies indicated that supply chain system inefficiencies significantly affect availability of modern FP and contraception commodities in LMICs, especially in rural public facilities where distribution barriers may be acute. Supply chain failures or bottlenecks may be attributed to: weak and poorly institutionalized logistic management information systems (LMIS), poor physical infrastructures in LMICs, lack of trained and dedicated staff for supply chain management, inadequate funding, and rigid government policies on task sharing. However, there is evidence that implementing effective LMISs and involving public and private providers will distribution channels resulted in reduction in medical commodities' stockout rates. Conclusions: Supply chain bottlenecks contribute significantly to persistent high stockout rates for modern contraceptives in LMICs. Interventions aimed at enhancing uptake of contraceptives to reduce the problem of unmet need in LMICs should make strong commitments towards strengthening these countries' health commodities supply chain management systems. Current evidence is limited and additional, and well-designed implementation research on contraception supply chain systems is warranted to gain further understanding and insights on the determinants of supply chain bottlenecks and their impact on stockouts of contraception commodities.","author":[{"dropping-particle":"","family":"Mukasa","given":"B","non-dropping-particle":"","parse-names":false,"suffix":""},{"dropping-particle":"","family":"Ali","given":"M","non-dropping-particle":"","parse-names":false,"suffix":""},{"dropping-particle":"","family":"Farron","given":"M","non-dropping-particle":"","parse-names":false,"suffix":""},{"dropping-particle":"","family":"Weerdt","given":"R","non-dropping-particle":"Van de","parse-names":false,"suffix":""}],"container-title":"European Journal of Contraception and Reproductive Health Care","id":"ITEM-10","issue":"5","issued":{"date-parts":[["2017"]]},"note":"Mukasa, Bakali Ali, Moazzam Farron, Madeline Van de Weerdt, Renee\nAli, Moazzam/0000-0001-6949-8976\n1473-0782","page":"384-390","title":"Contraception supply chain challenges: a review of evidence from low- and middle-income countries","type":"article-journal","volume":"22"},"uris":["http://www.mendeley.com/documents/?uuid=82f9cbf9-baa4-4d39-a277-8a73269b7ef6"]},{"id":"ITEM-11","itemData":{"author":[{"dropping-particle":"","family":"Anand","given":"A","non-dropping-particle":"","parse-names":false,"suffix":""},{"dropping-particle":"","family":"Favero","given":"R","non-dropping-particle":"","parse-names":false,"suffix":""},{"dropping-particle":"","family":"Dentinger","given":"C","non-dropping-particle":"","parse-names":false,"suffix":""},{"dropping-particle":"","family":"Ralaivaomisa","given":"A","non-dropping-particle":"","parse-names":false,"suffix":""},{"dropping-particle":"","family":"Ramamonjisoa","given":"S","non-dropping-particle":"","parse-names":false,"suffix":""},{"dropping-particle":"","family":"Rabozakandraina","given":"O","non-dropping-particle":"","parse-names":false,"suffix":""},{"dropping-particle":"","family":"Razafimandimby","given":"E","non-dropping-particle":"","parse-names":false,"suffix":""},{"dropping-particle":"","family":"Razafindrakoto","given":"J","non-dropping-particle":"","parse-names":false,"suffix":""},{"dropping-particle":"","family":"Katherine","given":"W","non-dropping-particle":"","parse-names":false,"suffix":""},{"dropping-particle":"","family":"Steinhardt","given":"L","non-dropping-particle":"","parse-names":false,"suffix":""},{"dropping-particle":"","family":"Gomez","given":"P","non-dropping-particle":"","parse-names":false,"suffix":""},{"dropping-particle":"","family":"Rabary","given":"M","non-dropping-particle":"","parse-names":false,"suffix":""},{"dropping-particle":"","family":"Andriamananjara","given":"M N","non-dropping-particle":"","parse-names":false,"suffix":""},{"dropping-particle":"","family":"Mioramalala","given":"S A","non-dropping-particle":"","parse-names":false,"suffix":""},{"dropping-particle":"","family":"Rakotovao","given":"J P","non-dropping-particle":"","parse-names":false,"suffix":""}],"container-title":"Malaria Journal","id":"ITEM-11","issue":"351","issued":{"date-parts":[["2020"]]},"note":"Using Smart Source Parsing\n(01 October 2020). 31 ref","title":"Malaria case management and elimination readiness in health facilities of five districts of Madagascar in 2018","type":"article-journal","volume":"19"},"uris":["http://www.mendeley.com/documents/?uuid=6096a079-7318-418d-9adf-96cd567cb659"]},{"id":"ITEM-12","itemData":{"author":[{"dropping-particle":"","family":"Rao","given":"V B","non-dropping-particle":"","parse-names":false,"suffix":""},{"dropping-particle":"","family":"Schellenberg","given":"D","non-dropping-particle":"","parse-names":false,"suffix":""},{"dropping-particle":"","family":"Ghani","given":"A C","non-dropping-particle":"","parse-names":false,"suffix":""}],"container-title":"Trends in Parasitology","id":"ITEM-12","issue":"4","issued":{"date-parts":[["2013"]]},"note":"Using Smart Source Parsing\n112 ref","page":"164-180","title":"Overcoming health systems barriers to successful malaria treatment","type":"article-journal","volume":"29"},"uris":["http://www.mendeley.com/documents/?uuid=e439b55a-a3db-4e91-9800-7fb414f719e1"]},{"id":"ITEM-13","itemData":{"DOI":"10.1186/s12936-017-1793-0","ISBN":"1475-2875","abstract":"Background: The containment of artemisinin resistance in Myanmar, historically an important probable origin and route of anti-malarial resistance to the India sub-continent and beyond, is crucial to global malaria control and elimination. This paper describes what is currently known about the sale and distribution of oral artemisinin monotherapy (AMT) across Myanmar, where this medicine is commonly found. Methods: A nationally representative 2015 outlet survey was conducted in the private sector, and among community health workers across four geographical domains. A national sample of outlets was screened for availability of malaria testing and treatment, and an audit was completed for all anti-malarials. Results: A total of 3859 outlets across Myanmar had an anti-malarial in stock on the day of survey. Of the 3859 anti-malarial stocking outlets, 988 outlets stocked oral AMT. Availability of oral AMT was highest among outlets in the Western border (36.8%) versus other domains (Eastern, 15.0%; Central, 19.3% Coastal, 10.7%). Over 90% of the oral AMT service delivery points were private sector outlets: general retailers (49.4%), pharmacies (23.5%), and itinerant drug vendors (14.2%). Eleven unique oral AMT products were audited. The most common product audited was -Artesunate (R), manufactured by Mediplantex in Vietnam, which accounted for 79.9% of the oral AMT market share. Other oral AMT products were manufactured in China and in Myanmar. Over 60% of oral AMT products had a shelf life at purchase of greater than 2 years and only 14.7% were expired. The median number of oral AMT tablets typically dispensed to treat malaria was two tablets, approximately one tenth of a full adult course. The median price of a 50 mg tablet was $0.16. Conclusions: Given the high availability and distribution of oral AMT, it is possible that Myanmar has become the last remaining viable market for any oral AMT in the region for manufacturers. National and international organizations need to act quickly and effectively to stop the production and distribution to both improve malaria control within Myanmar and reduce risk of artemisinin resistance spreading to India and Africa.","author":[{"dropping-particle":"","family":"Thein","given":"S T","non-dropping-particle":"","parse-names":false,"suffix":""},{"dropping-particle":"","family":"Khin","given":"H S S","non-dropping-particle":"","parse-names":false,"suffix":""},{"dropping-particle":"","family":"Thi","given":"A","non-dropping-particle":"","parse-names":false,"suffix":""},{"dropping-particle":"","family":"Grp","given":"A CTwatch","non-dropping-particle":"","parse-names":false,"suffix":""}],"container-title":"Malaria Journal","id":"ITEM-13","issued":{"date-parts":[["2017"]]},"note":"Thein, Si Thu Khin, Hnin Su Su Aung Thi\nThein, Si Thu/S-7163-2019\nRusk, Andria/0000-0003-3485-084X; Thein, Si Thu/0000-0002-0022-160X; Bates, Katie/0000-0002-3118-4637; Bouanchaud, Paul/0000-0002-8920-8742; Ogada, Edna/0000-0003-0181-2505; Kyomuhangi, Irene/0000-0002-2797-015X","title":"Insights into the availability and distribution of oral artemisinin monotherapy in Myanmar: evidence from a nationally representative outlet survey","type":"article-journal","volume":"16"},"uris":["http://www.mendeley.com/documents/?uuid=ec46ccc7-5ab4-4204-8e43-9d5b86b0676b"]},{"id":"ITEM-14","itemData":{"author":[{"dropping-particle":"","family":"Miller","given":"N P","non-dropping-particle":"","parse-names":false,"suffix":""},{"dropping-particle":"","family":"Zunong","given":"N","non-dropping-particle":"","parse-names":false,"suffix":""},{"dropping-particle":"","family":"Al-Sorouri","given":"T A A","non-dropping-particle":"","parse-names":false,"suffix":""},{"dropping-particle":"","family":"Alqadasi","given":"Y M","non-dropping-particle":"","parse-names":false,"suffix":""},{"dropping-particle":"","family":"Ashraf","given":"S","non-dropping-particle":"","parse-names":false,"suffix":""},{"dropping-particle":"","family":"Siameja","given":"C","non-dropping-particle":"","parse-names":false,"suffix":""}],"container-title":"Journal of Global Health","id":"ITEM-14","issue":"2","issued":{"date-parts":[["2020"]]},"note":"Using Smart Source Parsing\n24 ref","title":"Implementing integrated community case management during conflict in Yemen. (Research Theme: Community health in emergencies.)","type":"article-journal","volume":"10"},"uris":["http://www.mendeley.com/documents/?uuid=43c222ef-9049-43aa-a753-2d4b57b7c828"]},{"id":"ITEM-15","itemData":{"DOI":"10.3402/gha.v8.25772","ISBN":"1654-9880","abstract":"Background: Routine immunization (RI) is a key child survival intervention. Ensuring acceptable standards of RI service delivery is critical for optimal outcomes. Accumulated evidences suggest that 'supportive supervision' improves the quality of health care services in general. During 2009-2010, the Government of Odisha and UNICEF jointly piloted this strategy in four districts to improve RI program outcomes. The present study aims to assess the effect of this strategy on improvement of skills and practices at immunization session sites. Design: Aquasi-experimental 'post-test only' study design was adopted to compare the opinion and practices of frontline health workers and their supervisors in four intervention districts (IDs) with two control districts (CDs). Altogether, we interviewed 111 supervisor-supervisee (health worker) pairs using semi-structured interview schedules and case vignettes. We also directly observed health workers' practices during immunization sessions at 111 sites. Data were analyzed with SPSS version 16.0. Results: The mean knowledge score of supervisors in CDs was significantly higher than in intervention groups. Variegated responses were obtained on case vignettes. The control group performed better in solving certain hypothetically asked problems, whereas the intervention group scored better in others. Health workers in IDs gave a lower rating to their respective supervisors' knowledge, skill, and frequency of supervision. Logistics and vaccine availability were better in CDs. Conclusion: Notwithstanding other limitations, supportive supervision may not have independent effects on improving the quality of immunization services. Addressing systemic issues, such as the availability of essential logistics, supply chain management, timely indenting, and financial resources, could complement the supportive supervision strategy in improving immunization service delivery.","author":[{"dropping-particle":"","family":"Panda","given":"B","non-dropping-particle":"","parse-names":false,"suffix":""},{"dropping-particle":"","family":"Pati","given":"S","non-dropping-particle":"","parse-names":false,"suffix":""},{"dropping-particle":"","family":"Nallala","given":"S","non-dropping-particle":"","parse-names":false,"suffix":""},{"dropping-particle":"","family":"Chauhan","given":"A S","non-dropping-particle":"","parse-names":false,"suffix":""},{"dropping-particle":"","family":"Anasuya","given":"A","non-dropping-particle":"","parse-names":false,"suffix":""},{"dropping-particle":"","family":"Som","given":"M","non-dropping-particle":"","parse-names":false,"suffix":""},{"dropping-particle":"","family":"Zodpey","given":"S","non-dropping-particle":"","parse-names":false,"suffix":""}],"container-title":"Global Health Action","id":"ITEM-15","issued":{"date-parts":[["2015"]]},"note":"Panda, Bhuputra Pati, Sanghamitra Nallala, Srinivas Chauhan, Abhimanyu S. Anasuya, Anita Som, Meena Zodpey, Sanjay\nPati, Sanghamitra/0000-0002-7717-5592; Panda, Bhuputra/0000-0001-9024-3126","title":"How supportive supervision influences immunization session site practices: a quasi-experimental study in Odisha, India","type":"article-journal","volume":"8"},"uris":["http://www.mendeley.com/documents/?uuid=80ef74c4-48d0-4a23-afe2-388aab4cad8b"]},{"id":"ITEM-16","itemData":{"DOI":"10.1111/tmi.12314","ISSN":"13653156","PMID":"24724617","abstract":"To assess the relationship between health system factors and facility-level EHP stock-outs in Mozambique. Service provisions were assessed in 26 health facilities and 13 district warehouses in Sofala Province, Mozambique, from July to August in 2011-2013. Generalised estimating equations were used to model factors associated with facility-level availability of essential drugs, supplies and equipment. Stock-out rates for drugs ranged from 1.3% for oral rehydration solution to 20.5% for Depo-Provera and condoms, with a mean stock-out rate of 9.1%; mean stock-out rates were 15.4% for supplies and 4.1% for equipment. Stock-outs at the district level accounted for 27.1% (29/107) of facility-level drug stock-outs and 44.0% (37/84) of supply stock-outs. Each 10-km increase in the distance from district distribution warehouses was associated with a 31% (CI: 22-42%), 28% (CI: 17-40%) or 27% (CI: 7-50%) increase in rates of drug, supply or equipment stock-outs, respectively. The number of heath facility staff was consistently negatively associated with the occurrence of stock-outs. Facility-level stock-outs of EHPs in Mozambique are common and appear to disproportionately affect those living far from district capitals and near facilities with few health staff. The majority of facility-level EHP stock-outs in Mozambique occur when stock exists at the district distribution centre. Innovative methods are urgently needed to improve EHP supply chains, requesting and ordering of drugs, facility and district communication, and forecasting of future EHP needs in Mozambique. Increased investments in public-sector human resources for health could potentially decrease the occurrence of EHP stock-outs. © 2014 John Wiley &amp; Sons Ltd.","author":[{"dropping-particle":"","family":"Wagenaar","given":"Bradley H.","non-dropping-particle":"","parse-names":false,"suffix":""},{"dropping-particle":"","family":"Gimbel","given":"Sarah","non-dropping-particle":"","parse-names":false,"suffix":""},{"dropping-particle":"","family":"Hoek","given":"Roxanne","non-dropping-particle":"","parse-names":false,"suffix":""},{"dropping-particle":"","family":"Pfeiffer","given":"James","non-dropping-particle":"","parse-names":false,"suffix":""},{"dropping-particle":"","family":"Michel","given":"Cathy","non-dropping-particle":"","parse-names":false,"suffix":""},{"dropping-particle":"","family":"Manuel","given":"João Luis","non-dropping-particle":"","parse-names":false,"suffix":""},{"dropping-particle":"","family":"Cuembelo","given":"Fatima","non-dropping-particle":"","parse-names":false,"suffix":""},{"dropping-particle":"","family":"Quembo","given":"Titos","non-dropping-particle":"","parse-names":false,"suffix":""},{"dropping-particle":"","family":"Afonso","given":"Pires","non-dropping-particle":"","parse-names":false,"suffix":""},{"dropping-particle":"","family":"Gloyd","given":"Stephen","non-dropping-particle":"","parse-names":false,"suffix":""},{"dropping-particle":"","family":"Sherr","given":"Kenneth","non-dropping-particle":"","parse-names":false,"suffix":""}],"container-title":"Tropical medicine &amp; international health : TM &amp; IH","id":"ITEM-16","issue":"7","issued":{"date-parts":[["2014"]]},"page":"791-801","publisher":"Trop Med Int Health","title":"Stock-outs of essential health products in Mozambique - longitudinal analyses from 2011 to 2013.","type":"article-journal","volume":"19"},"uris":["http://www.mendeley.com/documents/?uuid=6d1ec21d-5649-3384-b5b7-28d9ca56278d"]},{"id":"ITEM-17","itemData":{"ISSN":"0030-4018","abstract":"Recently a novel method has been proposed for the calculation of the\\nscattering of an incoming electromagnetic wave by an arbitrarily shaped\\nphotonic crystal. The method rests on the representation of an arbitrary\\nelectromagnetic field inside a volume V by a fictitious surface current\\ndistribution along the boundary of this volume which acts as a source\\nfor a point response tensor for the medium. The validity of such a\\nrepresentation is rigorously proven. (C) 2004 Elsevier B.V. All rights\\nreserved.","author":[{"dropping-particle":"","family":"Smith","given":"Sarah","non-dropping-particle":"","parse-names":false,"suffix":""},{"dropping-particle":"","family":"Agarwal","given":"Aarti","non-dropping-particle":"","parse-names":false,"suffix":""},{"dropping-particle":"","family":"Crigler","given":"Lauren","non-dropping-particle":"","parse-names":false,"suffix":""},{"dropping-particle":"","family":"Gallo","given":"Maria","non-dropping-particle":"","parse-names":false,"suffix":""},{"dropping-particle":"","family":"Finlay","given":"Alyssa","non-dropping-particle":"","parse-names":false,"suffix":""},{"dropping-particle":"","family":"Homsi","given":"Francis Antonio","non-dropping-particle":"","parse-names":false,"suffix":""},{"dropping-particle":"","family":"Lanford","given":"Emily","non-dropping-particle":"","parse-names":false,"suffix":""},{"dropping-particle":"","family":"Wiskow","given":"Christiane","non-dropping-particle":"","parse-names":false,"suffix":""},{"dropping-particle":"","family":"Wuliji","given":"Tana","non-dropping-particle":"","parse-names":false,"suffix":""}],"id":"ITEM-17","issue":"EnCompass LLC","issued":{"date-parts":[["2013"]]},"title":"Community Health Volunteer Program Functionality and Performance in Madascar: A Synthesis of Qualtative and Quantitative Assessments","type":"report"},"uris":["http://www.mendeley.com/documents/?uuid=fbe0a5b2-b97e-39d9-ab60-c3b8de0943cb"]},{"id":"ITEM-18","itemData":{"DOI":"10.1186/1472-6963-7-86","ISSN":"14726963","PMID":"17573958","abstract":"Background. In Malawi essential drugs are provided free of charge to patients at all public health facilities in order to ensure equitable access to health care. The country thereby spends about 30% of the national health budget on drugs. In order to investigate the level of drug shortages and eventually find the reasons for the drugs shortages in Malawi, we studied the management of the drug supplies for common and life threatening diseases such as pneumonia and malaria in a random selection of health centres. Methods. In July and August 2005 we visited eight out of a total of 37 health centres chosen at random in the Lilongwe District, Malawi. We recorded the logistics of eight essential and widely used drugs which according to the treatment guidelines should be available at all health centres. Five drugs are used regularly to treat pneumonia and three others to treat acute malaria. Out-of-stock situations in the course of one year were recorded retrospectively. We compared the quantity of each drug recorded on the Stock Cards with the actual stock of the drug on the shelves at the time of audit. We reviewed 8,968 Patient Records containing information on type and amount of drugs prescribed during one month. Results. On average, drugs for treating pneumonia were out of stock for six months during one year of observation (median value 167 days); anti-malarial drugs were lacking for periods ranging from 42 to138 days. The cross-sectional audit was even more negative, but here too the situation was more positive for anti-malarial drugs. The main reason for the shortage of drugs was insufficient deliveries from the Regional Medical Store. Benzyl penicillin was in shortest supply (4% received). The median value for non-availability was 240 days in the course of a year. The supply was better for anti-malarial drugs, except for quinine injections (9 %). Only 66 % of Stock Card records of quantities received were reflected in Patient Records showing quantities dispensed. Conclusion. We conclude that for the eight index drugs the levels of supply are unacceptable. The main reason for the observed shortage of drugs at the health centres was insufficient deliveries from the Regional Medical Store. A difference between the information recorded on the Stock Cards at the health centres and that recorded in the Patient Records may have contributed to the overall poor drug supply situation. In order to ensure equitable access to life saving drugs, logistics in genera…","author":[{"dropping-particle":"","family":"Lufesi","given":"Norman N.","non-dropping-particle":"","parse-names":false,"suffix":""},{"dropping-particle":"","family":"Andrew","given":"Marit","non-dropping-particle":"","parse-names":false,"suffix":""},{"dropping-particle":"","family":"Aursnes","given":"Ivar","non-dropping-particle":"","parse-names":false,"suffix":""}],"container-title":"BMC Health Services Research","id":"ITEM-18","issue":"1","issued":{"date-parts":[["2007","12","15"]]},"page":"86","publisher":"BioMed Central","title":"Deficient supplies of drugs for life threatening diseases in an African community","type":"article-journal","volume":"7"},"uris":["http://www.mendeley.com/documents/?uuid=c6a12f10-cc99-3b74-a2c3-346d4bee1e39"]},{"id":"ITEM-19","itemData":{"DOI":"10.1080/16549716.2017.1327256","ISSN":"16549880","PMID":"28581379","abstract":"Background: Poor quality of care and access to effective and affordable interventions have been attributed to constraints and bottlenecks within and outside the health system. However, there is limited understanding of health system barriers to utilization and delivery of appropriate, highimpact, and cost-effective interventions at the point of service delivery in districts and sub-districts in low-income countries. In this study we illustrate the use of the bottleneck analysis approach, which could be used to identify bottlenecks in service delivery within the district health system. Methods: A modified Tanahashi model with six determinants for effective coverage was used to determine bottlenecks in service provision for maternal and newborn care. The following interventions provided during antenatal care were used as tracer interventions: use of iron and folic acid, intermittent presumptive treatment for malaria, HIV counseling and testing, and syphilis testing. Data from cross-sectional household and health facility surveys in Mayuge and Namayingo districts in Uganda were used in this study. Results: Effective coverage and human resource gaps were identified as the biggest bottlenecks in both districts, with coverage ranging from 0% to 66% for effective coverage and from 46% to 58% for availability of health facility staff. Our findings revealed a similar pattern in bottlenecks in both districts for particular interventions although the districts are functionally independent. Conclusion: The modified Tanahashi model is an analysis tool that can be used to identify bottlenecks to effective coverage within the district health system, for instance, the effective coverage for maternal and newborn care interventions. However, the analysis is highly dependent on the availability of data to populate all six determinants and could benefit from further validation analysis for the causes of bottlenecks identified.","author":[{"dropping-particle":"","family":"Henriksson","given":"Dorcus Kiwanuka","non-dropping-particle":"","parse-names":false,"suffix":""},{"dropping-particle":"","family":"Fredriksson","given":"Mio","non-dropping-particle":"","parse-names":false,"suffix":""},{"dropping-particle":"","family":"Waiswa","given":"Peter","non-dropping-particle":"","parse-names":false,"suffix":""},{"dropping-particle":"","family":"Selling","given":"Katarina","non-dropping-particle":"","parse-names":false,"suffix":""},{"dropping-particle":"","family":"Peterson","given":"Stefan Swartling","non-dropping-particle":"","parse-names":false,"suffix":""}],"container-title":"Global Health Action","id":"ITEM-19","issue":"1","issued":{"date-parts":[["2017"]]},"publisher":"Glob Health Action","title":"Bottleneck analysis at district level to illustrate gaps within the district health system in Uganda","type":"article-journal","volume":"10"},"uris":["http://www.mendeley.com/documents/?uuid=0d058283-1a35-31d3-ab97-8046ada65316"]},{"id":"ITEM-20","itemData":{"author":[{"dropping-particle":"","family":"Strachan","given":"C","non-dropping-particle":"","parse-names":false,"suffix":""},{"dropping-particle":"","family":"Wharton-Smith","given":"A","non-dropping-particle":"","parse-names":false,"suffix":""},{"dropping-particle":"","family":"Sinyangwe","given":"C","non-dropping-particle":"","parse-names":false,"suffix":""},{"dropping-particle":"","family":"Mubiru","given":"D","non-dropping-particle":"","parse-names":false,"suffix":""},{"dropping-particle":"","family":"Ssekitooleko","given":"J","non-dropping-particle":"","parse-names":false,"suffix":""},{"dropping-particle":"","family":"Meier","given":"J","non-dropping-particle":"","parse-names":false,"suffix":""},{"dropping-particle":"","family":"Gbanya","given":"M","non-dropping-particle":"","parse-names":false,"suffix":""},{"dropping-particle":"","family":"Tibenderana","given":"J K","non-dropping-particle":"","parse-names":false,"suffix":""},{"dropping-particle":"","family":"Counihan","given":"H","non-dropping-particle":"","parse-names":false,"suffix":""}],"container-title":"Journal of Global Health","id":"ITEM-20","issue":"2","issued":{"date-parts":[["2014"]]},"note":"Using Smart Source Parsing\n020404. 19 ref","title":"Integrated community case management of malaria, pneumonia and diarrhoea across three African countries: a qualitative study exploring lessons learnt and implications for further scale up. (Themed Issue: Current scientific evidence for integrated communit","type":"article-journal","volume":"4"},"uris":["http://www.mendeley.com/documents/?uuid=403cfebb-623e-4cf9-95dc-ddf76714c7f3"]},{"id":"ITEM-21","itemData":{"author":[{"dropping-particle":"","family":"Phiri","given":"S C","non-dropping-particle":"","parse-names":false,"suffix":""},{"dropping-particle":"","family":"Prust","given":"M L","non-dropping-particle":"","parse-names":false,"suffix":""},{"dropping-particle":"","family":"Chibawe","given":"C P","non-dropping-particle":"","parse-names":false,"suffix":""},{"dropping-particle":"","family":"Misapa","given":"R","non-dropping-particle":"","parse-names":false,"suffix":""},{"dropping-particle":"","family":"Broek","given":"J W","non-dropping-particle":"Van Den","parse-names":false,"suffix":""},{"dropping-particle":"","family":"Wilmink","given":"N","non-dropping-particle":"","parse-names":false,"suffix":""}],"container-title":"BMC Proceedings. Conference: 1st International Symposium on Community Health Workers. Uganda.","id":"ITEM-21","issue":"6 Supplement 1","issued":{"date-parts":[["2017"]]},"note":"Using Smart Source Parsing\n( (no pagination), Date of Publication: September 2017","title":"Assessing successes and challenges in the scale-up of a national, public sector community health worker cadre in Zambia: A qualitative study","type":"article-journal","volume":"11"},"uris":["http://www.mendeley.com/documents/?uuid=a3cc4ce0-39a3-4b6a-a286-e677366bcb55"]},{"id":"ITEM-22","itemData":{"author":[{"dropping-particle":"","family":"Shieshia","given":"M","non-dropping-particle":"","parse-names":false,"suffix":""},{"dropping-particle":"","family":"Noel","given":"M","non-dropping-particle":"","parse-names":false,"suffix":""},{"dropping-particle":"","family":"Andersson","given":"S","non-dropping-particle":"","parse-names":false,"suffix":""},{"dropping-particle":"","family":"Felling","given":"B","non-dropping-particle":"","parse-names":false,"suffix":""},{"dropping-particle":"","family":"Alva","given":"S","non-dropping-particle":"","parse-names":false,"suffix":""},{"dropping-particle":"","family":"Agarwal","given":"S","non-dropping-particle":"","parse-names":false,"suffix":""},{"dropping-particle":"","family":"Lefevre","given":"A","non-dropping-particle":"","parse-names":false,"suffix":""},{"dropping-particle":"","family":"Misomali","given":"A","non-dropping-particle":"","parse-names":false,"suffix":""},{"dropping-particle":"","family":"Chimphanga","given":"B","non-dropping-particle":"","parse-names":false,"suffix":""},{"dropping-particle":"","family":"Nsona","given":"H","non-dropping-particle":"","parse-names":false,"suffix":""},{"dropping-particle":"","family":"Chandani","given":"Y","non-dropping-particle":"","parse-names":false,"suffix":""}],"container-title":"Journal of Global Health","id":"ITEM-22","issue":"2","issued":{"date-parts":[["2014"]]},"note":"Using Smart Source Parsing\n020406. 15 ref","title":"Strengthening community health supply chain performance through an integrated approach: using mHealth technology and multilevel teams in Malawi. (Themed Issue: Current scientific evidence for integrated community case management (iCCM) in Africa: findings","type":"article-journal","volume":"4"},"uris":["http://www.mendeley.com/documents/?uuid=2e878905-6bf0-4e20-9e5a-4cb6e89d96f2"]},{"id":"ITEM-23","itemData":{"author":[{"dropping-particle":"","family":"Chandani","given":"Y","non-dropping-particle":"","parse-names":false,"suffix":""},{"dropping-particle":"","family":"Noel","given":"M","non-dropping-particle":"","parse-names":false,"suffix":""},{"dropping-particle":"","family":"Pomeroy","given":"A","non-dropping-particle":"","parse-names":false,"suffix":""},{"dropping-particle":"","family":"Andersson","given":"S","non-dropping-particle":"","parse-names":false,"suffix":""},{"dropping-particle":"","family":"Pahl","given":"M K","non-dropping-particle":"","parse-names":false,"suffix":""},{"dropping-particle":"","family":"Williams","given":"T","non-dropping-particle":"","parse-names":false,"suffix":""}],"container-title":"American Journal of Tropical Medicine and Hygiene","id":"ITEM-23","issue":"5 (Supplement","issued":{"date-parts":[["2012"]]},"note":"Using Smart Source Parsing\n13 ref","page":"120-126","title":"Factors affecting availability of essential medicines among community health workers in Ethiopia, Malawi, and Rwanda: solving the last mile puzzle. (Special supplement on Integrated Community Case Management.)","type":"article-journal","volume":"87"},"uris":["http://www.mendeley.com/documents/?uuid=b3bc4fc4-6baa-46d5-9472-660475305883"]},{"id":"ITEM-24","itemData":{"DOI":"http://dx.doi.org/10.1016/S2214-109X(16)00046-2","abstract":"Background: In September, 2012, the UN Commission on Life Saving Commodities (UNCoLSC) outlined a plan to expand availability and access to 13 life saving commodities. We profile global and country progress against these recommendations between 2012 and 2015. Methods: For 12 countries in sub-Saharan Africa that were off-track to achieve the Millennium Development Goals for maternal and child survival, we reviewed key documents and reference data, and conducted interviews with ministry staff and partners to assess the status of the UNCoLSC recommendations. The RMNCH fund provided short-term catalytic financing to support country plans to advance the commodity agenda, with activities coded by UNCoLSC recommendation. Our network of technical resource teams identified, addressed, and monitored progress against cross-cutting commodity-related challenges that needed coordinated global action. Findings: In 2014 and 2015, child and maternal health commodities had fewer bottlenecks than reproductive and neonatal commodities. Common bottlenecks included regulatory challenges (ten of 12 countries); poor quality assurance (11 of 12 countries); insufficient staff training (more than half of facilities on average); and weak supply chains systems (11 of 12 countries), with stock-outs of priority commodities in about 40% of facilities on average. The RMNCH fund committed US$175·7 million to 19 countries to support strategies addressing crucial gaps. $68·2 million (39·0%) of the funds supported systems-strengthening interventions with the remainder split across reproductive, maternal, newborn, and child health. Health worker training ($88·6 million, 50·4%), supply chain ($53·3 million, 30·0%), and demand generation ($21·1 million, 12·0%) were the major topics of focus. All priority commodities are now listed in the WHO Essential Medicines List; appropriate price reductions were secured; quality manufacturing was improved; a fast-track registration mechanism for prequalified products was established; and methods were developed for advocacy, quantifi- cation, demand generation, supply chain, and provider training. Slower progress was evident around regulatory harmonisation and quality assurance. Interpretation: Much work is needed to achieve full implementation of the UNCoLSC recommendations. Coordinated efforts to secure price reductions beyond the 13 commodities and improve regulatory effi- ciency, quality, and supply chains are still needed alongside broader disseminat…","author":[{"dropping-particle":"","family":"Pronyk","given":"Paul","non-dropping-particle":"","parse-names":false,"suffix":""},{"dropping-particle":"","family":"Nemser","given":"Benneth","non-dropping-particle":"","parse-names":false,"suffix":""},{"dropping-particle":"","family":"Maliqi","given":"Blerta","non-dropping-particle":"","parse-names":false,"suffix":""},{"dropping-particle":"","family":"Springstubb","given":"Nora","non-dropping-particle":"","parse-names":false,"suffix":""},{"dropping-particle":"","family":"Sera","given":"Diana","non-dropping-particle":"","parse-names":false,"suffix":""},{"dropping-particle":"","family":"Karimov","given":"Rouslan","non-dropping-particle":"","parse-names":false,"suffix":""},{"dropping-particle":"","family":"Katwan","given":"Elizabeth","non-dropping-particle":"","parse-names":false,"suffix":""},{"dropping-particle":"","family":"Walter","given":"Benedicte","non-dropping-particle":"","parse-names":false,"suffix":""},{"dropping-particle":"","family":"Bijleveld","given":"Pascal","non-dropping-particle":"","parse-names":false,"suffix":""}],"container-title":"Lancet Global Health","id":"ITEM-24","issue":"4","issued":{"date-parts":[["2016"]]},"language":"English","page":"e276-e286","title":"The UN Commission on Life Saving Commodities 3 years on: Global progress update and results of a multicountry assessment. TT -","type":"article-journal","volume":"4"},"uris":["http://www.mendeley.com/documents/?uuid=1ebdf555-aa8a-45a1-b66d-8e71d219811f"]},{"id":"ITEM-25","itemData":{"author":[{"dropping-particle":"","family":"Nabugoomu","given":"J","non-dropping-particle":"","parse-names":false,"suffix":""},{"dropping-particle":"","family":"Seruwagi","given":"G K","non-dropping-particle":"","parse-names":false,"suffix":""},{"dropping-particle":"","family":"Corbett","given":"K","non-dropping-particle":"","parse-names":false,"suffix":""},{"dropping-particle":"","family":"Horton","given":"S","non-dropping-particle":"","parse-names":false,"suffix":""},{"dropping-particle":"","family":"Hanning","given":"R","non-dropping-particle":"","parse-names":false,"suffix":""}],"container-title":"African Journal of Reproductive Health","id":"ITEM-25","issue":"3","issued":{"date-parts":[["2020"]]},"note":"Using Smart Source Parsing\n64 ref","page":"88-100","title":"Perceived opportunities and challenges of family and community members in supporting teen mothers in rural Eastern Uganda","type":"article-journal","volume":"24"},"uris":["http://www.mendeley.com/documents/?uuid=7861c759-b92f-443a-a7f4-a640a269d657"]},{"id":"ITEM-26","itemData":{"DOI":"10.1136/bmjopen-2020-040350","ISBN":"2044-6055","abstract":"Background/objective The increasing burden of non-communicable diseases (NCDs) in Nepal underscores the importance of strengthening primary healthcare systems to deliver efficient care. In this study, we examined the barriers and facilitators to engaging community health workers (CHWs) for NCDs prevention and control in Nepal. Design We used multiple approaches including (a) review of relevant literature, (b) key personnel and stakeholders' consultation meetings and (c) qualitative data collection using semistructured interviews. A grounded theory approach was used for qualitative data collection and the data were analysed thematically. Setting Data were collected from health facilities across four districts in Nepal and two stakeholder consultative meetings were conducted at central level. Participants We conducted in-depth interviews with CHWs (Health Assistants, Auxiliary Health Workers, Auxiliary Nurse Midwife) (n=5); key informant interviews with health policymakers/managers (n=3) and focus group discussions (FGDs) with CHWs (four FGDs; total n=27). Participants in two stakeholder consultative meetings included members from the government (n=8), non-government organisations (n=7), private sector (n=3) and universities (n=6). Results The CHWs were engaged in a wide range of public health programmes and they also deliver NCDs specific programmes such as common NCDs screening, provisional diagnosis, primary care, health education and counselling, basic medication and referral and so on. These NCD prevention and control services are concentrated in those districts, where the WHO, Package for prevention and control of NCDs) program is being implemented. Some challenges and barriers were identified, including inadequate NCD training, high workload, poor system-level support, inadequate remuneration, inadequate supply of logistics and drugs. The facilitating factors included government priority, formation of NCD-related policies, community support systems, social prestige and staff motivation. Conclusion Engaging CHWs has been considered as key driver to delivering NCDs related services in Nepal. Effective integration of CHWs within the primary care system is essential for CHW's capacity buildings, necessary supervisory arrangements, supply of logistics and medications and setting up effective recording and reporting systems for prevention and control of NCDs in Nepal.","author":[{"dropping-particle":"","family":"Rawal","given":"L B","non-dropping-particle":"","parse-names":false,"suffix":""},{"dropping-particle":"","family":"Kharel","given":"C","non-dropping-particle":"","parse-names":false,"suffix":""},{"dropping-particle":"","family":"Yadav","given":"U N","non-dropping-particle":"","parse-names":false,"suffix":""},{"dropping-particle":"","family":"Kanda","given":"K","non-dropping-particle":"","parse-names":false,"suffix":""},{"dropping-particle":"","family":"Biswas","given":"T","non-dropping-particle":"","parse-names":false,"suffix":""},{"dropping-particle":"","family":"Vandelanotte","given":"C","non-dropping-particle":"","parse-names":false,"suffix":""},{"dropping-particle":"","family":"Baral","given":"S","non-dropping-particle":"","parse-names":false,"suffix":""},{"dropping-particle":"","family":"Abdullah","given":"A","non-dropping-particle":"","parse-names":false,"suffix":""}],"container-title":"BMJ Open","id":"ITEM-26","issue":"12","issued":{"date-parts":[["2020"]]},"note":"Rawal, Lal B. Kharel, Chandani Yadav, Uday Narayan Kanda, Kie Biswas, Tuhin Vandelanotte, Corneel Baral, Sushil Abdullah, Abu S.\nYadav, Uday N/ABD-1547-2020\nYadav, Uday N/0000-0002-6626-1604; Rawal, Lal/0000-0003-1106-0108","title":"Community health workers for non-communicable disease prevention and control in Nepal: a qualitative study","type":"article-journal","volume":"10"},"uris":["http://www.mendeley.com/documents/?uuid=6875556d-9d16-4e4b-b4b0-e0db61f60ed6"]},{"id":"ITEM-27","itemData":{"author":[{"dropping-particle":"","family":"Village Reach","given":"","non-dropping-particle":"","parse-names":false,"suffix":""}],"id":"ITEM-27","issued":{"date-parts":[["2016"]]},"number-of-pages":"1-11","title":"Outsourcing Transport to Improve Health at the Last Mile : A Case Study The Long Road to Health","type":"report"},"uris":["http://www.mendeley.com/documents/?uuid=3870ba4f-09ab-4296-83a3-2cc02fb13f53"]},{"id":"ITEM-28","itemData":{"author":[{"dropping-particle":"","family":"Sumankuuro","given":"J","non-dropping-particle":"","parse-names":false,"suffix":""},{"dropping-particle":"","family":"Crockett","given":"J","non-dropping-particle":"","parse-names":false,"suffix":""},{"dropping-particle":"","family":"Wang","given":"ShaoYu","non-dropping-particle":"","parse-names":false,"suffix":""}],"container-title":"BMJ Open","id":"ITEM-28","issue":"11","issued":{"date-parts":[["2018"]]},"note":"Using Smart Source Parsing\ne021223. 48 ref","title":"Perceived barriers to maternal and newborn health services delivery: a qualitative study of health workers and community members in low and middle-income settings","type":"article-journal","volume":"8"},"uris":["http://www.mendeley.com/documents/?uuid=eead3761-17db-4ed9-bebf-8cb325e7e3ab"]},{"id":"ITEM-29","itemData":{"DOI":"10.15212/fmch.2016.0102","ISBN":"2305-6983","abstract":"Background: Developing countries have the potential to reach vulnerable and underserved populations marginalized by the country's health care systems by way of community health workers (CHWs). It is imperative that health care systems focus on improving access to quality continuous primary care through the use of CHWs while paying attention to the factors that impact on CHWs and their effectiveness. Objective: To explore the possible opportunities and challenges of integrating CHWs into the health care systems of developing countries. Methods: Six databases were examined for quantitative, qualitative, and mixed-methods studies that included the integration of CHWs, their motivation and supervision, and CHW policy making and implementation in developing countries. Thirty-three studies met the inclusion criteria and were double read to extract data relevant to the context of CHW programs. Thematic coding was conducted and evidence on the main categories of contextual factors influencing integration of CHWs into the health system was synthesized. Results: CHWs are an effective and appropriate element of a health care team and can assist in addressing health disparities and social determinants of health. Important facilitators of integration of CHWs into health care teams are support from other health workers and inclusion of CHWs in case management meetings. Sustainable integration of CHWs into the health care system requires the formulation and implementation of polices that support their work, as well as financial and nonfinancial incentives, motivation, collaborative and supportive supervision, and a manageable workload. Conclusions: For sustainable integration of CHWs into health care systems, high-performing health systems with sound governance, adequate financing, well-organized service delivery, and adequate supplies and equipment are essential. Similarly, competent communities could contribute to better CHW performance through sound governance of community resources, promotion of inclusiveness and cohesion, engagement in participatory decision making, and mobilization of local resources for community welfare.","author":[{"dropping-particle":"","family":"Asweto","given":"C O","non-dropping-particle":"","parse-names":false,"suffix":""},{"dropping-particle":"","family":"Alzain","given":"M A","non-dropping-particle":"","parse-names":false,"suffix":""},{"dropping-particle":"","family":"Andrea","given":"S","non-dropping-particle":"","parse-names":false,"suffix":""},{"dropping-particle":"","family":"Alexander","given":"R","non-dropping-particle":"","parse-names":false,"suffix":""},{"dropping-particle":"","family":"Wang","given":"W","non-dropping-particle":"","parse-names":false,"suffix":""}],"container-title":"Family Medicine and Community Health","id":"ITEM-29","issue":"1","issued":{"date-parts":[["2016"]]},"note":"Asweto, Collins Otieno Alzain, Mohamed Ali Andrea, Sebastian Alexander, Rachel Wang, Wei\nAlzain, Mohamed Ali/AAF-5957-2019\nAlzain, Mohamed Ali/0000-0002-0085-5805\n2009-8774","page":"37-45","title":"Integration of community health workers into health systems in developing countries: Opportunities and challenges","type":"article-journal","volume":"4"},"uris":["http://www.mendeley.com/documents/?uuid=47e2f20a-0a86-4df1-8e09-459a30556bd9"]},{"id":"ITEM-30","itemData":{"author":[{"dropping-particle":"","family":"Shelley","given":"K D","non-dropping-particle":"","parse-names":false,"suffix":""},{"dropping-particle":"","family":"Belete","given":"Y W","non-dropping-particle":"","parse-names":false,"suffix":""},{"dropping-particle":"","family":"Phiri","given":"S C","non-dropping-particle":"","parse-names":false,"suffix":""},{"dropping-particle":"","family":"Musonda","given":"M","non-dropping-particle":"","parse-names":false,"suffix":""},{"dropping-particle":"","family":"Kawesha","given":"E C","non-dropping-particle":"","parse-names":false,"suffix":""},{"dropping-particle":"","family":"Muleya","given":"E M","non-dropping-particle":"","parse-names":false,"suffix":""},{"dropping-particle":"","family":"Chibawe","given":"C P","non-dropping-particle":"","parse-names":false,"suffix":""},{"dropping-particle":"van den","family":"Broek","given":"J W","non-dropping-particle":"","parse-names":false,"suffix":""},{"dropping-particle":"","family":"Vosburg","given":"K B","non-dropping-particle":"","parse-names":false,"suffix":""}],"container-title":"Journal of Community Health","id":"ITEM-30","issue":"2","issued":{"date-parts":[["2016"]]},"note":"Using Smart Source Parsing\n31 ref","page":"398-408","title":"Implementation of the community health assistant (CHA) cadre in Zambia: a process evaluation to guide future scale-up decisions","type":"article-journal","volume":"41"},"uris":["http://www.mendeley.com/documents/?uuid=f1637417-162d-4972-bb98-ffa809741548"]},{"id":"ITEM-31","itemData":{"DOI":"10.1186/1475-2875-13-229","abstract":"Background: Malaria still causes high morbidity and mortality around the world, mainly in sub-Saharan Africa. Community case management of malaria (CCMm) by community health workers (CHWs) is one of the strategies to combat the disease by increasing access to malaria treatment. Currently, the World Health Organization recommends to treat only confirmed malaria cases, rather than to give presumptive treatment. Objectives: This systematic review aims to provide a comprehensive overview of the success or failure of critical steps in CCMm with rapid diagnostic tests (RDTs). Methods: The databases of Medline, Embase, the Cochrane Library, the library of the 'Malaria in Pregnancy' consortium, and Web of Science were used to find studies on CCMm with RDTs in SSA. Studies were selected according to inclusion and exclusion criteria, subsequently risk of bias was assessed and data extracted. Results: 27 articles were included. CHWs were able to correctly perform RDTs, although specificity levels were variable. CHWs showed high adherence to test results, but in some studies a substantial group of RDT negatives received treatment. High risk of bias was found for morbidity and mortality studies, therefore, effects on morbidity and mortality could not be estimated. Uptake and acceptance by the community was high, however negative-tested patients did not always follow up referral advice. Drug or RDT stock-outs and limited information on CHW motivation are bottlenecks for sustainable implementation. RDT-based CCMm was found to be cost effective for the correct treatment of malaria in areas with low to medium malaria prevalence, but study designs were not optimal. Discussion: Trained CHWs can deliver high quality care for malaria using RDTs. However, lower RDT specificity could lead to missed diagnoses of non-malarial causes of fever. Other threats for CCMm are non-adherence to negative test results and low referral completion. Integrated CCM may solve some of these issues. Unfortunately, morbidity and mortality are not adequately investigated. More information is needed about influencing sociocultural aspects, CHW motivation and stock supply. Conclusion: CCMm is generally well executed by CHWs, but there are several barriers for its success. Integrated CCM may overcome some of these barriers.","author":[{"dropping-particle":"","family":"Ruizendaal","given":"E","non-dropping-particle":"","parse-names":false,"suffix":""},{"dropping-particle":"","family":"Dierickx","given":"S","non-dropping-particle":"","parse-names":false,"suffix":""},{"dropping-particle":"","family":"Grietens","given":"K P","non-dropping-particle":"","parse-names":false,"suffix":""},{"dropping-particle":"","family":"Schallig","given":"Hdfh","non-dropping-particle":"","parse-names":false,"suffix":""},{"dropping-particle":"","family":"Pagnoni","given":"F","non-dropping-particle":"","parse-names":false,"suffix":""},{"dropping-particle":"","family":"Mens","given":"P F","non-dropping-particle":"","parse-names":false,"suffix":""}],"container-title":"Malaria Journal","id":"ITEM-31","issued":{"date-parts":[["2014"]]},"note":"Ruizendaal, Esmee Dierickx, Susan Grietens, Koen Peeters Schallig, Henk D. F. H. Pagnoni, Franco Mens, Petra F.\nRuizendaal, Esmee/AAG-6157-2020; Grietens, Koen Peeters/G-7028-2019\nGrietens, Koen Peeters/0000-0001-6570-9887; Dierickx, Susan/0000-0003-3140-0771\n1475-2875","title":"Success or failure of critical steps in community case management of malaria with rapid diagnostic tests: a systematic review","type":"article-journal","volume":"13"},"uris":["http://www.mendeley.com/documents/?uuid=7e01a4f1-46a6-44a2-9158-f208a3108728"]},{"id":"ITEM-32","itemData":{"author":[{"dropping-particle":"","family":"Chandani","given":"Y","non-dropping-particle":"","parse-names":false,"suffix":""},{"dropping-particle":"","family":"Noel","given":"M","non-dropping-particle":"","parse-names":false,"suffix":""},{"dropping-particle":"","family":"Andersson","given":"S","non-dropping-particle":"","parse-names":false,"suffix":""},{"dropping-particle":"","family":"Ombeva","given":"A","non-dropping-particle":"","parse-names":false,"suffix":""},{"dropping-particle":"","family":"Shieshia","given":"M","non-dropping-particle":"","parse-names":false,"suffix":""},{"dropping-particle":"","family":"Heaton","given":"A","non-dropping-particle":"","parse-names":false,"suffix":""},{"dropping-particle":"","family":"Felling","given":"B","non-dropping-particle":"","parse-names":false,"suffix":""}],"container-title":"American Journal of Tropical Medicine and Hygiene","id":"ITEM-32","issue":"5","issued":{"date-parts":[["2013"]]},"note":"62nd Annual Meeting of the American Society of Tropical Medicine and Hygiene, ASTMH 2012. Washington, DC United States","page":"327-328","title":"Improving community level supply chain performance using team-led, data driven solutions in Malawi and Rwanda","type":"article-journal","volume":"89"},"uris":["http://www.mendeley.com/documents/?uuid=46e35ddf-8110-443c-ab9a-dec379125df5"]},{"id":"ITEM-33","itemData":{"DOI":"10.1186/s12889-015-2525-4","ISSN":"14712458","PMID":"26608029","abstract":"Background: The integrated Community Case Management (iCCM) of childhood illnesses strategy has been adopted world over to reduce child related ill health and mortality. Community Health workers (CHWs) who implement this strategy need a regular supply of drugs to effectively treat children under 5 years with malaria, pneumonia and diarrhea. In this paper, we report the prevalence and factors influencing availability of medicines for managing malaria, pneumonia and diarrhea in communities in central Uganda. Methods: A cross sectional study was conducted among 303 CHWs in Wakiso district in central Uganda. Eligible CHWs from two randomly selected Health Sub Districts (HSDs) were interviewed. Questionnaires, check lists, record reviews were used to collect information on CHW background characteristics, CHW's prescription behaviors, health system support factors and availability of iCCM drugs. Multivariable logistic regression analysis was done to assess factors associated with availability of iCCM drugs. Results: Out of 300 CHWs, 239 (79.9 %) were females and mean age was 42.1 (standard deviation =11.1 years). The prevalence of iCCM drug availability was 8.3 % and 33 respondents (11 %) had no drugs at all. Factors associated with iCCM drug availability were; being supervised within the last month (adjusted OR = 3.70, 95 % CI 1.22-11.24), appropriate drug prescriptions (adjusted OR = 3.71, 95 % CI 1.38-9.96), regular submission of drug reports (adjusted OR = 4.02, 95 % CI 1.62-10.10) and having a respiratory timer as a diagnostic tool (adjusted OR =3.11, 95 % CI 1.08-9.00). Conclusions: The low medicine stocks for the community management of childhood illnesses calls for strengthening of CHW supervision, medicine prescription and reporting, and increasing availability of functional diagnostic tools.","author":[{"dropping-particle":"","family":"Bagonza","given":"James","non-dropping-particle":"","parse-names":false,"suffix":""},{"dropping-particle":"","family":"Rutebemberwa","given":"Elizeus","non-dropping-particle":"","parse-names":false,"suffix":""},{"dropping-particle":"","family":"Eckmanns","given":"Tim","non-dropping-particle":"","parse-names":false,"suffix":""},{"dropping-particle":"","family":"Ekirapa-Kiracho","given":"Elizabeth","non-dropping-particle":"","parse-names":false,"suffix":""}],"container-title":"BMC Public Health","id":"ITEM-33","issue":"1","issued":{"date-parts":[["2015","11","25"]]},"page":"1180","publisher":"BioMed Central Ltd.","title":"What influences availability of medicines for the community management of childhood illnesses in central Uganda? Implications for scaling up the integrated community case management programme Health policies, systems and management in low and middle-income countries","type":"article-journal","volume":"15"},"uris":["http://www.mendeley.com/documents/?uuid=e4fd350c-8976-36c1-b521-7f6349bd5696"]},{"id":"ITEM-34","itemData":{"author":[{"dropping-particle":"","family":"Andersson","given":"S","non-dropping-particle":"","parse-names":false,"suffix":""},{"dropping-particle":"","family":"Chandani","given":"Y","non-dropping-particle":"","parse-names":false,"suffix":""},{"dropping-particle":"","family":"Felling","given":"B","non-dropping-particle":"","parse-names":false,"suffix":""},{"dropping-particle":"","family":"Heaton","given":"A","non-dropping-particle":"","parse-names":false,"suffix":""},{"dropping-particle":"","family":"Noel","given":"M","non-dropping-particle":"","parse-names":false,"suffix":""},{"dropping-particle":"","family":"Pahl","given":"M","non-dropping-particle":"","parse-names":false,"suffix":""},{"dropping-particle":"","family":"Roche","given":"G","non-dropping-particle":"","parse-names":false,"suffix":""},{"dropping-particle":"","family":"Williams","given":"T","non-dropping-particle":"","parse-names":false,"suffix":""}],"container-title":"American Journal of Tropical Medicine and Hygiene","id":"ITEM-34","issue":"5","issued":{"date-parts":[["2010"]]},"note":"59th Annual Meeting of the American Society of Tropical Medicine and Hygiene, ASTMH 2010. Atlanta, GA United States","page":"31","title":"Using a theory of change model to improve supply chains for community case management in resource limited settings","type":"article-journal","volume":"83"},"uris":["http://www.mendeley.com/documents/?uuid=d93339fd-ce23-4374-a6d8-9d90c4d01bfd"]},{"id":"ITEM-35","itemData":{"author":[{"dropping-particle":"","family":"Adyya","given":"Gupta","non-dropping-particle":"","parse-names":false,"suffix":""},{"dropping-particle":"","family":"Fledderjohann","given":"J","non-dropping-particle":"","parse-names":false,"suffix":""},{"dropping-particle":"","family":"Reddy","given":"H","non-dropping-particle":"","parse-names":false,"suffix":""},{"dropping-particle":"","family":"Raman","given":"V R","non-dropping-particle":"","parse-names":false,"suffix":""},{"dropping-particle":"","family":"Stuckler","given":"D","non-dropping-particle":"","parse-names":false,"suffix":""},{"dropping-particle":"","family":"Vellakkal","given":"S","non-dropping-particle":"","parse-names":false,"suffix":""}],"container-title":"BMC Health Services Research","id":"ITEM-35","issue":"40","issued":{"date-parts":[["2018"]]},"note":"Using Smart Source Parsing\n(25 January 2018). 45 ref","title":"Barriers and prospects of India's conditional cash transfer program to promote institutional delivery care: a qualitative analysis of the supply-side perspectives","type":"article-journal","volume":"18"},"uris":["http://www.mendeley.com/documents/?uuid=20fd46c1-991a-4b92-b507-9f81a7e324d2"]},{"id":"ITEM-36","itemData":{"DOI":"10.1186/s12978-020-0906-3","ISSN":"17424755","PMID":"32312279","abstract":"Background: Contraceptive services are essential for promoting people's health, and economic and social well-being. Despite increased contraceptive use over the past decades, unmet need is still high in Malawi. As a result of task shifting, health surveillance assistants (HSAs), Malawi's paid community health worker cadre, provide an expanded range of contraceptive services, aimed at increasing access at community level. We conducted a qualitative study to explore enabling and hindering factors of HSAs' roles in the provision of modern contraceptive services in Mangochi district, Malawi. Methods: The study involved HSAs and their supervisors, a variety of community members, health workers and policy makers using 34 interviews and 12 focus group discussions. Data were recorded, transcribed, translated, coded and thematically analysed according to a framework that included community-, HSA- and health system-related factors. Results: HSAs were found to be trusted providers of contraceptive services. At community level, gender norms, decision-making and beliefs about contraceptives were intertwined. They resulted in women using contraceptive services, including those offered by HSAs, in secret. There were misconceptions about contraceptives among both men and women, which were insufficiently addressed by HSAs. Residence and age of HSAs influenced their role in the provision of contraceptive services to (young) community members, whereas sex was not regarded as an enabling or hindering factor. While most community members reported to be satisfied with the quality of HSAs' services, quality was compromised by a lack of contraceptive supplies and other resources, and limited supportive supervision and training. Conclusions: HSAs in Mangochi are important contraceptive service providers. Their ability to ensure male involvement, increase access to services for youth and address misconceptions about contraceptives needs improvement. This requires a thorough understanding of socio-cultural norms and improved behavioural change communication competencies, which need to be incorporated in future training under Malawi's Community Health Strategy.","author":[{"dropping-particle":"","family":"Kok","given":"Maryse","non-dropping-particle":"","parse-names":false,"suffix":""},{"dropping-particle":"","family":"Tolani","given":"Madalitso","non-dropping-particle":"","parse-names":false,"suffix":""},{"dropping-particle":"","family":"Mtonga","given":"Wongani","non-dropping-particle":"","parse-names":false,"suffix":""},{"dropping-particle":"","family":"Salamba","given":"Thom","non-dropping-particle":"","parse-names":false,"suffix":""},{"dropping-particle":"","family":"Mwabungulu","given":"Twambilire","non-dropping-particle":"","parse-names":false,"suffix":""},{"dropping-particle":"","family":"Munthali","given":"Arnold","non-dropping-particle":"","parse-names":false,"suffix":""},{"dropping-particle":"","family":"Smet","given":"Eefje","non-dropping-particle":"","parse-names":false,"suffix":""},{"dropping-particle":"","family":"Chinsakaso","given":"Benedict","non-dropping-particle":"","parse-names":false,"suffix":""}],"container-title":"Reproductive Health","id":"ITEM-36","issue":"1","issued":{"date-parts":[["2020"]]},"page":"1-13","publisher":"Reproductive Health","title":"Enabling and hindering factors of health surveillance assistants' roles in the provision of contraceptive services in Mangochi, Malawi","type":"article-journal","volume":"17"},"uris":["http://www.mendeley.com/documents/?uuid=4278590e-84ad-4816-9553-22da486d25cc"]},{"id":"ITEM-37","itemData":{"DOI":"10.1080/10810730.2011.649106","ISSN":"10810730","PMID":"22548604","abstract":"mHealth has great potential to change the landscape of health service delivery in less developed countriesexpanding the reach of health information to frontline health workers in remote areas. Formative, process, and summative evaluation each play an important role in mHealth interventions. K4Health conducted a Health Information Needs Assessment in Malawi from July to September 2009 (formative evaluation) that found widespread use of cell phones among health workers offering new opportunities for knowledge exchange, especially in areas where access to health information is limited. K4Health subsequently designed an 18-month demonstration project (January 2010 to June 2011) to improve the exchange and use of family planning/reproductive health and HIV/AIDS knowledge among health workers, which included the introduction of a short message service (SMS) network. K4Health conducted a pretest of the mHealth intervention from June to October 2010. A baseline assessment was carried out in November 2010 before expanding the SMS network and included use of qualitative and quantitative measures and comparison groups (summative evaluation). Routinely collected statistics also guide the program (process evaluation). This article describes the approach and main findings of the SMS baseline study and contributes to a growing body of evidence measuring the effectiveness and efficiency of mHealth programs using a strong evaluation design. Copyright © Taylor &amp; Francis Group, LLC.","author":[{"dropping-particle":"","family":"Lemay","given":"Nancy Vollmer","non-dropping-particle":"","parse-names":false,"suffix":""},{"dropping-particle":"","family":"Sullivan","given":"Tara","non-dropping-particle":"","parse-names":false,"suffix":""},{"dropping-particle":"","family":"Jumbe","given":"Brian","non-dropping-particle":"","parse-names":false,"suffix":""},{"dropping-particle":"","family":"Perry","given":"Cary Peabody","non-dropping-particle":"","parse-names":false,"suffix":""}],"container-title":"Journal of Health Communication","id":"ITEM-37","issue":"SUPPL. 1","issued":{"date-parts":[["2012","5","2"]]},"page":"105-117","publisher":"J Health Commun","title":"Reaching remote health workers in Malawi: Baseline assessment of a pilot mhealth intervention","type":"article-journal","volume":"17"},"uris":["http://www.mendeley.com/documents/?uuid=dbcc900e-0086-3dc1-8797-f0541b2e2119"]},{"id":"ITEM-38","itemData":{"DOI":"10.3390/nu7115449","ISSN":"2072-6643","abstract":"Background: Iron deficiency is the most prevalent nutritional deficiency in adolescent girls from the developing world. One of the recommended interventions to improve iron status in adolescent girls is iron supplementation. Yet the provision of iron supplements to adolescent girls proved to be a challenging task for the health systems across the developing world. Objective: The objective of the study was to examine means of reaching adolescent girls for iron supplementation in Northern Ethiopia. Methodology: Analytical cross-sectional study consisting of both quantitative and qualitative approaches to data collection and analysis was used in this study. Stratified multi-stage systematic random sampling technique was adopted and primary quantitative data were collected from 828 (578 school attending and 250 non school attending) adolescent girls recruited from nine districts of Tigray. The primary quantitative data were analyzed using SPSS version 20 software. The qualitative data collected through key informant interviews and focus group discussions were transcribed verbatim and qualitatively analyzed. Results: The mean (SD) age of the girls was 16.7 (1.4) years. Four hundred forty seven (54%), 355 (42.9%) and 26 (3.1%) of the adolescent girls had low, medium and high diet diversity scores, respectively. More than half, 467 (56%), of the adolescent girls believed that adolescent girls were overloaded with household jobs everyday compared to boys from their respective communities. Key informants said that, there is no adolescent nutrition message promoted in the study area. Low community awareness, perceiving iron tablet as a contraceptive, religious and cultural influences, and lack of confidence in supplementation value of iron tablets, are some of the potential barriers mentioned by the key informant and focus group discussion participants. Schools (45%), health centers (27%) and health posts (26%) were the preferred public facilities for provision of iron supplements to student adolescent girls whereas schools (11%), health centers (47%) and health posts (41%) were the preferred public facilities for provision of iron supplements to adolescent girls who were not attending schools from the study communities. Conclusion: The health posts and health centers were the preferred health facilities for iron supplementation to adolescent girls who were not attending schools while the school was the preferred facility for iron supplementation of student adole…","author":[{"dropping-particle":"","family":"Mulugeta","given":"Afework","non-dropping-particle":"","parse-names":false,"suffix":""},{"dropping-particle":"","family":"Tessema","given":"Masresha","non-dropping-particle":"","parse-names":false,"suffix":""},{"dropping-particle":"","family":"H/sellasie","given":"Kiday","non-dropping-particle":"","parse-names":false,"suffix":""},{"dropping-particle":"","family":"Seid","given":"Omer","non-dropping-particle":"","parse-names":false,"suffix":""},{"dropping-particle":"","family":"Kidane","given":"Gebremedhin","non-dropping-particle":"","parse-names":false,"suffix":""},{"dropping-particle":"","family":"Kebede","given":"Aweke","non-dropping-particle":"","parse-names":false,"suffix":""}],"container-title":"Nutrients","id":"ITEM-38","issue":"11","issued":{"date-parts":[["2015","11"]]},"note":"Accession Number: 111403006. Language: English. Entry Date: 20151210. Revision Date: 20160112. Publication Type: Article. Journal Subset: Biomedical; Continental Europe; Europe. Special Interest: Nutrition; Pediatric Care. Instrumentation: Dietary Diversity Score (DDS. Grant Information: The study was supported by the Ethiopian Public Health Institute (formerly known as theEthiopian Health and Nutrition Research Institute) and the World Ba. NLM UID: 101521595.","page":"9033-9045","publisher":"MDPI Publishing","publisher-place":"Mekelle University, P. O. Box: 1871, Mekelle, Ethiopia","title":"Examining Means of Reaching Adolescent Girls for Iron Supplementation in Tigray, Northern Ethiopia.","type":"article-journal","volume":"7"},"uris":["http://www.mendeley.com/documents/?uuid=3494c336-6287-413d-b4b8-b5b608bca4a9"]},{"id":"ITEM-39","itemData":{"author":[{"dropping-particle":"","family":"Printz","given":"N","non-dropping-particle":"","parse-names":false,"suffix":""}],"container-title":"American Journal of Tropical Medicine and Hygiene","id":"ITEM-39","issued":{"date-parts":[["2015"]]},"note":"64th Annual Meeting of the American Society of Tropical Medicine and Hygiene, ASTMH 2015. United States","page":"294","title":"Availability of malaria products at the last mile: An analysis of facility-and community-level logistics data","type":"article-journal","volume":"93 (4 Supp"},"uris":["http://www.mendeley.com/documents/?uuid=ac089638-8a04-4c74-8633-36eab21bda80"]},{"id":"ITEM-40","itemData":{"DOI":"10.1016/j.contraception.2014.01.005","ISBN":"0010-7824","ISSN":"18790518","PMID":"24565737","abstract":"Objective Sayana?? Press (SP) is a unique injectable contraceptive (depot medroxyprogesterone acetate, or DMPA) administered subcutaneously in the UnijectTM injection system.1 SP simplifies the injection process; it requires no assembly of components and is easily disposable. This new technology appears to be well suited for community-based delivery of injectable contraception. The study objective was to evaluate SP management and administration in low-resource settings, focusing on how the delivery logistics, administration time, storage and waste-management requirements compare to the traditional intramuscular DMPA injectable (DMPA IM). Study design We conducted 58 semistructured interviews with clinic providers and community health workers in Senegal and Uganda to identify the merits, challenges and appeal of SP relative to DMPA IM. Results Providers identified logistical challenges with the management and administration of DMPA IM, including stock outs, transportation, storage constraints, and, in a few instances, waste disposal. Most providers (between 63% and 88%, depending on the logistics issue) do not expect SP to either aggravate or solve those problems. Some envisioned that SP could facilitate supply management (5%), storage (11%) and waste disposal (22%). The all-in-one packaging of SP was perceived to reduce the incidence of mismatched supplies (syringes and vials), and its smaller size was expected to ease space constraints and reduce the frequency of safety box incineration. Conclusion Adding SP to the method mix is unlikely to have a profound impact on clinic operations but may lessen logistical problems related to supply, storage and waste management. Implications Community health workers and clinic providers who administer SP may see some modest improvements in service delivery logistics. Particularly in settings where service delivery logistical challenges are more pronounced, offering SP may facilitate injectable contraceptive delivery. ?? 2014 Elsevier Inc.","author":[{"dropping-particle":"","family":"Cover","given":"Jane","non-dropping-particle":"","parse-names":false,"suffix":""},{"dropping-particle":"","family":"Blanton","given":"Elizabeth","non-dropping-particle":"","parse-names":false,"suffix":""},{"dropping-particle":"","family":"Ndiaye","given":"Dieynaba","non-dropping-particle":"","parse-names":false,"suffix":""},{"dropping-particle":"","family":"Walugembe","given":"Fiona","non-dropping-particle":"","parse-names":false,"suffix":""},{"dropping-particle":"","family":"Lamontagne","given":"D. Scott","non-dropping-particle":"","parse-names":false,"suffix":""}],"container-title":"Contraception","id":"ITEM-40","issue":"5","issued":{"date-parts":[["2014"]]},"page":"374-378","publisher":"Elsevier Inc.","title":"Operational assessments of Sayana?? Press provision in Senegal and Uganda","type":"article-journal","volume":"89"},"uris":["http://www.mendeley.com/documents/?uuid=037bade8-058a-43e6-aeba-1d943fd1aa5b"]},{"id":"ITEM-41","itemData":{"author":[{"dropping-particle":"","family":"Williams","given":"T","non-dropping-particle":"","parse-names":false,"suffix":""},{"dropping-particle":"","family":"Andersson","given":"S","non-dropping-particle":"","parse-names":false,"suffix":""},{"dropping-particle":"","family":"Chandani","given":"Y","non-dropping-particle":"","parse-names":false,"suffix":""},{"dropping-particle":"","family":"Felling","given":"B","non-dropping-particle":"","parse-names":false,"suffix":""},{"dropping-particle":"","family":"Roche","given":"G","non-dropping-particle":"","parse-names":false,"suffix":""},{"dropping-particle":"","family":"Pahl","given":"M","non-dropping-particle":"","parse-names":false,"suffix":""},{"dropping-particle":"","family":"Heaton","given":"A","non-dropping-particle":"","parse-names":false,"suffix":""},{"dropping-particle":"","family":"Noel","given":"M","non-dropping-particle":"","parse-names":false,"suffix":""}],"container-title":"American Journal of Tropical Medicine and Hygiene","id":"ITEM-41","issue":"5","issued":{"date-parts":[["2010"]]},"note":"59th Annual Meeting of the American Society of Tropical Medicine and Hygiene, ASTMH 2010. Atlanta, GA United States","page":"31","title":"Results of baseline assessments of community case management supply chains in Malawi and Ethiopia","type":"article-journal","volume":"83"},"uris":["http://www.mendeley.com/documents/?uuid=9b6f4214-8926-4458-941c-5ededbb74a05"]},{"id":"ITEM-42","itemData":{"author":[{"dropping-particle":"","family":"Project","given":"Deliver","non-dropping-particle":"","parse-names":false,"suffix":""}],"id":"ITEM-42","issued":{"date-parts":[["0"]]},"title":"Mozambique: Strengthening the Community Health Worker Supply Chain. Final Report, May 2014","type":"report"},"uris":["http://www.mendeley.com/documents/?uuid=47cad0d7-4598-36d0-94cc-6fc67ba55212"]},{"id":"ITEM-43","itemData":{"DOI":"10.1186/s12913-017-2723-0","ISBN":"1472-6963","PMID":"29183312","abstract":"BACKGROUND: Integrated community case management (iCCM) strategies aim to reach poor communities by providing timely access to treatment for malaria, pneumonia and diarrhoea for children under 5 years of age. Community health workers, known as Village Health Teams (VHTs) in Uganda, have been shown to be effective in hard-to-reach, underserved areas, but there is little evidence to support iCCM as an appropriate strategy in non-rural contexts. This study aimed to inform future iCCM implementation by exploring caregiver and VHT member perceptions of the value and effectiveness of iCCM in peri-urban settings in Uganda. METHODS: A qualitative evaluation was conducted in seven villages in Wakiso district, a rapidly urbanising area in central Uganda. Villages were purposively selected, spanning a range of peri-urban settlements experiencing rapid population change. In each village, rapid appraisal activities were undertaken separately with purposively selected caregivers (n = 85) and all iCCM-trained VHT members (n = 14), providing platforms for group discussions. Fifteen key informant interviews were also conducted with community leaders and VHT members. Thematic analysis was based on the 'Health Access Livelihoods Framework'. RESULTS: iCCM was perceived to facilitate timely treatment access and improve child health in peri-urban settings, often supplanting private clinics and traditional healers as first point of care. Relative to other health service providers, caregivers valued VHTs' free, proximal services, caring attitudes, perceived treatment quality, perceived competency and protocol use, and follow-up and referral services. VHT effectiveness was perceived to be restricted by inadequate diagnostics, limited newborn care, drug stockouts and VHT member absence - factors which drove utilisation of alternative providers. Low community engagement in VHT selection, lack of referral transport and poor availability of referral services also diminished perceived effectiveness. The iCCM strategy was widely perceived to result in economic savings and other livelihood benefits. CONCLUSIONS: In peri-urban areas, iCCM was perceived as an effective, well-utilised strategy, reflecting both VHT attributes and gaps in existing health services. Depending on health system resources and organisation, iCCM may be a useful transitional service delivery approach. Implementation in peri-urban areas should consider tailored community engagement strategies, adapted selection cr…","author":[{"dropping-particle":"","family":"Altaras","given":"R","non-dropping-particle":"","parse-names":false,"suffix":""},{"dropping-particle":"","family":"Montague","given":"M","non-dropping-particle":"","parse-names":false,"suffix":""},{"dropping-particle":"","family":"Graham","given":"K","non-dropping-particle":"","parse-names":false,"suffix":""},{"dropping-particle":"","family":"Strachan","given":"C E","non-dropping-particle":"","parse-names":false,"suffix":""},{"dropping-particle":"","family":"Senyonjo","given":"L","non-dropping-particle":"","parse-names":false,"suffix":""},{"dropping-particle":"","family":"King","given":"R","non-dropping-particle":"","parse-names":false,"suffix":""},{"dropping-particle":"","family":"Counihan","given":"H","non-dropping-particle":"","parse-names":false,"suffix":""},{"dropping-particle":"","family":"Mubiru","given":"D","non-dropping-particle":"","parse-names":false,"suffix":""},{"dropping-particle":"","family":"Källander","given":"K","non-dropping-particle":"","parse-names":false,"suffix":""},{"dropping-particle":"","family":"Meek","given":"S","non-dropping-particle":"","parse-names":false,"suffix":""},{"dropping-particle":"","family":"Tibenderana","given":"J","non-dropping-particle":"","parse-names":false,"suffix":""}],"container-title":"BMC Health Serv Res","edition":"2017/12/01","id":"ITEM-43","issue":"1","issued":{"date-parts":[["2017"]]},"language":"eng","note":"1472-6963\nAltaras, Robin\nMontague, Mark\nGraham, Kirstie\nStrachan, Clare E\nSenyonjo, Laura\nKing, Rebecca\nCounihan, Helen\nMubiru, Denis\nKällander, Karin\nMeek, Sylvia\nTibenderana, James\nComdis hsd/dfid/\nProgramme Partnership Arrangement/DFID/\nJournal Article\nBMC Health Serv Res. 2017 Nov 28;17(1):785. doi: 10.1186/s12913-017-2723-0.","page":"785","title":"Integrated community case management in a peri-urban setting: a qualitative evaluation in Wakiso District, Uganda","type":"article-journal","volume":"17"},"uris":["http://www.mendeley.com/documents/?uuid=bad45289-3c18-4eec-a183-47c5451246cd"]},{"id":"ITEM-44","itemData":{"author":[{"dropping-particle":"","family":"Chandani","given":"Y","non-dropping-particle":"","parse-names":false,"suffix":""},{"dropping-particle":"","family":"Andersson","given":"S","non-dropping-particle":"","parse-names":false,"suffix":""},{"dropping-particle":"","family":"Heaton","given":"A","non-dropping-particle":"","parse-names":false,"suffix":""},{"dropping-particle":"","family":"Noel","given":"M","non-dropping-particle":"","parse-names":false,"suffix":""},{"dropping-particle":"","family":"Shieshia","given":"M","non-dropping-particle":"","parse-names":false,"suffix":""},{"dropping-particle":"","family":"Mwirotsi","given":"A","non-dropping-particle":"","parse-names":false,"suffix":""},{"dropping-particle":"","family":"Krudwig","given":"K","non-dropping-particle":"","parse-names":false,"suffix":""},{"dropping-particle":"","family":"Nsona","given":"H","non-dropping-particle":"","parse-names":false,"suffix":""},{"dropping-particle":"","family":"Felling","given":"B","non-dropping-particle":"","parse-names":false,"suffix":""}],"container-title":"Journal of Global Health","id":"ITEM-44","issue":"2","issued":{"date-parts":[["2014"]]},"note":"Using Smart Source Parsing\n020405. 17 ref","title":"Making products available among community health workers: evidence for improving community health supply chains from Ethiopia, Malawi, and Rwanda. (Themed Issue: Current scientific evidence for integrated community case management (iCCM) in Africa: findin","type":"article-journal","volume":"4"},"uris":["http://www.mendeley.com/documents/?uuid=1b8dc49f-28b6-4a76-882e-910b7cf4a0b5"]},{"id":"ITEM-45","itemData":{"DOI":"10.1186/1475-2875-12-95","ISSN":"14752875","abstract":"BACKGROUND: Health workers in sub-Saharan Africa can now diagnose and treat malaria in the field, using rapid diagnostic tests and artemisinin-based combination therapy in areas without microscopy and widespread resistance to previously effective drugs.\\n\\nOBJECTIVE: This study evaluates communities' perceptions of a new community case management of malaria programme in the district of Saraya, south-eastern Senegal, the effectiveness of lay health worker trainings, and the availability of rapid diagnostic tests and artemisinin-based combination therapy in the field.\\n\\nMETHODS: The study employed qualitative and quantitative methods including focus groups with villagers, and pre- and post-training questionnaires with lay health workers.\\n\\nRESULTS: Communities approved of the community case management programme, but expressed concern about other general barriers to care, particularly transportation challenges. Most lay health workers acquired important skills, but a sizeable minority did not understand the rapid diagnostic test algorithm and were not able to correctly prescribe arteminisin-based combination therapy soon after the training. Further, few women lay health workers participated in the programme. Finally, the study identified stock-outs of rapid tests and anti-malaria medication products in over half of the programme sites two months after the start of the programme, thought due to a regional shortage.\\n\\nCONCLUSION: This study identified barriers to implementation of the community case management of malaria programme in Saraya that include lay health worker training, low numbers of women participants, and generalized stock-outs. These barriers warrant investigation into possible solutions of relevance to community case management generally.","author":[{"dropping-particle":"","family":"Blanas","given":"Demetri A.","non-dropping-particle":"","parse-names":false,"suffix":""},{"dropping-particle":"","family":"Ndiaye","given":"Youssoupha","non-dropping-particle":"","parse-names":false,"suffix":""},{"dropping-particle":"","family":"Nichols","given":"Kim","non-dropping-particle":"","parse-names":false,"suffix":""},{"dropping-particle":"","family":"Jensen","given":"Andrew","non-dropping-particle":"","parse-names":false,"suffix":""},{"dropping-particle":"","family":"Siddiqui","given":"Ammar","non-dropping-particle":"","parse-names":false,"suffix":""},{"dropping-particle":"","family":"Hennig","given":"Nils","non-dropping-particle":"","parse-names":false,"suffix":""}],"container-title":"Malaria Journal","id":"ITEM-45","issue":"1","issued":{"date-parts":[["2013"]]},"title":"Barriers to community case management of malaria in Saraya, Senegal: Training, and supply-chains","type":"article-journal","volume":"12"},"uris":["http://www.mendeley.com/documents/?uuid=7f56aaba-97ed-32a2-9d1e-e2ae1c41390f"]},{"id":"ITEM-46","itemData":{"author":[{"dropping-particle":"","family":"Surakat","given":"O A","non-dropping-particle":"","parse-names":false,"suffix":""},{"dropping-particle":"","family":"Sam-Wobo","given":"S O","non-dropping-particle":"","parse-names":false,"suffix":""},{"dropping-particle":"","family":"Ademolu","given":"K O","non-dropping-particle":"","parse-names":false,"suffix":""},{"dropping-particle":"","family":"Adekunle","given":"M F","non-dropping-particle":"","parse-names":false,"suffix":""},{"dropping-particle":"","family":"Adekunle","given":"O N","non-dropping-particle":"","parse-names":false,"suffix":""},{"dropping-particle":"","family":"Monsuru","given":"A A","non-dropping-particle":"","parse-names":false,"suffix":""},{"dropping-particle":"","family":"Awoyale","given":"A K","non-dropping-particle":"","parse-names":false,"suffix":""},{"dropping-particle":"","family":"Oyinloye","given":"N","non-dropping-particle":"","parse-names":false,"suffix":""},{"dropping-particle":"","family":"Omitola","given":"O O","non-dropping-particle":"","parse-names":false,"suffix":""},{"dropping-particle":"","family":"Bankole","given":"S O","non-dropping-particle":"","parse-names":false,"suffix":""},{"dropping-particle":"","family":"Ososanya","given":"A","non-dropping-particle":"","parse-names":false,"suffix":""},{"dropping-particle":"","family":"Adekola","given":"F","non-dropping-particle":"","parse-names":false,"suffix":""}],"container-title":"Infection, Disease and Health","id":"ITEM-46","issue":"3","issued":{"date-parts":[["2018"]]},"page":"137-145","title":"Assessment of community knowledge and participation in onchocerciasis programme, challenges in ivermectin drug delivery, distribution and non-compliance in Ogun State, southwest Nigeria","type":"article-journal","volume":"23"},"uris":["http://www.mendeley.com/documents/?uuid=fa2b3445-5b26-42fb-b9f0-3729730f653d"]},{"id":"ITEM-47","itemData":{"author":[{"dropping-particle":"","family":"Chipukuma","given":"H M","non-dropping-particle":"","parse-names":false,"suffix":""},{"dropping-particle":"","family":"Halwiindi","given":"H","non-dropping-particle":"","parse-names":false,"suffix":""},{"dropping-particle":"","family":"Zulu","given":"J M","non-dropping-particle":"","parse-names":false,"suffix":""},{"dropping-particle":"","family":"Azizi","given":"S C","non-dropping-particle":"","parse-names":false,"suffix":""},{"dropping-particle":"","family":"Jacobs","given":"C","non-dropping-particle":"","parse-names":false,"suffix":""}],"container-title":"BMC Health Services Research","id":"ITEM-47","issue":"1","issued":{"date-parts":[["2020"]]},"page":"612","title":"Evaluating fidelity of community health worker roles in malaria prevention and control programs in Livingstone District, Zambia-A bottleneck analysis","type":"article-journal","volume":"20"},"uris":["http://www.mendeley.com/documents/?uuid=204868bd-b78c-4d0f-9acc-7d4e9a2eeaf5"]},{"id":"ITEM-48","itemData":{"author":[{"dropping-particle":"","family":"Andersson","given":"S","non-dropping-particle":"","parse-names":false,"suffix":""},{"dropping-particle":"","family":"Chandani","given":"Y","non-dropping-particle":"","parse-names":false,"suffix":""},{"dropping-particle":"","family":"Misomali","given":"A","non-dropping-particle":"","parse-names":false,"suffix":""},{"dropping-particle":"","family":"Chimphanga","given":"B","non-dropping-particle":"","parse-names":false,"suffix":""},{"dropping-particle":"","family":"Shieshia","given":"M","non-dropping-particle":"","parse-names":false,"suffix":""},{"dropping-particle":"","family":"Noel","given":"M","non-dropping-particle":"","parse-names":false,"suffix":""},{"dropping-particle":"","family":"Felling","given":"B","non-dropping-particle":"","parse-names":false,"suffix":""}],"container-title":"American Journal of Tropical Medicine and Hygiene","id":"ITEM-48","issue":"5","issued":{"date-parts":[["2013"]]},"note":"62nd Annual Meeting of the American Society of Tropical Medicine and Hygiene, ASTMH 2012. Washington, DC United States","page":"26","title":"Cstock-a simple, affordable mhealth solution for improving visibility of community health logistics data","type":"article-journal","volume":"89"},"uris":["http://www.mendeley.com/documents/?uuid=d110c9b3-7104-46e8-b8fb-44cf857b4468"]},{"id":"ITEM-49","itemData":{"DOI":"10.4269/ajtmh.14-0094","ISBN":"0002-9637 (Print)\r0002-9637","PMID":"24957538","abstract":"A systematic literature review was conducted to assess the effectiveness of strategies to improve community case management (CCM) of malaria. Forty-three studies were included; most (38) reported indicators of community health worker (CHW) performance, 14 reported on malaria CCM integrated with other child health interventions, 16 reported on health system capacity, and 13 reported on referral. The CHWs are able to provide good quality malaria care, including performing procedures such as rapid diagnostic tests. Appropriate training, clear guidelines, and regular supportive supervision are important facilitating factors. Crucial to sustainable success of CHW programs is strengthening health system capacity to support commodity supply, supervision, and appropriate treatment of referred cases. The little evidence available on referral from community to health facility level suggests that this is an area that needs priority attention. The studies of integrated CCM suggest that additional tasks do not reduce the quality of malaria CCM provided sufficient training and supervision is maintained.","author":[{"dropping-particle":"","family":"Smith Paintain","given":"L","non-dropping-particle":"","parse-names":false,"suffix":""},{"dropping-particle":"","family":"Willey","given":"B","non-dropping-particle":"","parse-names":false,"suffix":""},{"dropping-particle":"","family":"Kedenge","given":"S","non-dropping-particle":"","parse-names":false,"suffix":""},{"dropping-particle":"","family":"Sharkey","given":"A","non-dropping-particle":"","parse-names":false,"suffix":""},{"dropping-particle":"","family":"Kim","given":"J","non-dropping-particle":"","parse-names":false,"suffix":""},{"dropping-particle":"","family":"Buj","given":"V","non-dropping-particle":"","parse-names":false,"suffix":""},{"dropping-particle":"","family":"Webster","given":"J","non-dropping-particle":"","parse-names":false,"suffix":""},{"dropping-particle":"","family":"Schellenberg","given":"D","non-dropping-particle":"","parse-names":false,"suffix":""},{"dropping-particle":"","family":"Ngongo","given":"N","non-dropping-particle":"","parse-names":false,"suffix":""}],"container-title":"Am J Trop Med Hyg","edition":"2014/06/25","id":"ITEM-49","issue":"3","issued":{"date-parts":[["2014"]]},"language":"eng","note":"1476-1645\nSmith Paintain, Lucy\nWilley, Barbara\nKedenge, Sarah\nSharkey, Alyssa\nKim, Julia\nBuj, Valentina\nWebster, Jayne\nSchellenberg, David\nNgongo, Ngashi\nMR/K012126/1/Medical Research Council/United Kingdom\nJournal Article\nResearch Support, Non-U.S. Gov't\nReview\nSystematic Review\nAm J Trop Med Hyg. 2014 Sep;91(3):461-470. doi: 10.4269/ajtmh.14-0094. Epub 2014 Jun 23.","page":"461-470","title":"Community health workers and stand-alone or integrated case management of malaria: a systematic literature review","type":"article-journal","volume":"91"},"uris":["http://www.mendeley.com/documents/?uuid=49074e2f-e05f-4d5f-ac92-5d85da4f9462"]},{"id":"ITEM-50","itemData":{"author":[{"dropping-particle":"","family":"Umulisa","given":"N","non-dropping-particle":"","parse-names":false,"suffix":""},{"dropping-particle":"","family":"Uwimana","given":"A","non-dropping-particle":"","parse-names":false,"suffix":""},{"dropping-particle":"","family":"Mugeni","given":"C","non-dropping-particle":"","parse-names":false,"suffix":""},{"dropping-particle":"","family":"Mukarugwiro","given":"B","non-dropping-particle":"","parse-names":false,"suffix":""},{"dropping-particle":"","family":"Mutwiwa","given":"S","non-dropping-particle":"","parse-names":false,"suffix":""},{"dropping-particle":"","family":"Brieger","given":"W R","non-dropping-particle":"","parse-names":false,"suffix":""},{"dropping-particle":"","family":"Munguti","given":"K","non-dropping-particle":"","parse-names":false,"suffix":""},{"dropping-particle":"","family":"Mbituyumuremyi","given":"A","non-dropping-particle":"","parse-names":false,"suffix":""}],"container-title":"American Journal of Tropical Medicine and Hygiene","id":"ITEM-50","issued":{"date-parts":[["2018"]]},"note":"67th Annual Meeting of the American Society of Tropical Medicine and Hygiene, ASTMH 2018. United States","page":"32","title":"Performance of community health workers in providing integrated community case management services (ICCM) in eight districts of Rwanda","type":"article-journal","volume":"99 (4 Supp"},"uris":["http://www.mendeley.com/documents/?uuid=ed3443e5-569b-4db8-a3c2-eb69a49f4258"]},{"id":"ITEM-51","itemData":{"DOI":"10.1002/14651858.CD012012.pub2","ISBN":"1361-6137","PMID":"32803893","abstract":"BACKGROUND: A well-functioning routine health information system (RHIS) can provide the information needed for health system management, for governance, accountability, planning, policy making, surveillance and quality improvement, but poor information support has been identified as a major obstacle for improving health system management. OBJECTIVES: To assess the effects of interventions to improve routine health information systems in terms of RHIS performance, and also, in terms of improved health system management performance, and improved patient and population health outcomes. SEARCH METHODS: We searched the Cochrane Central Register of Controlled Trials (CENTRAL) in the Cochrane Library, MEDLINE Ovid and Embase Ovid in May 2019. We searched Global Health, Ovid and PsycInfo in April 2016. In January 2020 we searched for grey literature in the Grey Literature Report and in OpenGrey, and for ongoing trials using the International Clinical Trials Registry Platform (ICTRP) and ClinicalTrials.gov. In October 2019 we also did a cited reference search using Web of Science, and a 'similar articles' search in PubMed. SELECTION CRITERIA: Randomised and non-randomised trials, controlled before-after studies and time-series studies comparing routine health information system interventions, with controls, in primary, hospital or community health care settings. Participants included clinical staff and management, district management and community health workers using routine information systems. DATA COLLECTION AND ANALYSIS: Two authors independently reviewed records to identify studies for inclusion, extracted data from the included studies and assessed the risk of bias. Interventions and outcomes were too varied across studies to allow for pooled risk analysis. We present a 'Summary of findings' table for each intervention comparisons broadly categorised into Technical and Organisational (or a combination), and report outcomes on data quality and service quality. We used the GRADE approach to assess the certainty of the evidence. MAIN RESULTS: We included six studies: four cluster randomised trials and two controlled before-after studies, from Africa and South America. Three studies evaluated technical interventions, one study evaluated an organisational intervention, and two studies evaluated a combination of technical and organisational interventions. Four studies reported on data quality and six studies reported on service quality. In terms of data quality…","author":[{"dropping-particle":"","family":"Leon","given":"N","non-dropping-particle":"","parse-names":false,"suffix":""},{"dropping-particle":"","family":"Balakrishna","given":"Y","non-dropping-particle":"","parse-names":false,"suffix":""},{"dropping-particle":"","family":"Hohlfeld","given":"A","non-dropping-particle":"","parse-names":false,"suffix":""},{"dropping-particle":"","family":"Odendaal","given":"W A","non-dropping-particle":"","parse-names":false,"suffix":""},{"dropping-particle":"","family":"Schmidt","given":"B M","non-dropping-particle":"","parse-names":false,"suffix":""},{"dropping-particle":"","family":"Zweigenthal","given":"V","non-dropping-particle":"","parse-names":false,"suffix":""},{"dropping-particle":"","family":"Anstey Watkins","given":"J","non-dropping-particle":"","parse-names":false,"suffix":""},{"dropping-particle":"","family":"Daniels","given":"K","non-dropping-particle":"","parse-names":false,"suffix":""}],"container-title":"Cochrane Database Syst Rev","edition":"2020/08/18","id":"ITEM-51","issued":{"date-parts":[["2020"]]},"language":"eng","note":"1469-493x\nLeon, Natalie\nBalakrishna, Yusentha\nHohlfeld, Ameer\nOdendaal, Willem A\nSchmidt, Bey-Marrié\nZweigenthal, Virginia\nAnstey Watkins, Jocelyn\nDaniels, Karen\nJournal Article\nResearch Support, Non-U.S. Gov't\nSystematic Review\nEngland\nCochrane Database Syst Rev. 2020 Aug 13;8:CD012012. doi: 10.1002/14651858.CD012012.pub2.","page":"Cd012012","title":"Routine Health Information System (RHIS) improvements for strengthened health system management","type":"article-journal","volume":"8"},"uris":["http://www.mendeley.com/documents/?uuid=0d2830c2-967a-45e9-a326-e3de990e194e"]},{"id":"ITEM-52","itemData":{"DOI":"10.4269/ajtmh.15-0585","ISSN":"00029637","PMID":"26787147","abstract":"We conducted a prospective evaluation of the \"Rapid Scale-Up\" (RSU) program in Burkina Faso, focusing on the integrated community case management (iCCM) component of the program. We used a quasi-experimental design in which nine RSU districts were compared with seven districts without the program. The evaluation included documentation of program implementation, assessments of implementation and quality of care, baseline and endline coverage surveys, and estimation of mortality changes using the Lives Saved Tool. Although the program trained large numbers of community health workers, there were implementation shortcomings related to training, supervision, and drug stockouts. The quality of care provided to sick children was poor, and utilization of community health workers was low. Changes in intervention coverage were comparable in RSU and comparison areas. Estimated under-five mortality declined by 6.2% (from 110 to 103 deaths per 1,000 live births) in the RSU area and 4.2% (from 114 to 109 per 1,000 live births) in the comparison area. The RSU did not result in coverage increases or mortality reductions in Burkina Faso, but we cannot draw conclusions about the effectiveness of the iCCM strategy, given implementation shortcomings. The evaluation results highlight the need for greater attention to implementation of iCCM programs.","author":[{"dropping-particle":"","family":"Munos","given":"Melinda","non-dropping-particle":"","parse-names":false,"suffix":""},{"dropping-particle":"","family":"Guiella","given":"Georges","non-dropping-particle":"","parse-names":false,"suffix":""},{"dropping-particle":"","family":"Roberton","given":"Timothy","non-dropping-particle":"","parse-names":false,"suffix":""},{"dropping-particle":"","family":"Maïga","given":"Abdoulaye","non-dropping-particle":"","parse-names":false,"suffix":""},{"dropping-particle":"","family":"Tiendrebeogo","given":"Adama","non-dropping-particle":"","parse-names":false,"suffix":""},{"dropping-particle":"","family":"Tam","given":"Yvonne","non-dropping-particle":"","parse-names":false,"suffix":""},{"dropping-particle":"","family":"Bryce","given":"Jennifer","non-dropping-particle":"","parse-names":false,"suffix":""},{"dropping-particle":"","family":"Baya","given":"Banza","non-dropping-particle":"","parse-names":false,"suffix":""}],"container-title":"American Journal of Tropical Medicine and Hygiene","id":"ITEM-52","issue":"3","issued":{"date-parts":[["2016","3","1"]]},"page":"584-595","publisher":"American Society of Tropical Medicine and Hygiene","title":"Independent evaluation of the rapid scale-up program to reduce under-five mortality in Burkina Faso","type":"article-journal","volume":"94"},"uris":["http://www.mendeley.com/documents/?uuid=50cbc1cc-ab23-3f8b-a1d4-710f70f05e22"]},{"id":"ITEM-53","itemData":{"DOI":"12.2015/JCPSP.897899","ISSN":"1681-7168","abstract":"Parotid fistula is a rare complication of surgical or non-surgical trauma on or in the vicinity of parotid gland. Many pharmacological agents and surgical methods are used to treat it with their own merits, demerits and patient preferences. Injection of hypertonic hot saline along with compression dressing is an economical, patient-preferred and almost complication-free method to deal parotid fistula with promising results.; ","author":[{"dropping-particle":"","family":"Aisha","given":"","non-dropping-particle":"","parse-names":false,"suffix":""},{"dropping-particle":"","family":"Fatima","given":"Saira","non-dropping-particle":"","parse-names":false,"suffix":""},{"dropping-particle":"","family":"Memon","given":"Aijaz Ahmed","non-dropping-particle":"","parse-names":false,"suffix":""}],"container-title":"Journal Of The College Of Physicians And Surgeons--Pakistan: JCPSP","id":"ITEM-53","issue":"12","issued":{"date-parts":[["2015","12"]]},"note":"Accession Number: 26691366. Language: English. Date Revised: 20161230. Date Created: 20151222. Date Completed: 20161031. Update Code: 20170103. Publication Type: Case Reports. Journal ID: 9606447. Publication Model: Print. Cited Medium: Internet. NLM ISO Abbr: J Coll Physicians Surg Pak. Linking ISSN: 1022386X. Subset: IM; Date of Electronic Publication: 20151201. ; Original Imprints: Publication: Karachi : College of Physicians and Surgeons Pakistan,","page":"897-899","publisher":"College of Physicians and Surgeons Pakistan","publisher-place":"Department of Surgery, Shaheed Mohatarma Benazir Bhutto (SMBB) Medical University, Larkana.","title":"Combination of Hot-Hypertonic Saline and Pressure Dressing in the Management of Parotid Fistula.","type":"article-journal","volume":"25"},"uris":["http://www.mendeley.com/documents/?uuid=51767e25-dd8c-4566-86f9-84ef9824e412"]},{"id":"ITEM-54","itemData":{"author":[{"dropping-particle":"","family":"Shaista","given":"Bahar","non-dropping-particle":"","parse-names":false,"suffix":""},{"dropping-particle":"","family":"Rozina","given":"Khalid","non-dropping-particle":"","parse-names":false,"suffix":""},{"dropping-particle":"","family":"Khan","given":"S A","non-dropping-particle":"","parse-names":false,"suffix":""},{"dropping-particle":"","family":"Naseemullah","given":"","non-dropping-particle":"","parse-names":false,"suffix":""},{"dropping-particle":"","family":"Nazish","given":"Batool","non-dropping-particle":"","parse-names":false,"suffix":""}],"container-title":"Pakistan Journal of Public Health","id":"ITEM-54","issue":"2","issued":{"date-parts":[["2017"]]},"note":"Using Smart Source Parsing\n16 ref","page":"75-78","title":"Challenges and experiences of Lady Health Workers working in polio campaigns in District Nowshera, Khyber Pakhtunkhwa, Pakistan","type":"article-journal","volume":"7"},"uris":["http://www.mendeley.com/documents/?uuid=e616f637-6f8b-49e4-aa45-87106d3fcf1d"]},{"id":"ITEM-55","itemData":{"DOI":"10.1016/S0168-8510(02)00207-5","ISSN":"01688510","PMID":"12849910","abstract":"Objective: To determine the factors contributing to low performance of community health workers in Kalabo District, Zambia. Methods: In a cross-sectional descriptive study, 86 community members, 27 community health workers and nine rural health centre staff were interviewed using semi-structured questionnaires. Other methods were focus group discussions and checklists. Data analysis was done manually. Results: The low performance of community health workers is a real problem for Kalabo District. The two most important factors are the irregular and unreliable supply of drugs and selection of the wrong people to be trained for community health workers. Conclusion: Though initially implemented as such, the comprehensive approach of the primary health care project is no longer functioning in Kalabo. Community health workers are mainly valued because of their curative services. Communities do not properly follow the official criteria for selection of people to be trained, but have other considerations. Strategies will have to be formulated to rehabilitate the programme, mainly focussing on these two findings. Other factors, like inadequate community support and inadequate supervision, were mentioned by many contributors. © 2002 Elsevier Science Ireland Ltd. All rights reserved.","author":[{"dropping-particle":"","family":"Stekelenburg","given":"Jelle","non-dropping-particle":"","parse-names":false,"suffix":""},{"dropping-particle":"","family":"Kyanamina","given":"Sindele Simasiku","non-dropping-particle":"","parse-names":false,"suffix":""},{"dropping-particle":"","family":"Wolffers","given":"Ivan","non-dropping-particle":"","parse-names":false,"suffix":""}],"container-title":"Health Policy","id":"ITEM-55","issue":"2","issued":{"date-parts":[["2003","8","1"]]},"page":"109-118","publisher":"Elsevier","title":"Poor performance of community health workers in Kalabo District, Zambia","type":"article-journal","volume":"65"},"uris":["http://www.mendeley.com/documents/?uuid=4c3bb5c1-2564-3813-b5d0-c11bf9edfe3a"]},{"id":"ITEM-56","itemData":{"DOI":"10.1186/1475-2875-13-367","ISBN":"1475-2875","PMID":"25231247","abstract":"BACKGROUND: Lay community health workers (CHWs) have been widely used to provide curative interventions in communities that have traditionally lacked access to health care. Optimal performance of CHWs managing children with malaria, pneumonia and diarrhoea in communities is desired if a reduction in childhood morbidity and mortality is to be achieved. This study assessed factors influencing performance of CHWs managing malaria, pneumonia and diarrhoea under the Integrated Community Case Management (iCCM) programme in Wakiso district, central Uganda. METHODS: A cross sectional study was conducted among 336 CHWs. Data was collected using interviews and record reviews. Performance was measured using composite scores based on the core activities of CHWs under the iCCM programme. These core activities included: treating children under five years, referring severely sick children including newborns, home visits, counseling caregivers on home care, record keeping and community sensitization. Descriptive and inferential statistics using odds ratios were done to determine factors influencing performance of CHWs. RESULTS: Of the 336 respondents, 242 (72%) were females and the overall level of good performance was 21.7% (95% CI, 17.3-26.1%). Factors significantly associated with performance were: sex (females) (AOR 2.65; 95% CI, 1.29 -5.43), community support (AOR 2.29; 95% CI, 1.27-4.14), receiving feedback from health facilities (AOR 4.90; 95% CI, 2.52-9.51) and having drugs in the previous three months (AOR 2.99; 95% CI, 1.64-5.42). CONCLUSION: Only one in every five CHWs performed optimally under the iCCM programme. Strategies to improve drug supply, community support and feedback provision from the formal health system are necessary to improve the performance of CHWs.","author":[{"dropping-particle":"","family":"Bagonza","given":"J","non-dropping-particle":"","parse-names":false,"suffix":""},{"dropping-particle":"","family":"Kibira","given":"S P","non-dropping-particle":"","parse-names":false,"suffix":""},{"dropping-particle":"","family":"Rutebemberwa","given":"E","non-dropping-particle":"","parse-names":false,"suffix":""}],"container-title":"Malar J","edition":"2014/09/19","id":"ITEM-56","issued":{"date-parts":[["2014"]]},"language":"eng","note":"1475-2875\nBagonza, James\nKibira, Simon P S\nRutebemberwa, Elizeus\nJournal Article\nResearch Support, Non-U.S. Gov't\nMalar J. 2014 Sep 18;13:367. doi: 10.1186/1475-2875-13-367.","page":"367","title":"Performance of community health workers managing malaria, pneumonia and diarrhoea under the community case management programme in central Uganda: a cross sectional study","type":"article-journal","volume":"13"},"uris":["http://www.mendeley.com/documents/?uuid=0505d04e-96b2-485c-b357-4d5c459152cb"]},{"id":"ITEM-57","itemData":{"author":[{"dropping-particle":"","family":"Sunguya","given":"B F","non-dropping-particle":"","parse-names":false,"suffix":""},{"dropping-particle":"","family":"Mlunde","given":"L B","non-dropping-particle":"","parse-names":false,"suffix":""},{"dropping-particle":"","family":"Rakesh","given":"Ayer","non-dropping-particle":"","parse-names":false,"suffix":""},{"dropping-particle":"","family":"Jimba","given":"M","non-dropping-particle":"","parse-names":false,"suffix":""}],"container-title":"Malaria Journal","id":"ITEM-57","issue":"10","issued":{"date-parts":[["2017"]]},"note":"Using Smart Source Parsing\n(3 January 2017). 78 ref","title":"Towards eliminating malaria in high endemic countries: the roles of community health workers and related cadres and their challenges in integrated community case management for malaria: a systematic review","type":"article-journal","volume":"16"},"uris":["http://www.mendeley.com/documents/?uuid=45213355-41b1-4682-8003-af002180a3ae"]},{"id":"ITEM-58","itemData":{"DOI":"10.1521/aeap.2010.22.2.87","ISSN":"08999546","PMID":"20387980","abstract":"While provider-initiated HIV testing and counseling (PITC) programs are being increasingly implemented in antenatal care settings, there is scant information about the specific challenges providers face when offering these services. Through qualitative interviews with 30 HIV antenatal care providers from 10 clinics in central Uganda, we sought to understand specific challenges Ugandan providers face in implementing antenatal PITC programs, including how these challenges impact prevention of mother-to-child HIV transmission programs. Counseling-specific challenges included counseling discordant couples, incomplete follow-up of HIV-infected clients, low rates of both male involvement and HIV serostatus discourse, and inadequate training and support to carry out counseling duties. Health system challenges included lack of adequate space for counseling, frequent \"stock-outs\" of supplies, shortages of both counselors and lab personnel, and inadequate referral services. These challenges must be addressed in order to optimize the success of PITC programs at providing universal access to HIV testing and counseling services. © 2010 The Guilford Press.","author":[{"dropping-particle":"","family":"Medley","given":"Amy M.","non-dropping-particle":"","parse-names":false,"suffix":""},{"dropping-particle":"","family":"Kennedy","given":"Caitlin E.","non-dropping-particle":"","parse-names":false,"suffix":""}],"container-title":"AIDS Education and Prevention","id":"ITEM-58","issue":"2","issued":{"date-parts":[["2010","4","13"]]},"page":"87-99","publisher":" Guilford ","title":"Provider challenges in implementing antenatal provider-initiated hiv testing and counseling programs in Uganda","type":"article-journal","volume":"22"},"uris":["http://www.mendeley.com/documents/?uuid=99a40756-b877-3566-b99e-55ad5b163a4b"]},{"id":"ITEM-59","itemData":{"DOI":"10.15171/ijhpm.2018.63","ISSN":"23225939","PMID":"30709085","abstract":"Background: Community health worker (CHW) interventions to manage childhood illness is a strategy promoted by the global health community which involves training and supporting CHW to assess, classify and treat sick children at home, using an algorithm adapted from the Integrated Management of Childhood Illness (IMCI). To inform CHW policy, the Government of Tanzania launched a program in 2011 to determine if community case management (CCM) of malaria, pneumonia and diarrhea could be implemented by CHW in that country. Methods: This paper reports the results of an observational study on the CCM service delivery quality of a trial cohort of CHW in Tanzania, called WAJA. In 2014, teams of data collectors, employees of the Ministry of Health and Social Welfare trained in IMCI, assessed the IMCI skills rendered by a sample of WAJA on sick children who presented to WAJA with illness signs and symptoms in their communities. The assessment included direct observations of WAJA IMCI episodes and expert re-assessment of the same children seen by WAJA to assess the congruence between the assessment, classification and treatment outcomes of WAJA cases and those from cases conducted by expert re-assessors. Results: In the majority of cases, WAJA correctly assess sick children for CCM-treatable illnesses (malaria, pneumonia, and diarrhea) and general danger signs (90% and 89%, respectively), but too few correctly assess for physical danger signs (39%); on classification in the majority of cases (73%) WAJA correctly classified illness, though more for CCM-treatable illnesses (83%). In majority of cases (78%) WAJA treated children correctly (84% of malaria, 74% pneumonia, and 71% diarrhea cases). Errors were often associated with lapses in health systems support, mainly supervision and logistics. Conclusion: CCM is a feasible strategy for CHW in Tanzania, who, in the majority of cases, implemented the approach as well as IMCI expert re-assessors. Nevertheless, for CCM to be effective, in Tanzania, a strategy to implement it must be coordinated with efforts to strengthen local health systems.","author":[{"dropping-particle":"","family":"Baynes","given":"Colin","non-dropping-particle":"","parse-names":false,"suffix":""},{"dropping-particle":"","family":"Mboya","given":"Dominic","non-dropping-particle":"","parse-names":false,"suffix":""},{"dropping-particle":"","family":"Likasi","given":"Samuel","non-dropping-particle":"","parse-names":false,"suffix":""},{"dropping-particle":"","family":"Maganga","given":"Doroth","non-dropping-particle":"","parse-names":false,"suffix":""},{"dropping-particle":"","family":"Pemba","given":"Senga","non-dropping-particle":"","parse-names":false,"suffix":""},{"dropping-particle":"","family":"Baraka","given":"Jitihada","non-dropping-particle":"","parse-names":false,"suffix":""},{"dropping-particle":"","family":"Ramsey","given":"Kate","non-dropping-particle":"","parse-names":false,"suffix":""},{"dropping-particle":"","family":"Semu","given":"Helen","non-dropping-particle":"","parse-names":false,"suffix":""}],"container-title":"International Journal of Health Policy and Management","id":"ITEM-59","issue":"12","issued":{"date-parts":[["2018","12","1"]]},"page":"1097-1109","publisher":"Kerman University of Medical Sciences","title":"Quality of sick child-care delivered by community health workers in Tanzania","type":"article-journal","volume":"7"},"uris":["http://www.mendeley.com/documents/?uuid=eb0f965b-079d-3049-9f17-97b76c273484"]},{"id":"ITEM-60","itemData":{"DOI":"10.1080/17290376.2008.9724908","ISSN":"1813-4424","PMID":"18979043","abstract":"There are concerns as to whether South Africa's public health system has sufficient resources, human and otherwise, to ensure universal access to antiretroviral treatment (ART). We report on public sector implementation of the Comprehensive Care Management and Treatment (CCMT) programme in the Free State Province, South Africa, in particular whether the primary health care (PHC) infrastructure was able to mobilise the necessary inputs to effectively provide ART, without undermining other services within facilities. A longitudinal study was conducted of the first 16 PHC facilities accredited to provide ART in the province. The facilities were visited on three occasions over 2 years, involving both structured and open-ended interviews with professional and lay staff, and observations of available resources. The resources assessed were staffing, space, essential equipment, drug supplies and laboratory systems. Approximately one-fifth (20%) of professional nurses were allocated to the CCMT programme in the facilities, although the overall number of professional nurses increased by only 14%. This process resulted in some displacement of professional nurses towards the CCMT Programme away from other services in the facilities. However, this could have been partially compensated for by task shifting towards community health workers and the appointment of additional support staff. Staff were largely positive about the programme. Drug supplies, availability of equipment and laboratory systems, although good at the baseline, improved further over the period of observation. The lack of adequate space to accommodate the new programme was a frequently reported problem. Overall, our assessment is that the PHC infrastructure in the Free State's public health system is capable of implementing and benefiting from the CCMT programme. Nevertheless, constraints in the availability of professional staff threaten future implementation of both the CCMT and other PHC programmes.","author":[{"dropping-particle":"","family":"Janse van Rensburg-Bonthuyzen","given":"Ega","non-dropping-particle":"","parse-names":false,"suffix":""},{"dropping-particle":"","family":"Engelbrecht","given":"Michelle","non-dropping-particle":"","parse-names":false,"suffix":""},{"dropping-particle":"","family":"Steyn","given":"Francois","non-dropping-particle":"","parse-names":false,"suffix":""},{"dropping-particle":"","family":"Jacobs","given":"Nandi","non-dropping-particle":"","parse-names":false,"suffix":""},{"dropping-particle":"","family":"Schneider","given":"Helen","non-dropping-particle":"","parse-names":false,"suffix":""},{"dropping-particle":"","family":"Rensburg","given":"Dingie","non-dropping-particle":"van","parse-names":false,"suffix":""}],"container-title":"SAHARA J : journal of Social Aspects of HIV/AIDS Research Alliance / SAHARA , Human Sciences Research Council","id":"ITEM-60","issue":"3","issued":{"date-parts":[["2008"]]},"page":"106-112","title":"Resources and infrastructure for the delivery of antiretroviral therapy at primary health care facilities in the Free State Province, South Africa.","type":"article-journal","volume":"5"},"uris":["http://www.mendeley.com/documents/?uuid=4dcb8e9d-7a4a-4ac8-b321-d87f4497e698"]},{"id":"ITEM-61","itemData":{"author":[{"dropping-particle":"","family":"Moti Tolera","given":"Jalu","non-dropping-particle":"","parse-names":false,"suffix":""},{"dropping-particle":"","family":"Abdurehman","given":"Ahmed","non-dropping-particle":"","parse-names":false,"suffix":""},{"dropping-particle":"","family":"Abdiwahab","given":"Hashi","non-dropping-particle":"","parse-names":false,"suffix":""},{"dropping-particle":"","family":"Alula","given":"Tekilu","non-dropping-particle":"","parse-names":false,"suffix":""}],"container-title":"PLoS One","id":"ITEM-61","issue":"3","issued":{"date-parts":[["2019"]]},"note":"Using Smart Source Parsing\ne0212227. 30 ref","title":"Exploring barriers to reproductive, maternal, child and neonatal (RMNCH) health-seeking behaviors in Somali region, Ethiopia","type":"article-journal","volume":"14"},"uris":["http://www.mendeley.com/documents/?uuid=1a0a4f36-8479-4d81-b28c-8241c0ceaff5"]},{"id":"ITEM-62","itemData":{"author":[{"dropping-particle":"","family":"Kavle","given":"J","non-dropping-particle":"","parse-names":false,"suffix":""},{"dropping-particle":"","family":"Landry","given":"M","non-dropping-particle":"","parse-names":false,"suffix":""},{"dropping-particle":"","family":"Gottwalt","given":"A","non-dropping-particle":"","parse-names":false,"suffix":""}],"container-title":"Annals of Nutrition and Metabolism","id":"ITEM-62","issued":{"date-parts":[["2017"]]},"note":"21st International Congress of Nutrition, ICN 2017. Argentina","page":"562","title":"Community-based distribution of iron-folic acid supplementation: A review of evidence and program implications for anemia programming for women and girls","type":"article-journal","volume":"71 (Supple"},"uris":["http://www.mendeley.com/documents/?uuid=b1b31461-ec67-4fdf-8510-62b5267ec4e6"]},{"id":"ITEM-63","itemData":{"DOI":"10.1002/ijgo.13450","ISBN":"0020-7292","abstract":"Objective: To explore barriers to utilization of health-facility-based delivery in Kenya, use of which is associated with reduced maternal mortality. Methods: In April 2017, a qualitative study utilizing key informant interviews (KIIs) and focus group discussions (FGDs) was carried out in Bomachoge-Borabu and Kaloleni, Kenya. Twenty-four KIIs were performed including health service providers, community health workers, religious leaders, local government representatives, Ministry of Health representatives, and representatives of women's organizations. Sixteen FGDs were held separately with adolescent females, adult females, adult males, and Community Health Committee members. Data were transcribed, coded, and categorized thematically to illustrate supply-side and demand-side barriers to use of health-facility-based delivery services. Results: Supply-side barriers included staff shortages, inadequate supplies and space, poor interpersonal relations, few trained staff, long distance to services, poor transport infrastructure, and limited service hours. Demand-side barriers included financial constraints, limited spousal support, observance of birthing traditions, limited knowledge on importance of health-facility-based delivery, and fear of health-facility procedures. Conclusions: Diverse barriers continue to influence use of health-facility-based delivery services in Kenya. Practical, integrated interventions are urgently needed to reduce barriers noted, to further reduce the maternal mortality rate.","author":[{"dropping-particle":"","family":"Naanyu","given":"V","non-dropping-particle":"","parse-names":false,"suffix":""},{"dropping-particle":"","family":"Wade","given":"T J","non-dropping-particle":"","parse-names":false,"suffix":""},{"dropping-particle":"","family":"Ngetich","given":"A","non-dropping-particle":"","parse-names":false,"suffix":""},{"dropping-particle":"","family":"Mulama","given":"K","non-dropping-particle":"","parse-names":false,"suffix":""},{"dropping-particle":"","family":"Nyaga","given":"L","non-dropping-particle":"","parse-names":false,"suffix":""},{"dropping-particle":"","family":"Pell","given":"R","non-dropping-particle":"","parse-names":false,"suffix":""},{"dropping-particle":"","family":"Mossman","given":"L","non-dropping-particle":"","parse-names":false,"suffix":""},{"dropping-particle":"","family":"Obure","given":"J","non-dropping-particle":"","parse-names":false,"suffix":""},{"dropping-particle":"","family":"Temmerman","given":"M","non-dropping-particle":"","parse-names":false,"suffix":""}],"container-title":"International Journal of Gynecology &amp; Obstetrics","id":"ITEM-63","issued":{"date-parts":[["0"]]},"note":"Naanyu, Violet Wade, Terrance J. Ngetich, Angela Mulama, Kennedy Nyaga, Lucy Pell, Rachel Mossman, Lindsay Obure, Jerim Temmerman, Marleen\n1879-3479","title":"A qualitative exploration of barriers to health-facility-based delivery in Bomachoge-Borabu and Kaloleni, Kenya","type":"article-journal"},"uris":["http://www.mendeley.com/documents/?uuid=874c2f41-273f-4e35-9e00-b1fe6ec5a8a7"]},{"id":"ITEM-64","itemData":{"DOI":"10.1093/heapol/czs095","ISSN":"02681080","PMID":"23065598","abstract":"Objective To assess the quality of care provided by Health Surveillance Assistants (HSAs) - a cadre of community-based health workers - as part of a national scale-up of community case management of childhood illness (CCM) in Malawi.Methods Trained research teams visited a random sample of HSAs (n = 131) trained in CCM and provided with initial essential drug stocks in six districts, and observed the provision of sick child care. Trained clinicians conducted 'gold-standard' reassessments of the child. Members of the survey team also interviewed caregivers and HSAs and inspected drug stocks and patient registers.Findings HSAs provided correct treatment with antimalarials to 79% of the 241 children presenting with uncomplicated fever, with oral rehydration salts to 69% of the 93 children presenting with uncomplicated diarrhoea and with antibiotics to 52% of 58 children presenting with suspected pneumonia (cough with fast breathing). About one in five children (18%) presented with danger signs. HSAs correctly assessed 37% of children for four danger signs by conducting a physical exam, and correctly referred 55% of children with danger signs.Conclusion Malawi's CCM programme is a promising strategy for increasing coverage of sick child treatment, although there is much room for improvement, especially in the correct assessment and treatment of suspected pneumonia and the identification and referral of sick children with danger signs. However, HSAs provided sick child care at levels of quality similar to those provided in first-level health facilities in Malawi, and quality should improve if the Ministry of Health and partners act on the results of this assessment. © 2012 The Author 2012; all rights reserved.","author":[{"dropping-particle":"","family":"Gilroy","given":"Kate E.","non-dropping-particle":"","parse-names":false,"suffix":""},{"dropping-particle":"","family":"Callaghan-Koru","given":"Jennifer A.","non-dropping-particle":"","parse-names":false,"suffix":""},{"dropping-particle":"V.","family":"Cardemil","given":"Cristina","non-dropping-particle":"","parse-names":false,"suffix":""},{"dropping-particle":"","family":"Nsona","given":"Humphreys","non-dropping-particle":"","parse-names":false,"suffix":""},{"dropping-particle":"","family":"Amouzou","given":"Agbessi","non-dropping-particle":"","parse-names":false,"suffix":""},{"dropping-particle":"","family":"Mtimuni","given":"Angella","non-dropping-particle":"","parse-names":false,"suffix":""},{"dropping-particle":"","family":"Daelmans","given":"Bernadette","non-dropping-particle":"","parse-names":false,"suffix":""},{"dropping-particle":"","family":"Mgalula","given":"Leslie","non-dropping-particle":"","parse-names":false,"suffix":""},{"dropping-particle":"","family":"Aboubaker","given":"Samira","non-dropping-particle":"","parse-names":false,"suffix":""},{"dropping-particle":"","family":"Bonongwe","given":"Enoch","non-dropping-particle":"","parse-names":false,"suffix":""},{"dropping-particle":"","family":"George","given":"Asha","non-dropping-particle":"","parse-names":false,"suffix":""},{"dropping-particle":"","family":"Kachule","given":"Timothy","non-dropping-particle":"","parse-names":false,"suffix":""},{"dropping-particle":"","family":"Kambale","given":"Susan","non-dropping-particle":"","parse-names":false,"suffix":""},{"dropping-particle":"","family":"Katsande","given":"Regis","non-dropping-particle":"","parse-names":false,"suffix":""},{"dropping-particle":"","family":"Nkhono","given":"Edwin","non-dropping-particle":"","parse-names":false,"suffix":""},{"dropping-particle":"","family":"Temani","given":"Newton","non-dropping-particle":"","parse-names":false,"suffix":""},{"dropping-particle":"","family":"Zamasiya","given":"Texas","non-dropping-particle":"","parse-names":false,"suffix":""}],"container-title":"Health Policy and Planning","id":"ITEM-64","issue":"6","issued":{"date-parts":[["2013","9"]]},"page":"573-585","publisher":"Health Policy Plan","title":"Quality of sick child care delivered by Health Surveillance Assistants in Malawi","type":"article-journal","volume":"28"},"uris":["http://www.mendeley.com/documents/?uuid=084a5e4b-7e04-37e0-aeed-6784d23305bf"]},{"id":"ITEM-65","itemData":{"DOI":"10.1186/1472-6963-14-340","abstract":"Background: In Ghana, between 1,400 and 3,900 women and girls die annually due to pregnancy related complications and an estimated two-thirds of these deaths occur in late pregnancy through to 48 hours after delivery. The Ghana Health Service piloted a strategy that involved training Community Health Officers (CHOs) as midwives to address the gap in skilled attendance in rural Upper East Region (UER). CHO-midwives collaborated with community members to provide skilled delivery services in rural areas. This paper presents findings from a study designed to assess the extent to which community residents and leaders participated in the skilled delivery program and the specific roles they played in its implementation and effectiveness. Methods: We employed an intrinsic case study design with a qualitative methodology. We conducted 29 in-depth interviews with health professionals and community stakeholders. We used a random sampling technique to select the CHO-midwives in three Community-based Health Planning and Services (CHPS) zones for the interviews and a purposive sampling technique to identify and interview District Directors of Health Services from the three districts, the Regional Coordinator of the CHPS program and community stakeholders. Results: Community members play a significant role in promoting skilled delivery care in CHPS zones in Ghana. We found that community health volunteers and traditional birth attendants (TBAs) helped to provide health education on skilled delivery care, and they also referred or accompanied their clients for skilled attendants at birth. The political authorities, traditional leaders, and community members provide resources to promote the skilled delivery program. Both volunteers and TBAs are given financial and non-financial incentives for referring their clients for skilled delivery. However, inadequate transportation, infrequent supply of drugs, attitude of nurses remains as challenges, hindering women accessing maternity services in rural areas. Conclusions: Mutual collaboration and engagement is possible between health professionals and community members for the skilled delivery program. Community leaders, traditional and political leaders, volunteers, and TBAs have all been instrumental to the success of the CHPS program in the UER, each in their unique way. However, there are problems confronting the program and we have provided recommendations to address these challenges.","author":[{"dropping-particle":"","family":"Sakeah","given":"E","non-dropping-particle":"","parse-names":false,"suffix":""},{"dropping-particle":"","family":"McCloskey","given":"L","non-dropping-particle":"","parse-names":false,"suffix":""},{"dropping-particle":"","family":"Bernstein","given":"J","non-dropping-particle":"","parse-names":false,"suffix":""},{"dropping-particle":"","family":"Yeboah-Antwi","given":"K","non-dropping-particle":"","parse-names":false,"suffix":""},{"dropping-particle":"","family":"Mills","given":"S","non-dropping-particle":"","parse-names":false,"suffix":""},{"dropping-particle":"V","family":"Doctor","given":"H","non-dropping-particle":"","parse-names":false,"suffix":""}],"container-title":"BMC Health Services Research","id":"ITEM-65","issued":{"date-parts":[["2014"]]},"note":"Sakeah, Evelyn McCloskey, Lois Bernstein, Judith Yeboah-Antwi, Kojo Mills, Samuel Doctor, Henry V.\nYeboah-Antwi, Kojo/AAI-8519-2020; Amboko, Rashidi/D-9046-2015; Doctor, Henry/U-3095-2019\nDoctor, Henry/0000-0003-0378-1415; Yeboah-Antwi, Kojo/0000-0002-3516-9266\n1472-6963","title":"Is there any role for community involvement in the community-based health planning and services skilled delivery program in rural Ghana?","type":"article-journal","volume":"14"},"uris":["http://www.mendeley.com/documents/?uuid=13a840cd-6ddb-4531-8b67-d3cd07791a4d"]},{"id":"ITEM-66","itemData":{"DOI":"10.1186/1475-2875-8-131","ISBN":"1475-2875","abstract":"Background: Community distribution of anti-malarials and antibiotics has been recommended as a strategy to reduce the under-five mortality due to febrile illnesses in sub-Saharan Africa. However, drugs distributed in these interventions have been considered weak by some caretakers and utilization of community medicine distributors has been low. The aim of the study was to explore caretakers' use of drugs, perceptions of drug efficacy and preferred providers for febrile children in order to make suggestions for community management of pneumonia and malaria. Methods: The study was conducted in eastern Uganda using four focus group discussions with fathers and mothers of children under five; and eight key informant interviews with health workers in government and non-governmental organization facilities, community medicine distributors, and attendants in drug shops and private clinics. Caretakers were asked the drugs they use for treatment of fever, why they considered them efficacious, and the providers they go to and why they go there. Health providers were interviewed on their opinions of caretakers' perceptions of drugs and providers. Analysis was done using content analysis. Results: Drugs that have been phased out as first-line treatment for malaria, such as chloroquine and sulphadoxine/pyrimethamine, are still perceived as efficacious. Use of drugs depended on perception of the disease, cost and drug availability. There were divergent views about drug efficacy concerning drug combinations, side effects, packaging, or using drugs over time. Bitter taste and high cost signified high efficacy for anti-malarials. Government facilities were preferred for conducting diagnostic investigations and attending to serious illnesses, but often lacked drugs and did not treat people fast. Drug shops were preferred for having a variety of drugs, attending to clients promptly and offering treatment on credit. However, drug shops were considered disadvantageous since they lacked diagnostic capability and had unqualified providers. Conclusion: Community views about drug efficacy are divergent and some may divert caretakers from obtaining efficacious drugs for febrile illness. Interventions should address these perceptions, equip community medicine distributors with capacity to do diagnostic investigations and provide a constant supply of drugs. Subsidized efficacious drugs could be made available in the private sector.","author":[{"dropping-particle":"","family":"Rutebemberwa","given":"E","non-dropping-particle":"","parse-names":false,"suffix":""},{"dropping-particle":"","family":"Nsabagasani","given":"X","non-dropping-particle":"","parse-names":false,"suffix":""},{"dropping-particle":"","family":"Pariyo","given":"G","non-dropping-particle":"","parse-names":false,"suffix":""},{"dropping-particle":"","family":"Tomson","given":"G","non-dropping-particle":"","parse-names":false,"suffix":""},{"dropping-particle":"","family":"Peterson","given":"S","non-dropping-particle":"","parse-names":false,"suffix":""},{"dropping-particle":"","family":"Kallander","given":"K","non-dropping-particle":"","parse-names":false,"suffix":""}],"container-title":"Malaria Journal","id":"ITEM-66","issued":{"date-parts":[["2009"]]},"note":"Rutebemberwa, Elizeus Nsabagasani, Xavier Pariyo, George Tomson, Goran Peterson, Stefan Kallander, Karin\nPariyo, George W/K-2335-2017\nPariyo, George W/0000-0002-4411-2309; Tomson, Goran/0000-0001-9222-3604; Peterson, Stefan/0000-0001-7203-3096; Kallander, Karin/0000-0002-5778-5780; Rutebemberwa, Elizeus/0000-0001-8363-7928","title":"Use of drugs, perceived drug efficacy and preferred providers for febrile children: implications for home management of fever","type":"article-journal","volume":"8"},"uris":["http://www.mendeley.com/documents/?uuid=172f62a1-a11b-4d89-8664-9498e8f17afe"]},{"id":"ITEM-67","itemData":{"DOI":"10.1186/1471-2458-11-272","ISBN":"1471-2458","PMID":"21539746","abstract":"BACKGROUND: Kenya, like many developing nations, continues to experience high childhood mortality in spite of the many efforts put in place by governments and international bodies to curb it. This study sought to investigate the barriers to accessing healthcare services for children aged less than five years in Butere District, a rural district experiencing high rates of mortality and morbidity despite having relatively better conditions for child survival. METHODS: Exit interviews were conducted among caregivers seeking healthcare for their children in mid 2007 in all the 6 public health facilities. Additionally, views from caregivers in the community, health workers and district health managers were sought through focus group discussions (FGDs) and key informant interviews (KIs). RESULTS: Three hundred and ninety-seven respondents were surveyed in exit interviews while 45 respondents participated in FGDs and KIs. Some practices by caregivers including early onset of child bearing, early supplementation, and utilization of traditional healers were thought to increase the risk of mortality and morbidity, although reported rates of mosquito net utilization and immunization coverage were high. The healthcare system posed barriers to access of healthcare for the under fives, through long waiting time, lack of drugs and poor services, incompetence and perceived poor attitudes of the health workers. FGDs also revealed wide-spread concerns and misconceptions about health care among the caregivers. CONCLUSION: Caregivers' actions were thought to influence children's progression to illness or health while the healthcare delivery system posed recurrent barriers to the accessing of healthcare for the under-fives. Actions on both fronts are necessary to reduce childhood mortality.","author":[{"dropping-particle":"","family":"Opwora","given":"A S","non-dropping-particle":"","parse-names":false,"suffix":""},{"dropping-particle":"","family":"Laving","given":"A M","non-dropping-particle":"","parse-names":false,"suffix":""},{"dropping-particle":"","family":"Nyabola","given":"L O","non-dropping-particle":"","parse-names":false,"suffix":""},{"dropping-particle":"","family":"Olenja","given":"J M","non-dropping-particle":"","parse-names":false,"suffix":""}],"container-title":"BMC Public Health","edition":"2011/05/05","id":"ITEM-67","issued":{"date-parts":[["2011"]]},"language":"eng","note":"1471-2458\nOpwora, Antony S\nLaving, Ahmed M R\nNyabola, Lambert O\nOlenja, Joyce M\n077092/Wellcome Trust/United Kingdom\nComparative Study\nJournal Article\nResearch Support, Non-U.S. Gov't\nBMC Public Health. 2011 May 3;11:272. doi: 10.1186/1471-2458-11-272.","page":"272","title":"Who is to blame? Perspectives of caregivers on barriers to accessing healthcare for the under-fives in Butere District, Western Kenya","type":"article-journal","volume":"11"},"uris":["http://www.mendeley.com/documents/?uuid=d8fcf783-3d3e-4665-ac26-555b12cf4d41"]}],"mendeley":{"formattedCitation":"(1,2,11–20,3,21–30,4,31–40,5,41–50,6,51–60,7,61–67,8–10)","plainTextFormattedCitation":"(1,2,11–20,3,21–30,4,31–40,5,41–50,6,51–60,7,61–67,8–10)","previouslyFormattedCitation":"(23,24,34–43,25,44–53,26,54–63,27,64–72,74,28,75–84,29,85–89,94,95,30–32)"},"properties":{"noteIndex":0},"schema":"https://github.com/citation-style-language/schema/raw/master/csl-citation.json"}</w:instrText>
            </w:r>
            <w:r w:rsidRPr="003B0485">
              <w:rPr>
                <w:rFonts w:ascii="Times New Roman" w:hAnsi="Times New Roman"/>
                <w:sz w:val="24"/>
                <w:szCs w:val="24"/>
              </w:rPr>
              <w:fldChar w:fldCharType="separate"/>
            </w:r>
            <w:r w:rsidR="009D72B0" w:rsidRPr="009D72B0">
              <w:rPr>
                <w:rFonts w:ascii="Times New Roman" w:hAnsi="Times New Roman"/>
                <w:noProof/>
                <w:sz w:val="24"/>
                <w:szCs w:val="24"/>
              </w:rPr>
              <w:t>(1,2,11–20,3,21–30,4,31–40,5,41–50,6,51–60,7,61–67,8–10)</w:t>
            </w:r>
            <w:r w:rsidRPr="003B0485">
              <w:rPr>
                <w:rFonts w:ascii="Times New Roman" w:hAnsi="Times New Roman"/>
                <w:sz w:val="24"/>
                <w:szCs w:val="24"/>
              </w:rPr>
              <w:fldChar w:fldCharType="end"/>
            </w:r>
          </w:p>
        </w:tc>
        <w:tc>
          <w:tcPr>
            <w:tcW w:w="1775" w:type="dxa"/>
          </w:tcPr>
          <w:p w14:paraId="22F62749" w14:textId="77777777" w:rsidR="003B0485" w:rsidRPr="003B0485" w:rsidRDefault="003B0485" w:rsidP="003B0485">
            <w:pPr>
              <w:ind w:hanging="2"/>
              <w:rPr>
                <w:rFonts w:cs="Calibri"/>
              </w:rPr>
            </w:pPr>
            <w:r w:rsidRPr="003B0485">
              <w:rPr>
                <w:rFonts w:cs="Calibri"/>
              </w:rPr>
              <w:t xml:space="preserve">6 articles with significant methodological limitation (unclear description of methodology) </w:t>
            </w:r>
          </w:p>
          <w:p w14:paraId="584DED91" w14:textId="77777777" w:rsidR="003B0485" w:rsidRPr="003B0485" w:rsidRDefault="003B0485" w:rsidP="003B0485">
            <w:pPr>
              <w:ind w:hanging="2"/>
              <w:rPr>
                <w:rFonts w:cs="Calibri"/>
              </w:rPr>
            </w:pPr>
            <w:r w:rsidRPr="003B0485">
              <w:rPr>
                <w:rFonts w:cs="Calibri"/>
              </w:rPr>
              <w:t>10 articles with moderate methodological limitation.</w:t>
            </w:r>
          </w:p>
          <w:p w14:paraId="409FA98B" w14:textId="77777777" w:rsidR="003B0485" w:rsidRPr="003B0485" w:rsidRDefault="003B0485" w:rsidP="003B0485">
            <w:pPr>
              <w:ind w:hanging="2"/>
              <w:rPr>
                <w:rFonts w:cs="Calibri"/>
              </w:rPr>
            </w:pPr>
            <w:r w:rsidRPr="003B0485">
              <w:rPr>
                <w:rFonts w:cs="Calibri"/>
              </w:rPr>
              <w:t xml:space="preserve">51 articles with insignificant methodological limitation. </w:t>
            </w:r>
          </w:p>
          <w:p w14:paraId="4838197B" w14:textId="77777777" w:rsidR="003B0485" w:rsidRPr="003B0485" w:rsidRDefault="003B0485" w:rsidP="003B0485">
            <w:pPr>
              <w:ind w:hanging="2"/>
              <w:rPr>
                <w:rFonts w:cs="Calibri"/>
              </w:rPr>
            </w:pPr>
          </w:p>
          <w:p w14:paraId="2B365150" w14:textId="77777777" w:rsidR="003B0485" w:rsidRPr="003B0485" w:rsidRDefault="003B0485" w:rsidP="003B0485">
            <w:pPr>
              <w:ind w:hanging="2"/>
              <w:rPr>
                <w:rFonts w:cs="Calibri"/>
              </w:rPr>
            </w:pPr>
          </w:p>
          <w:p w14:paraId="5DDA246E" w14:textId="77777777" w:rsidR="003B0485" w:rsidRPr="003B0485" w:rsidRDefault="003B0485" w:rsidP="003B0485">
            <w:pPr>
              <w:ind w:hanging="2"/>
              <w:rPr>
                <w:rFonts w:cs="Calibri"/>
              </w:rPr>
            </w:pPr>
          </w:p>
        </w:tc>
        <w:tc>
          <w:tcPr>
            <w:tcW w:w="1346" w:type="dxa"/>
          </w:tcPr>
          <w:p w14:paraId="14B47CE9" w14:textId="77777777" w:rsidR="003B0485" w:rsidRPr="003B0485" w:rsidRDefault="003B0485" w:rsidP="003B0485">
            <w:pPr>
              <w:ind w:hanging="2"/>
              <w:rPr>
                <w:rFonts w:cs="Calibri"/>
              </w:rPr>
            </w:pPr>
            <w:r w:rsidRPr="003B0485">
              <w:rPr>
                <w:rFonts w:cs="Calibri"/>
              </w:rPr>
              <w:t xml:space="preserve">48 articles with moderate coherence. 19 articles with high coherence. </w:t>
            </w:r>
          </w:p>
          <w:p w14:paraId="6B28AE2A" w14:textId="77777777" w:rsidR="003B0485" w:rsidRPr="003B0485" w:rsidRDefault="003B0485" w:rsidP="003B0485">
            <w:pPr>
              <w:ind w:hanging="2"/>
              <w:rPr>
                <w:rFonts w:cs="Calibri"/>
              </w:rPr>
            </w:pPr>
          </w:p>
          <w:p w14:paraId="12AE71F4" w14:textId="77777777" w:rsidR="003B0485" w:rsidRPr="003B0485" w:rsidRDefault="003B0485" w:rsidP="003B0485">
            <w:pPr>
              <w:ind w:hanging="2"/>
              <w:rPr>
                <w:rFonts w:cs="Calibri"/>
              </w:rPr>
            </w:pPr>
          </w:p>
        </w:tc>
        <w:tc>
          <w:tcPr>
            <w:tcW w:w="1349" w:type="dxa"/>
          </w:tcPr>
          <w:p w14:paraId="4956584F" w14:textId="77777777" w:rsidR="003B0485" w:rsidRPr="003B0485" w:rsidRDefault="003B0485" w:rsidP="003B0485">
            <w:pPr>
              <w:ind w:hanging="2"/>
              <w:rPr>
                <w:rFonts w:cs="Calibri"/>
              </w:rPr>
            </w:pPr>
            <w:r w:rsidRPr="003B0485">
              <w:rPr>
                <w:rFonts w:cs="Calibri"/>
              </w:rPr>
              <w:t xml:space="preserve">3 articles with low adequacy of data (Poor description of data collection including data saturation). 11 articles with moderate adequacy of data. 53 articles with high adequacy of data. </w:t>
            </w:r>
          </w:p>
        </w:tc>
        <w:tc>
          <w:tcPr>
            <w:tcW w:w="1526" w:type="dxa"/>
          </w:tcPr>
          <w:p w14:paraId="1086B129" w14:textId="77777777" w:rsidR="003B0485" w:rsidRPr="003B0485" w:rsidRDefault="003B0485" w:rsidP="003B0485">
            <w:pPr>
              <w:ind w:hanging="2"/>
              <w:rPr>
                <w:rFonts w:cs="Calibri"/>
              </w:rPr>
            </w:pPr>
            <w:r w:rsidRPr="003B0485">
              <w:rPr>
                <w:rFonts w:cs="Calibri"/>
              </w:rPr>
              <w:t xml:space="preserve">8 articles with moderate relevance and 59 with high relevance. </w:t>
            </w:r>
          </w:p>
          <w:p w14:paraId="1A4718EF" w14:textId="77777777" w:rsidR="003B0485" w:rsidRPr="003B0485" w:rsidRDefault="003B0485" w:rsidP="003B0485">
            <w:pPr>
              <w:ind w:hanging="2"/>
              <w:rPr>
                <w:rFonts w:cs="Calibri"/>
              </w:rPr>
            </w:pPr>
          </w:p>
          <w:p w14:paraId="349454A7" w14:textId="77777777" w:rsidR="003B0485" w:rsidRPr="003B0485" w:rsidRDefault="003B0485" w:rsidP="003B0485">
            <w:pPr>
              <w:ind w:hanging="2"/>
              <w:rPr>
                <w:rFonts w:cs="Calibri"/>
              </w:rPr>
            </w:pPr>
          </w:p>
        </w:tc>
        <w:tc>
          <w:tcPr>
            <w:tcW w:w="1760" w:type="dxa"/>
          </w:tcPr>
          <w:p w14:paraId="39805D9D" w14:textId="77777777" w:rsidR="003B0485" w:rsidRPr="003B0485" w:rsidRDefault="003B0485" w:rsidP="003B0485">
            <w:pPr>
              <w:ind w:hanging="2"/>
              <w:rPr>
                <w:rFonts w:cs="Calibri"/>
              </w:rPr>
            </w:pPr>
            <w:r w:rsidRPr="003B0485">
              <w:rPr>
                <w:rFonts w:cs="Calibri"/>
              </w:rPr>
              <w:t xml:space="preserve">Moderate level of </w:t>
            </w:r>
          </w:p>
          <w:p w14:paraId="0C942CCD" w14:textId="77777777" w:rsidR="003B0485" w:rsidRPr="003B0485" w:rsidRDefault="003B0485" w:rsidP="003B0485">
            <w:pPr>
              <w:ind w:hanging="2"/>
              <w:rPr>
                <w:rFonts w:cs="Calibri"/>
              </w:rPr>
            </w:pPr>
            <w:r w:rsidRPr="003B0485">
              <w:rPr>
                <w:rFonts w:cs="Calibri"/>
              </w:rPr>
              <w:t>confidence</w:t>
            </w:r>
          </w:p>
        </w:tc>
        <w:tc>
          <w:tcPr>
            <w:tcW w:w="1760" w:type="dxa"/>
          </w:tcPr>
          <w:p w14:paraId="2B876301" w14:textId="77777777" w:rsidR="003B0485" w:rsidRPr="003B0485" w:rsidRDefault="003B0485" w:rsidP="003B0485">
            <w:pPr>
              <w:ind w:hanging="2"/>
              <w:rPr>
                <w:rFonts w:cs="Calibri"/>
              </w:rPr>
            </w:pPr>
            <w:r w:rsidRPr="003B0485">
              <w:rPr>
                <w:rFonts w:cs="Calibri"/>
              </w:rPr>
              <w:t xml:space="preserve">Key concerns relate to poor description of methodology and adequacy of data (data saturation). </w:t>
            </w:r>
          </w:p>
        </w:tc>
      </w:tr>
    </w:tbl>
    <w:p w14:paraId="2AB26430" w14:textId="18BA5876" w:rsidR="00C921E0" w:rsidRDefault="00C921E0">
      <w:pPr>
        <w:rPr>
          <w:rFonts w:eastAsia="Arial Unicode MS" w:cstheme="minorHAnsi"/>
          <w:b/>
          <w:bCs/>
          <w:color w:val="000000"/>
          <w:u w:color="000000"/>
        </w:rPr>
      </w:pPr>
    </w:p>
    <w:p w14:paraId="090DFD49" w14:textId="6103D309" w:rsidR="003B0485" w:rsidRDefault="003B0485">
      <w:pPr>
        <w:rPr>
          <w:rFonts w:eastAsia="Arial Unicode MS" w:cstheme="minorHAnsi"/>
          <w:b/>
          <w:bCs/>
          <w:color w:val="000000"/>
          <w:u w:color="000000"/>
        </w:rPr>
      </w:pPr>
    </w:p>
    <w:p w14:paraId="6AC3DE14" w14:textId="4BE44F67" w:rsidR="0050536F" w:rsidRPr="008A6B82" w:rsidRDefault="008A6B82">
      <w:pPr>
        <w:rPr>
          <w:rFonts w:eastAsia="Arial Unicode MS" w:cstheme="minorHAnsi"/>
          <w:color w:val="000000"/>
          <w:u w:color="000000"/>
        </w:rPr>
      </w:pPr>
      <w:r w:rsidRPr="008A6B82">
        <w:rPr>
          <w:rFonts w:eastAsia="Arial Unicode MS" w:cstheme="minorHAnsi"/>
          <w:color w:val="000000"/>
          <w:u w:color="000000"/>
        </w:rPr>
        <w:lastRenderedPageBreak/>
        <w:t xml:space="preserve">Appendix 8: Completed </w:t>
      </w:r>
      <w:r w:rsidR="0050536F" w:rsidRPr="008A6B82">
        <w:rPr>
          <w:rFonts w:eastAsia="Arial Unicode MS" w:cstheme="minorHAnsi"/>
          <w:color w:val="000000"/>
          <w:u w:color="000000"/>
        </w:rPr>
        <w:t xml:space="preserve">PRISMA 2020 </w:t>
      </w:r>
      <w:r>
        <w:rPr>
          <w:rFonts w:eastAsia="Arial Unicode MS" w:cstheme="minorHAnsi"/>
          <w:color w:val="000000"/>
          <w:u w:color="000000"/>
        </w:rPr>
        <w:t>checklist</w:t>
      </w:r>
    </w:p>
    <w:tbl>
      <w:tblPr>
        <w:tblW w:w="15210" w:type="dxa"/>
        <w:tblInd w:w="-1086" w:type="dxa"/>
        <w:tblBorders>
          <w:top w:val="nil"/>
          <w:left w:val="nil"/>
          <w:bottom w:val="nil"/>
          <w:right w:val="nil"/>
        </w:tblBorders>
        <w:tblLook w:val="0000" w:firstRow="0" w:lastRow="0" w:firstColumn="0" w:lastColumn="0" w:noHBand="0" w:noVBand="0"/>
      </w:tblPr>
      <w:tblGrid>
        <w:gridCol w:w="2328"/>
        <w:gridCol w:w="587"/>
        <w:gridCol w:w="11035"/>
        <w:gridCol w:w="1260"/>
      </w:tblGrid>
      <w:tr w:rsidR="0050536F" w:rsidRPr="0050536F" w14:paraId="3ED763D6" w14:textId="77777777" w:rsidTr="0050536F">
        <w:trPr>
          <w:trHeight w:val="65"/>
          <w:tblHeader/>
        </w:trPr>
        <w:tc>
          <w:tcPr>
            <w:tcW w:w="232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40A3B08" w14:textId="77777777" w:rsidR="0050536F" w:rsidRPr="0050536F" w:rsidRDefault="0050536F" w:rsidP="0050536F">
            <w:pPr>
              <w:widowControl w:val="0"/>
              <w:autoSpaceDE w:val="0"/>
              <w:autoSpaceDN w:val="0"/>
              <w:adjustRightInd w:val="0"/>
              <w:spacing w:after="0" w:line="240" w:lineRule="auto"/>
              <w:rPr>
                <w:rFonts w:ascii="Arial" w:eastAsia="Times New Roman" w:hAnsi="Arial" w:cs="Arial"/>
                <w:color w:val="FFFFFF"/>
                <w:sz w:val="18"/>
                <w:szCs w:val="18"/>
                <w:lang w:val="en-CA" w:eastAsia="en-CA"/>
              </w:rPr>
            </w:pPr>
            <w:r w:rsidRPr="0050536F">
              <w:rPr>
                <w:rFonts w:ascii="Arial" w:eastAsia="Times New Roman" w:hAnsi="Arial" w:cs="Arial"/>
                <w:b/>
                <w:bCs/>
                <w:color w:val="FFFFFF"/>
                <w:sz w:val="18"/>
                <w:szCs w:val="18"/>
                <w:lang w:val="en-CA" w:eastAsia="en-CA"/>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78791C6" w14:textId="77777777" w:rsidR="0050536F" w:rsidRPr="0050536F" w:rsidRDefault="0050536F" w:rsidP="0050536F">
            <w:pPr>
              <w:widowControl w:val="0"/>
              <w:autoSpaceDE w:val="0"/>
              <w:autoSpaceDN w:val="0"/>
              <w:adjustRightInd w:val="0"/>
              <w:spacing w:after="0" w:line="240" w:lineRule="auto"/>
              <w:rPr>
                <w:rFonts w:ascii="Arial" w:eastAsia="Times New Roman" w:hAnsi="Arial" w:cs="Arial"/>
                <w:b/>
                <w:bCs/>
                <w:color w:val="FFFFFF"/>
                <w:sz w:val="18"/>
                <w:szCs w:val="18"/>
                <w:lang w:val="en-CA" w:eastAsia="en-CA"/>
              </w:rPr>
            </w:pPr>
            <w:r w:rsidRPr="0050536F">
              <w:rPr>
                <w:rFonts w:ascii="Arial" w:eastAsia="Times New Roman" w:hAnsi="Arial" w:cs="Arial"/>
                <w:b/>
                <w:bCs/>
                <w:color w:val="FFFFFF"/>
                <w:sz w:val="18"/>
                <w:szCs w:val="18"/>
                <w:lang w:val="en-CA" w:eastAsia="en-CA"/>
              </w:rPr>
              <w:t>Item #</w:t>
            </w:r>
          </w:p>
        </w:tc>
        <w:tc>
          <w:tcPr>
            <w:tcW w:w="1103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6F03A1D" w14:textId="77777777" w:rsidR="0050536F" w:rsidRPr="0050536F" w:rsidRDefault="0050536F" w:rsidP="0050536F">
            <w:pPr>
              <w:widowControl w:val="0"/>
              <w:autoSpaceDE w:val="0"/>
              <w:autoSpaceDN w:val="0"/>
              <w:adjustRightInd w:val="0"/>
              <w:spacing w:after="0" w:line="240" w:lineRule="auto"/>
              <w:rPr>
                <w:rFonts w:ascii="Arial" w:eastAsia="Times New Roman" w:hAnsi="Arial" w:cs="Arial"/>
                <w:color w:val="FFFFFF"/>
                <w:sz w:val="18"/>
                <w:szCs w:val="18"/>
                <w:lang w:val="en-CA" w:eastAsia="en-CA"/>
              </w:rPr>
            </w:pPr>
            <w:r w:rsidRPr="0050536F">
              <w:rPr>
                <w:rFonts w:ascii="Arial" w:eastAsia="Times New Roman" w:hAnsi="Arial" w:cs="Arial"/>
                <w:b/>
                <w:bCs/>
                <w:color w:val="FFFFFF"/>
                <w:sz w:val="18"/>
                <w:szCs w:val="18"/>
                <w:lang w:val="en-CA" w:eastAsia="en-CA"/>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8F23491" w14:textId="5A306C4C" w:rsidR="0050536F" w:rsidRPr="0050536F" w:rsidRDefault="0095334D" w:rsidP="0050536F">
            <w:pPr>
              <w:widowControl w:val="0"/>
              <w:autoSpaceDE w:val="0"/>
              <w:autoSpaceDN w:val="0"/>
              <w:adjustRightInd w:val="0"/>
              <w:spacing w:after="0" w:line="240" w:lineRule="auto"/>
              <w:rPr>
                <w:rFonts w:ascii="Arial" w:eastAsia="Times New Roman" w:hAnsi="Arial" w:cs="Arial"/>
                <w:color w:val="FFFFFF"/>
                <w:sz w:val="18"/>
                <w:szCs w:val="18"/>
                <w:lang w:val="en-CA" w:eastAsia="en-CA"/>
              </w:rPr>
            </w:pPr>
            <w:r>
              <w:rPr>
                <w:rFonts w:ascii="Arial" w:eastAsia="Times New Roman" w:hAnsi="Arial" w:cs="Arial"/>
                <w:b/>
                <w:bCs/>
                <w:color w:val="FFFFFF"/>
                <w:sz w:val="18"/>
                <w:szCs w:val="18"/>
                <w:lang w:val="en-CA" w:eastAsia="en-CA"/>
              </w:rPr>
              <w:t>Reported on page #</w:t>
            </w:r>
            <w:r w:rsidR="0050536F" w:rsidRPr="0050536F">
              <w:rPr>
                <w:rFonts w:ascii="Arial" w:eastAsia="Times New Roman" w:hAnsi="Arial" w:cs="Arial"/>
                <w:b/>
                <w:bCs/>
                <w:color w:val="FFFFFF"/>
                <w:sz w:val="18"/>
                <w:szCs w:val="18"/>
                <w:lang w:val="en-CA" w:eastAsia="en-CA"/>
              </w:rPr>
              <w:t xml:space="preserve"> </w:t>
            </w:r>
          </w:p>
        </w:tc>
      </w:tr>
      <w:tr w:rsidR="0050536F" w:rsidRPr="0050536F" w14:paraId="5D0F3E37" w14:textId="77777777" w:rsidTr="0050536F">
        <w:trPr>
          <w:trHeight w:val="24"/>
        </w:trPr>
        <w:tc>
          <w:tcPr>
            <w:tcW w:w="1395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81DD551" w14:textId="77777777" w:rsidR="0050536F" w:rsidRPr="0050536F" w:rsidRDefault="0050536F" w:rsidP="0050536F">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0536F">
              <w:rPr>
                <w:rFonts w:ascii="Arial" w:eastAsia="Times New Roman" w:hAnsi="Arial" w:cs="Arial"/>
                <w:b/>
                <w:bCs/>
                <w:color w:val="000000"/>
                <w:sz w:val="18"/>
                <w:szCs w:val="18"/>
                <w:lang w:val="en-CA" w:eastAsia="en-CA"/>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B8D76B1" w14:textId="77777777" w:rsidR="0050536F" w:rsidRPr="0050536F" w:rsidRDefault="0050536F" w:rsidP="0050536F">
            <w:pPr>
              <w:widowControl w:val="0"/>
              <w:autoSpaceDE w:val="0"/>
              <w:autoSpaceDN w:val="0"/>
              <w:adjustRightInd w:val="0"/>
              <w:spacing w:after="0" w:line="240" w:lineRule="auto"/>
              <w:jc w:val="right"/>
              <w:rPr>
                <w:rFonts w:ascii="Arial" w:eastAsia="Times New Roman" w:hAnsi="Arial" w:cs="Arial"/>
                <w:sz w:val="18"/>
                <w:szCs w:val="18"/>
                <w:lang w:val="en-CA" w:eastAsia="en-CA"/>
              </w:rPr>
            </w:pPr>
          </w:p>
        </w:tc>
      </w:tr>
      <w:tr w:rsidR="0050536F" w:rsidRPr="0050536F" w14:paraId="5EF92F3D" w14:textId="77777777" w:rsidTr="0050536F">
        <w:trPr>
          <w:trHeight w:val="48"/>
        </w:trPr>
        <w:tc>
          <w:tcPr>
            <w:tcW w:w="2328" w:type="dxa"/>
            <w:tcBorders>
              <w:top w:val="single" w:sz="5" w:space="0" w:color="000000"/>
              <w:left w:val="single" w:sz="5" w:space="0" w:color="000000"/>
              <w:bottom w:val="double" w:sz="2" w:space="0" w:color="FFFFCC"/>
              <w:right w:val="single" w:sz="5" w:space="0" w:color="000000"/>
            </w:tcBorders>
          </w:tcPr>
          <w:p w14:paraId="2CD29C9F"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26CF5508"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w:t>
            </w:r>
          </w:p>
        </w:tc>
        <w:tc>
          <w:tcPr>
            <w:tcW w:w="11035" w:type="dxa"/>
            <w:tcBorders>
              <w:top w:val="single" w:sz="5" w:space="0" w:color="000000"/>
              <w:left w:val="single" w:sz="5" w:space="0" w:color="000000"/>
              <w:bottom w:val="double" w:sz="5" w:space="0" w:color="000000"/>
              <w:right w:val="single" w:sz="5" w:space="0" w:color="000000"/>
            </w:tcBorders>
          </w:tcPr>
          <w:p w14:paraId="7AFDE281"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Identify the report as a systematic review.</w:t>
            </w:r>
          </w:p>
        </w:tc>
        <w:tc>
          <w:tcPr>
            <w:tcW w:w="1260" w:type="dxa"/>
            <w:tcBorders>
              <w:top w:val="single" w:sz="5" w:space="0" w:color="000000"/>
              <w:left w:val="single" w:sz="5" w:space="0" w:color="000000"/>
              <w:bottom w:val="double" w:sz="5" w:space="0" w:color="000000"/>
              <w:right w:val="single" w:sz="5" w:space="0" w:color="000000"/>
            </w:tcBorders>
          </w:tcPr>
          <w:p w14:paraId="78E75D74" w14:textId="25294148" w:rsidR="0050536F" w:rsidRPr="0050536F" w:rsidRDefault="0095334D"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1</w:t>
            </w:r>
          </w:p>
        </w:tc>
      </w:tr>
      <w:tr w:rsidR="0050536F" w:rsidRPr="0050536F" w14:paraId="4E3688C1" w14:textId="77777777" w:rsidTr="0050536F">
        <w:trPr>
          <w:trHeight w:val="24"/>
        </w:trPr>
        <w:tc>
          <w:tcPr>
            <w:tcW w:w="1395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89619FE" w14:textId="77777777" w:rsidR="0050536F" w:rsidRPr="0050536F" w:rsidRDefault="0050536F" w:rsidP="0050536F">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0536F">
              <w:rPr>
                <w:rFonts w:ascii="Arial" w:eastAsia="Times New Roman" w:hAnsi="Arial" w:cs="Arial"/>
                <w:b/>
                <w:bCs/>
                <w:color w:val="000000"/>
                <w:sz w:val="18"/>
                <w:szCs w:val="18"/>
                <w:lang w:val="en-CA" w:eastAsia="en-CA"/>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16FEF27" w14:textId="77777777" w:rsidR="0050536F" w:rsidRPr="0050536F" w:rsidRDefault="0050536F" w:rsidP="0050536F">
            <w:pPr>
              <w:widowControl w:val="0"/>
              <w:autoSpaceDE w:val="0"/>
              <w:autoSpaceDN w:val="0"/>
              <w:adjustRightInd w:val="0"/>
              <w:spacing w:after="0" w:line="240" w:lineRule="auto"/>
              <w:jc w:val="right"/>
              <w:rPr>
                <w:rFonts w:ascii="Arial" w:eastAsia="Times New Roman" w:hAnsi="Arial" w:cs="Arial"/>
                <w:sz w:val="18"/>
                <w:szCs w:val="18"/>
                <w:lang w:val="en-CA" w:eastAsia="en-CA"/>
              </w:rPr>
            </w:pPr>
          </w:p>
        </w:tc>
      </w:tr>
      <w:tr w:rsidR="0050536F" w:rsidRPr="0050536F" w14:paraId="5CD7A12D" w14:textId="77777777" w:rsidTr="0050536F">
        <w:trPr>
          <w:trHeight w:val="48"/>
        </w:trPr>
        <w:tc>
          <w:tcPr>
            <w:tcW w:w="2328" w:type="dxa"/>
            <w:tcBorders>
              <w:top w:val="single" w:sz="5" w:space="0" w:color="000000"/>
              <w:left w:val="single" w:sz="5" w:space="0" w:color="000000"/>
              <w:bottom w:val="double" w:sz="2" w:space="0" w:color="FFFFCC"/>
              <w:right w:val="single" w:sz="5" w:space="0" w:color="000000"/>
            </w:tcBorders>
          </w:tcPr>
          <w:p w14:paraId="1D2928EF"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4F1423FA"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w:t>
            </w:r>
          </w:p>
        </w:tc>
        <w:tc>
          <w:tcPr>
            <w:tcW w:w="11035" w:type="dxa"/>
            <w:tcBorders>
              <w:top w:val="single" w:sz="5" w:space="0" w:color="000000"/>
              <w:left w:val="single" w:sz="5" w:space="0" w:color="000000"/>
              <w:bottom w:val="double" w:sz="5" w:space="0" w:color="000000"/>
              <w:right w:val="single" w:sz="5" w:space="0" w:color="000000"/>
            </w:tcBorders>
          </w:tcPr>
          <w:p w14:paraId="52B50EC7"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See the PRISMA 2020 for Abstracts checklist.</w:t>
            </w:r>
          </w:p>
        </w:tc>
        <w:tc>
          <w:tcPr>
            <w:tcW w:w="1260" w:type="dxa"/>
            <w:tcBorders>
              <w:top w:val="single" w:sz="5" w:space="0" w:color="000000"/>
              <w:left w:val="single" w:sz="5" w:space="0" w:color="000000"/>
              <w:bottom w:val="double" w:sz="5" w:space="0" w:color="000000"/>
              <w:right w:val="single" w:sz="5" w:space="0" w:color="000000"/>
            </w:tcBorders>
          </w:tcPr>
          <w:p w14:paraId="0704C3C9" w14:textId="3E341946" w:rsidR="0050536F" w:rsidRPr="0050536F" w:rsidRDefault="0095334D"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2-3</w:t>
            </w:r>
          </w:p>
        </w:tc>
      </w:tr>
      <w:tr w:rsidR="0050536F" w:rsidRPr="0050536F" w14:paraId="5C64FC92" w14:textId="77777777" w:rsidTr="0050536F">
        <w:trPr>
          <w:trHeight w:val="24"/>
        </w:trPr>
        <w:tc>
          <w:tcPr>
            <w:tcW w:w="1395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74F2D2A" w14:textId="77777777" w:rsidR="0050536F" w:rsidRPr="0050536F" w:rsidRDefault="0050536F" w:rsidP="0050536F">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0536F">
              <w:rPr>
                <w:rFonts w:ascii="Arial" w:eastAsia="Times New Roman" w:hAnsi="Arial" w:cs="Arial"/>
                <w:b/>
                <w:bCs/>
                <w:color w:val="000000"/>
                <w:sz w:val="18"/>
                <w:szCs w:val="18"/>
                <w:lang w:val="en-CA" w:eastAsia="en-CA"/>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3847ABA" w14:textId="77777777" w:rsidR="0050536F" w:rsidRPr="0050536F" w:rsidRDefault="0050536F" w:rsidP="0050536F">
            <w:pPr>
              <w:widowControl w:val="0"/>
              <w:autoSpaceDE w:val="0"/>
              <w:autoSpaceDN w:val="0"/>
              <w:adjustRightInd w:val="0"/>
              <w:spacing w:after="0" w:line="240" w:lineRule="auto"/>
              <w:jc w:val="right"/>
              <w:rPr>
                <w:rFonts w:ascii="Arial" w:eastAsia="Times New Roman" w:hAnsi="Arial" w:cs="Arial"/>
                <w:sz w:val="18"/>
                <w:szCs w:val="18"/>
                <w:lang w:val="en-CA" w:eastAsia="en-CA"/>
              </w:rPr>
            </w:pPr>
          </w:p>
        </w:tc>
      </w:tr>
      <w:tr w:rsidR="0050536F" w:rsidRPr="0050536F" w14:paraId="068EE1BD"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293A666D"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407820F7"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3</w:t>
            </w:r>
          </w:p>
        </w:tc>
        <w:tc>
          <w:tcPr>
            <w:tcW w:w="11035" w:type="dxa"/>
            <w:tcBorders>
              <w:top w:val="single" w:sz="5" w:space="0" w:color="000000"/>
              <w:left w:val="single" w:sz="5" w:space="0" w:color="000000"/>
              <w:bottom w:val="single" w:sz="5" w:space="0" w:color="000000"/>
              <w:right w:val="single" w:sz="5" w:space="0" w:color="000000"/>
            </w:tcBorders>
          </w:tcPr>
          <w:p w14:paraId="5B957480"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Describe the rationale for the review in the context of existing knowledge.</w:t>
            </w:r>
          </w:p>
        </w:tc>
        <w:tc>
          <w:tcPr>
            <w:tcW w:w="1260" w:type="dxa"/>
            <w:tcBorders>
              <w:top w:val="single" w:sz="5" w:space="0" w:color="000000"/>
              <w:left w:val="single" w:sz="5" w:space="0" w:color="000000"/>
              <w:bottom w:val="single" w:sz="5" w:space="0" w:color="000000"/>
              <w:right w:val="single" w:sz="5" w:space="0" w:color="000000"/>
            </w:tcBorders>
          </w:tcPr>
          <w:p w14:paraId="0FA34B5D" w14:textId="6FBA678C" w:rsidR="0050536F" w:rsidRPr="0050536F" w:rsidRDefault="0095334D"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4</w:t>
            </w:r>
          </w:p>
        </w:tc>
      </w:tr>
      <w:tr w:rsidR="0050536F" w:rsidRPr="0050536F" w14:paraId="2F8ACCB0" w14:textId="77777777" w:rsidTr="0050536F">
        <w:trPr>
          <w:trHeight w:val="48"/>
        </w:trPr>
        <w:tc>
          <w:tcPr>
            <w:tcW w:w="2328" w:type="dxa"/>
            <w:tcBorders>
              <w:top w:val="single" w:sz="5" w:space="0" w:color="000000"/>
              <w:left w:val="single" w:sz="5" w:space="0" w:color="000000"/>
              <w:bottom w:val="double" w:sz="2" w:space="0" w:color="FFFFCC"/>
              <w:right w:val="single" w:sz="5" w:space="0" w:color="000000"/>
            </w:tcBorders>
          </w:tcPr>
          <w:p w14:paraId="3276D6EB"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141FC53F"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4</w:t>
            </w:r>
          </w:p>
        </w:tc>
        <w:tc>
          <w:tcPr>
            <w:tcW w:w="11035" w:type="dxa"/>
            <w:tcBorders>
              <w:top w:val="single" w:sz="5" w:space="0" w:color="000000"/>
              <w:left w:val="single" w:sz="5" w:space="0" w:color="000000"/>
              <w:bottom w:val="double" w:sz="5" w:space="0" w:color="000000"/>
              <w:right w:val="single" w:sz="5" w:space="0" w:color="000000"/>
            </w:tcBorders>
          </w:tcPr>
          <w:p w14:paraId="21DECD7E"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Provide an explicit statement of the objective(s) or question(s) the review addresses.</w:t>
            </w:r>
          </w:p>
        </w:tc>
        <w:tc>
          <w:tcPr>
            <w:tcW w:w="1260" w:type="dxa"/>
            <w:tcBorders>
              <w:top w:val="single" w:sz="5" w:space="0" w:color="000000"/>
              <w:left w:val="single" w:sz="5" w:space="0" w:color="000000"/>
              <w:bottom w:val="double" w:sz="5" w:space="0" w:color="000000"/>
              <w:right w:val="single" w:sz="5" w:space="0" w:color="000000"/>
            </w:tcBorders>
          </w:tcPr>
          <w:p w14:paraId="7B7E18D0" w14:textId="5D234CE2" w:rsidR="0050536F" w:rsidRPr="0050536F" w:rsidRDefault="0095334D"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4</w:t>
            </w:r>
          </w:p>
        </w:tc>
      </w:tr>
      <w:tr w:rsidR="0050536F" w:rsidRPr="0050536F" w14:paraId="26D6BA05" w14:textId="77777777" w:rsidTr="0050536F">
        <w:trPr>
          <w:trHeight w:val="24"/>
        </w:trPr>
        <w:tc>
          <w:tcPr>
            <w:tcW w:w="1395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ADB4FC7" w14:textId="77777777" w:rsidR="0050536F" w:rsidRPr="0050536F" w:rsidRDefault="0050536F" w:rsidP="0050536F">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0536F">
              <w:rPr>
                <w:rFonts w:ascii="Arial" w:eastAsia="Times New Roman" w:hAnsi="Arial" w:cs="Arial"/>
                <w:b/>
                <w:bCs/>
                <w:color w:val="000000"/>
                <w:sz w:val="18"/>
                <w:szCs w:val="18"/>
                <w:lang w:val="en-CA" w:eastAsia="en-CA"/>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A908F50" w14:textId="77777777" w:rsidR="0050536F" w:rsidRPr="0050536F" w:rsidRDefault="0050536F" w:rsidP="0050536F">
            <w:pPr>
              <w:widowControl w:val="0"/>
              <w:autoSpaceDE w:val="0"/>
              <w:autoSpaceDN w:val="0"/>
              <w:adjustRightInd w:val="0"/>
              <w:spacing w:after="0" w:line="240" w:lineRule="auto"/>
              <w:jc w:val="right"/>
              <w:rPr>
                <w:rFonts w:ascii="Arial" w:eastAsia="Times New Roman" w:hAnsi="Arial" w:cs="Arial"/>
                <w:sz w:val="18"/>
                <w:szCs w:val="18"/>
                <w:lang w:val="en-CA" w:eastAsia="en-CA"/>
              </w:rPr>
            </w:pPr>
          </w:p>
        </w:tc>
      </w:tr>
      <w:tr w:rsidR="0050536F" w:rsidRPr="0050536F" w14:paraId="7BCD1BB1"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16AB1002"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B91ED6D"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5</w:t>
            </w:r>
          </w:p>
        </w:tc>
        <w:tc>
          <w:tcPr>
            <w:tcW w:w="11035" w:type="dxa"/>
            <w:tcBorders>
              <w:top w:val="single" w:sz="5" w:space="0" w:color="000000"/>
              <w:left w:val="single" w:sz="5" w:space="0" w:color="000000"/>
              <w:bottom w:val="single" w:sz="5" w:space="0" w:color="000000"/>
              <w:right w:val="single" w:sz="5" w:space="0" w:color="000000"/>
            </w:tcBorders>
          </w:tcPr>
          <w:p w14:paraId="684E3A20"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Specify the inclusion and exclusion criteria for the review and how studies were grouped for the syntheses.</w:t>
            </w:r>
          </w:p>
        </w:tc>
        <w:tc>
          <w:tcPr>
            <w:tcW w:w="1260" w:type="dxa"/>
            <w:tcBorders>
              <w:top w:val="single" w:sz="5" w:space="0" w:color="000000"/>
              <w:left w:val="single" w:sz="5" w:space="0" w:color="000000"/>
              <w:bottom w:val="single" w:sz="5" w:space="0" w:color="000000"/>
              <w:right w:val="single" w:sz="5" w:space="0" w:color="000000"/>
            </w:tcBorders>
          </w:tcPr>
          <w:p w14:paraId="1C18BB10" w14:textId="48E7DFAC" w:rsidR="0050536F" w:rsidRPr="0050536F" w:rsidRDefault="0095334D"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5-6</w:t>
            </w:r>
          </w:p>
        </w:tc>
      </w:tr>
      <w:tr w:rsidR="0050536F" w:rsidRPr="0050536F" w14:paraId="3B50FA7C" w14:textId="77777777" w:rsidTr="0050536F">
        <w:trPr>
          <w:trHeight w:val="191"/>
        </w:trPr>
        <w:tc>
          <w:tcPr>
            <w:tcW w:w="2328" w:type="dxa"/>
            <w:tcBorders>
              <w:top w:val="single" w:sz="5" w:space="0" w:color="000000"/>
              <w:left w:val="single" w:sz="5" w:space="0" w:color="000000"/>
              <w:bottom w:val="single" w:sz="5" w:space="0" w:color="000000"/>
              <w:right w:val="single" w:sz="5" w:space="0" w:color="000000"/>
            </w:tcBorders>
          </w:tcPr>
          <w:p w14:paraId="06AC4F10"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1B61D2BC"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6</w:t>
            </w:r>
          </w:p>
        </w:tc>
        <w:tc>
          <w:tcPr>
            <w:tcW w:w="11035" w:type="dxa"/>
            <w:tcBorders>
              <w:top w:val="single" w:sz="5" w:space="0" w:color="000000"/>
              <w:left w:val="single" w:sz="5" w:space="0" w:color="000000"/>
              <w:bottom w:val="single" w:sz="5" w:space="0" w:color="000000"/>
              <w:right w:val="single" w:sz="5" w:space="0" w:color="000000"/>
            </w:tcBorders>
          </w:tcPr>
          <w:p w14:paraId="12DE3970"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Specify all databases, registers, websites, organisations, reference lists and other sources searched or consulted to identify studies. Specify the date when each source was last searched or consulted.</w:t>
            </w:r>
          </w:p>
        </w:tc>
        <w:tc>
          <w:tcPr>
            <w:tcW w:w="1260" w:type="dxa"/>
            <w:tcBorders>
              <w:top w:val="single" w:sz="5" w:space="0" w:color="000000"/>
              <w:left w:val="single" w:sz="5" w:space="0" w:color="000000"/>
              <w:bottom w:val="single" w:sz="5" w:space="0" w:color="000000"/>
              <w:right w:val="single" w:sz="5" w:space="0" w:color="000000"/>
            </w:tcBorders>
          </w:tcPr>
          <w:p w14:paraId="724E2792" w14:textId="027CB5FC" w:rsidR="0050536F" w:rsidRPr="0050536F" w:rsidRDefault="0095334D"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5</w:t>
            </w:r>
          </w:p>
        </w:tc>
      </w:tr>
      <w:tr w:rsidR="0050536F" w:rsidRPr="0050536F" w14:paraId="631E702F"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2CA636FF"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7F98A734"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7</w:t>
            </w:r>
          </w:p>
        </w:tc>
        <w:tc>
          <w:tcPr>
            <w:tcW w:w="11035" w:type="dxa"/>
            <w:tcBorders>
              <w:top w:val="single" w:sz="5" w:space="0" w:color="000000"/>
              <w:left w:val="single" w:sz="5" w:space="0" w:color="000000"/>
              <w:bottom w:val="single" w:sz="5" w:space="0" w:color="000000"/>
              <w:right w:val="single" w:sz="5" w:space="0" w:color="000000"/>
            </w:tcBorders>
          </w:tcPr>
          <w:p w14:paraId="1E537C8A"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Present the full search strategies for all databases, registers and websites, including any filters and limits used.</w:t>
            </w:r>
          </w:p>
        </w:tc>
        <w:tc>
          <w:tcPr>
            <w:tcW w:w="1260" w:type="dxa"/>
            <w:tcBorders>
              <w:top w:val="single" w:sz="5" w:space="0" w:color="000000"/>
              <w:left w:val="single" w:sz="5" w:space="0" w:color="000000"/>
              <w:bottom w:val="single" w:sz="5" w:space="0" w:color="000000"/>
              <w:right w:val="single" w:sz="5" w:space="0" w:color="000000"/>
            </w:tcBorders>
          </w:tcPr>
          <w:p w14:paraId="03DD7D59" w14:textId="03489056" w:rsidR="0050536F" w:rsidRPr="0050536F" w:rsidRDefault="0095334D"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Appendix, table 1</w:t>
            </w:r>
          </w:p>
        </w:tc>
      </w:tr>
      <w:tr w:rsidR="0050536F" w:rsidRPr="0050536F" w14:paraId="2E931CEB"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21C2A566"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3500A3A"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8</w:t>
            </w:r>
          </w:p>
        </w:tc>
        <w:tc>
          <w:tcPr>
            <w:tcW w:w="11035" w:type="dxa"/>
            <w:tcBorders>
              <w:top w:val="single" w:sz="5" w:space="0" w:color="000000"/>
              <w:left w:val="single" w:sz="5" w:space="0" w:color="000000"/>
              <w:bottom w:val="single" w:sz="5" w:space="0" w:color="000000"/>
              <w:right w:val="single" w:sz="5" w:space="0" w:color="000000"/>
            </w:tcBorders>
          </w:tcPr>
          <w:p w14:paraId="70A53A8B"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60" w:type="dxa"/>
            <w:tcBorders>
              <w:top w:val="single" w:sz="5" w:space="0" w:color="000000"/>
              <w:left w:val="single" w:sz="5" w:space="0" w:color="000000"/>
              <w:bottom w:val="single" w:sz="5" w:space="0" w:color="000000"/>
              <w:right w:val="single" w:sz="5" w:space="0" w:color="000000"/>
            </w:tcBorders>
          </w:tcPr>
          <w:p w14:paraId="0DC3E0C8" w14:textId="3C1B2464" w:rsidR="0050536F" w:rsidRPr="0050536F" w:rsidRDefault="0095334D"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5</w:t>
            </w:r>
            <w:r w:rsidR="00F421B7">
              <w:rPr>
                <w:rFonts w:ascii="Arial" w:eastAsia="Times New Roman" w:hAnsi="Arial" w:cs="Arial"/>
                <w:sz w:val="18"/>
                <w:szCs w:val="18"/>
                <w:lang w:val="en-CA" w:eastAsia="en-CA"/>
              </w:rPr>
              <w:t>-6, 7</w:t>
            </w:r>
          </w:p>
        </w:tc>
      </w:tr>
      <w:tr w:rsidR="0050536F" w:rsidRPr="0050536F" w14:paraId="32FDB386" w14:textId="77777777" w:rsidTr="0050536F">
        <w:trPr>
          <w:trHeight w:val="152"/>
        </w:trPr>
        <w:tc>
          <w:tcPr>
            <w:tcW w:w="2328" w:type="dxa"/>
            <w:tcBorders>
              <w:top w:val="single" w:sz="5" w:space="0" w:color="000000"/>
              <w:left w:val="single" w:sz="5" w:space="0" w:color="000000"/>
              <w:bottom w:val="single" w:sz="5" w:space="0" w:color="000000"/>
              <w:right w:val="single" w:sz="5" w:space="0" w:color="000000"/>
            </w:tcBorders>
          </w:tcPr>
          <w:p w14:paraId="5CC9290E"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2C38D514"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9</w:t>
            </w:r>
          </w:p>
        </w:tc>
        <w:tc>
          <w:tcPr>
            <w:tcW w:w="11035" w:type="dxa"/>
            <w:tcBorders>
              <w:top w:val="single" w:sz="5" w:space="0" w:color="000000"/>
              <w:left w:val="single" w:sz="5" w:space="0" w:color="000000"/>
              <w:bottom w:val="single" w:sz="5" w:space="0" w:color="000000"/>
              <w:right w:val="single" w:sz="5" w:space="0" w:color="000000"/>
            </w:tcBorders>
          </w:tcPr>
          <w:p w14:paraId="1B5335B0"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60" w:type="dxa"/>
            <w:tcBorders>
              <w:top w:val="single" w:sz="5" w:space="0" w:color="000000"/>
              <w:left w:val="single" w:sz="5" w:space="0" w:color="000000"/>
              <w:bottom w:val="single" w:sz="5" w:space="0" w:color="000000"/>
              <w:right w:val="single" w:sz="5" w:space="0" w:color="000000"/>
            </w:tcBorders>
          </w:tcPr>
          <w:p w14:paraId="623F571C" w14:textId="784FF4A7" w:rsidR="0050536F" w:rsidRPr="0050536F" w:rsidRDefault="00F421B7"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6</w:t>
            </w:r>
          </w:p>
        </w:tc>
      </w:tr>
      <w:tr w:rsidR="0050536F" w:rsidRPr="0050536F" w14:paraId="5A956C4E" w14:textId="77777777" w:rsidTr="0050536F">
        <w:trPr>
          <w:trHeight w:val="48"/>
        </w:trPr>
        <w:tc>
          <w:tcPr>
            <w:tcW w:w="2328" w:type="dxa"/>
            <w:vMerge w:val="restart"/>
            <w:tcBorders>
              <w:top w:val="single" w:sz="5" w:space="0" w:color="000000"/>
              <w:left w:val="single" w:sz="5" w:space="0" w:color="000000"/>
              <w:right w:val="single" w:sz="5" w:space="0" w:color="000000"/>
            </w:tcBorders>
          </w:tcPr>
          <w:p w14:paraId="49DCFA2A"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3D75F8F8"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10a</w:t>
            </w:r>
          </w:p>
        </w:tc>
        <w:tc>
          <w:tcPr>
            <w:tcW w:w="11035" w:type="dxa"/>
            <w:tcBorders>
              <w:top w:val="single" w:sz="5" w:space="0" w:color="000000"/>
              <w:left w:val="single" w:sz="5" w:space="0" w:color="000000"/>
              <w:bottom w:val="single" w:sz="5" w:space="0" w:color="000000"/>
              <w:right w:val="single" w:sz="5" w:space="0" w:color="000000"/>
            </w:tcBorders>
          </w:tcPr>
          <w:p w14:paraId="71DD2885"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60" w:type="dxa"/>
            <w:tcBorders>
              <w:top w:val="single" w:sz="5" w:space="0" w:color="000000"/>
              <w:left w:val="single" w:sz="5" w:space="0" w:color="000000"/>
              <w:bottom w:val="single" w:sz="5" w:space="0" w:color="000000"/>
              <w:right w:val="single" w:sz="5" w:space="0" w:color="000000"/>
            </w:tcBorders>
          </w:tcPr>
          <w:p w14:paraId="4C685BC5" w14:textId="71E10291" w:rsidR="0050536F" w:rsidRPr="0050536F" w:rsidRDefault="00F421B7"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4,5</w:t>
            </w:r>
          </w:p>
        </w:tc>
      </w:tr>
      <w:tr w:rsidR="0050536F" w:rsidRPr="0050536F" w14:paraId="7E4839E7" w14:textId="77777777" w:rsidTr="0050536F">
        <w:trPr>
          <w:trHeight w:val="48"/>
        </w:trPr>
        <w:tc>
          <w:tcPr>
            <w:tcW w:w="2328" w:type="dxa"/>
            <w:vMerge/>
            <w:tcBorders>
              <w:left w:val="single" w:sz="5" w:space="0" w:color="000000"/>
              <w:bottom w:val="single" w:sz="5" w:space="0" w:color="000000"/>
              <w:right w:val="single" w:sz="5" w:space="0" w:color="000000"/>
            </w:tcBorders>
          </w:tcPr>
          <w:p w14:paraId="3168E113"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1F8F6F98"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10b</w:t>
            </w:r>
          </w:p>
        </w:tc>
        <w:tc>
          <w:tcPr>
            <w:tcW w:w="11035" w:type="dxa"/>
            <w:tcBorders>
              <w:top w:val="single" w:sz="5" w:space="0" w:color="000000"/>
              <w:left w:val="single" w:sz="5" w:space="0" w:color="000000"/>
              <w:bottom w:val="single" w:sz="5" w:space="0" w:color="000000"/>
              <w:right w:val="single" w:sz="5" w:space="0" w:color="000000"/>
            </w:tcBorders>
          </w:tcPr>
          <w:p w14:paraId="5CB8DDF4"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List and define all other variables for which data were sought (e.g. participant and intervention characteristics, funding sources). Describe any assumptions made about any missing or unclear information.</w:t>
            </w:r>
          </w:p>
        </w:tc>
        <w:tc>
          <w:tcPr>
            <w:tcW w:w="1260" w:type="dxa"/>
            <w:tcBorders>
              <w:top w:val="single" w:sz="5" w:space="0" w:color="000000"/>
              <w:left w:val="single" w:sz="5" w:space="0" w:color="000000"/>
              <w:bottom w:val="single" w:sz="5" w:space="0" w:color="000000"/>
              <w:right w:val="single" w:sz="5" w:space="0" w:color="000000"/>
            </w:tcBorders>
          </w:tcPr>
          <w:p w14:paraId="3B27BB46" w14:textId="602C643E" w:rsidR="0050536F" w:rsidRPr="0050536F" w:rsidRDefault="00F421B7"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6</w:t>
            </w:r>
          </w:p>
        </w:tc>
      </w:tr>
      <w:tr w:rsidR="0050536F" w:rsidRPr="0050536F" w14:paraId="7B28DF85"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33E24C14"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0B8D6A2B"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11</w:t>
            </w:r>
          </w:p>
        </w:tc>
        <w:tc>
          <w:tcPr>
            <w:tcW w:w="11035" w:type="dxa"/>
            <w:tcBorders>
              <w:top w:val="single" w:sz="5" w:space="0" w:color="000000"/>
              <w:left w:val="single" w:sz="5" w:space="0" w:color="000000"/>
              <w:bottom w:val="single" w:sz="5" w:space="0" w:color="000000"/>
              <w:right w:val="single" w:sz="5" w:space="0" w:color="000000"/>
            </w:tcBorders>
          </w:tcPr>
          <w:p w14:paraId="4B2EB15D"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60" w:type="dxa"/>
            <w:tcBorders>
              <w:top w:val="single" w:sz="5" w:space="0" w:color="000000"/>
              <w:left w:val="single" w:sz="5" w:space="0" w:color="000000"/>
              <w:bottom w:val="single" w:sz="5" w:space="0" w:color="000000"/>
              <w:right w:val="single" w:sz="5" w:space="0" w:color="000000"/>
            </w:tcBorders>
          </w:tcPr>
          <w:p w14:paraId="59570A09" w14:textId="65E728DF" w:rsidR="0050536F" w:rsidRPr="0050536F" w:rsidRDefault="00F421B7"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6-7</w:t>
            </w:r>
          </w:p>
        </w:tc>
      </w:tr>
      <w:tr w:rsidR="0050536F" w:rsidRPr="0050536F" w14:paraId="26847420"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6A13F2DD"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1A590ABD"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12</w:t>
            </w:r>
          </w:p>
        </w:tc>
        <w:tc>
          <w:tcPr>
            <w:tcW w:w="11035" w:type="dxa"/>
            <w:tcBorders>
              <w:top w:val="single" w:sz="5" w:space="0" w:color="000000"/>
              <w:left w:val="single" w:sz="5" w:space="0" w:color="000000"/>
              <w:bottom w:val="single" w:sz="5" w:space="0" w:color="000000"/>
              <w:right w:val="single" w:sz="5" w:space="0" w:color="000000"/>
            </w:tcBorders>
          </w:tcPr>
          <w:p w14:paraId="64FDB133"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Specify for each outcome the effect measure(s) (e.g. risk ratio, mean difference) used in the synthesis or presentation of results.</w:t>
            </w:r>
          </w:p>
        </w:tc>
        <w:tc>
          <w:tcPr>
            <w:tcW w:w="1260" w:type="dxa"/>
            <w:tcBorders>
              <w:top w:val="single" w:sz="5" w:space="0" w:color="000000"/>
              <w:left w:val="single" w:sz="5" w:space="0" w:color="000000"/>
              <w:bottom w:val="single" w:sz="5" w:space="0" w:color="000000"/>
              <w:right w:val="single" w:sz="5" w:space="0" w:color="000000"/>
            </w:tcBorders>
          </w:tcPr>
          <w:p w14:paraId="7383E8BC" w14:textId="6D1B2D37" w:rsidR="0050536F" w:rsidRPr="0050536F" w:rsidRDefault="00851C9A"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6</w:t>
            </w:r>
          </w:p>
        </w:tc>
      </w:tr>
      <w:tr w:rsidR="0050536F" w:rsidRPr="0050536F" w14:paraId="1DCC2FB6" w14:textId="77777777" w:rsidTr="0050536F">
        <w:trPr>
          <w:trHeight w:val="48"/>
        </w:trPr>
        <w:tc>
          <w:tcPr>
            <w:tcW w:w="2328" w:type="dxa"/>
            <w:vMerge w:val="restart"/>
            <w:tcBorders>
              <w:top w:val="single" w:sz="5" w:space="0" w:color="000000"/>
              <w:left w:val="single" w:sz="5" w:space="0" w:color="000000"/>
              <w:right w:val="single" w:sz="5" w:space="0" w:color="000000"/>
            </w:tcBorders>
          </w:tcPr>
          <w:p w14:paraId="4267C4F8"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21FC33AA"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13a</w:t>
            </w:r>
          </w:p>
        </w:tc>
        <w:tc>
          <w:tcPr>
            <w:tcW w:w="11035" w:type="dxa"/>
            <w:tcBorders>
              <w:top w:val="single" w:sz="5" w:space="0" w:color="000000"/>
              <w:left w:val="single" w:sz="5" w:space="0" w:color="000000"/>
              <w:bottom w:val="single" w:sz="5" w:space="0" w:color="000000"/>
              <w:right w:val="single" w:sz="5" w:space="0" w:color="000000"/>
            </w:tcBorders>
          </w:tcPr>
          <w:p w14:paraId="6356C4DE"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Describe the processes used to decide which studies were eligible for each synthesis (e.g. tabulating the study intervention characteristics and comparing against the planned groups for each synthesis (item #5)).</w:t>
            </w:r>
          </w:p>
        </w:tc>
        <w:tc>
          <w:tcPr>
            <w:tcW w:w="1260" w:type="dxa"/>
            <w:tcBorders>
              <w:top w:val="single" w:sz="5" w:space="0" w:color="000000"/>
              <w:left w:val="single" w:sz="5" w:space="0" w:color="000000"/>
              <w:bottom w:val="single" w:sz="5" w:space="0" w:color="000000"/>
              <w:right w:val="single" w:sz="5" w:space="0" w:color="000000"/>
            </w:tcBorders>
          </w:tcPr>
          <w:p w14:paraId="12CB56C3" w14:textId="46A29802" w:rsidR="0050536F" w:rsidRPr="0050536F" w:rsidRDefault="00851C9A"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6</w:t>
            </w:r>
          </w:p>
        </w:tc>
      </w:tr>
      <w:tr w:rsidR="0050536F" w:rsidRPr="0050536F" w14:paraId="13436F42" w14:textId="77777777" w:rsidTr="0050536F">
        <w:trPr>
          <w:trHeight w:val="48"/>
        </w:trPr>
        <w:tc>
          <w:tcPr>
            <w:tcW w:w="2328" w:type="dxa"/>
            <w:vMerge/>
            <w:tcBorders>
              <w:left w:val="single" w:sz="5" w:space="0" w:color="000000"/>
              <w:right w:val="single" w:sz="5" w:space="0" w:color="000000"/>
            </w:tcBorders>
          </w:tcPr>
          <w:p w14:paraId="3D4F2DC9"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219C5B9A"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13b</w:t>
            </w:r>
          </w:p>
        </w:tc>
        <w:tc>
          <w:tcPr>
            <w:tcW w:w="11035" w:type="dxa"/>
            <w:tcBorders>
              <w:top w:val="single" w:sz="5" w:space="0" w:color="000000"/>
              <w:left w:val="single" w:sz="5" w:space="0" w:color="000000"/>
              <w:bottom w:val="single" w:sz="5" w:space="0" w:color="000000"/>
              <w:right w:val="single" w:sz="5" w:space="0" w:color="000000"/>
            </w:tcBorders>
          </w:tcPr>
          <w:p w14:paraId="0672E5C9"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Describe any methods required to prepare the data for presentation or synthesis, such as handling of missing summary statistics, or data conversions.</w:t>
            </w:r>
          </w:p>
        </w:tc>
        <w:tc>
          <w:tcPr>
            <w:tcW w:w="1260" w:type="dxa"/>
            <w:tcBorders>
              <w:top w:val="single" w:sz="5" w:space="0" w:color="000000"/>
              <w:left w:val="single" w:sz="5" w:space="0" w:color="000000"/>
              <w:bottom w:val="single" w:sz="5" w:space="0" w:color="000000"/>
              <w:right w:val="single" w:sz="5" w:space="0" w:color="000000"/>
            </w:tcBorders>
          </w:tcPr>
          <w:p w14:paraId="00E60466" w14:textId="0E082D89" w:rsidR="0050536F" w:rsidRPr="0050536F" w:rsidRDefault="00851C9A"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N/A</w:t>
            </w:r>
          </w:p>
        </w:tc>
      </w:tr>
      <w:tr w:rsidR="0050536F" w:rsidRPr="0050536F" w14:paraId="2956A897" w14:textId="77777777" w:rsidTr="0050536F">
        <w:trPr>
          <w:trHeight w:val="48"/>
        </w:trPr>
        <w:tc>
          <w:tcPr>
            <w:tcW w:w="2328" w:type="dxa"/>
            <w:vMerge/>
            <w:tcBorders>
              <w:left w:val="single" w:sz="5" w:space="0" w:color="000000"/>
              <w:right w:val="single" w:sz="5" w:space="0" w:color="000000"/>
            </w:tcBorders>
          </w:tcPr>
          <w:p w14:paraId="1D100548"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0AA75305"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13c</w:t>
            </w:r>
          </w:p>
        </w:tc>
        <w:tc>
          <w:tcPr>
            <w:tcW w:w="11035" w:type="dxa"/>
            <w:tcBorders>
              <w:top w:val="single" w:sz="5" w:space="0" w:color="000000"/>
              <w:left w:val="single" w:sz="5" w:space="0" w:color="000000"/>
              <w:bottom w:val="single" w:sz="5" w:space="0" w:color="000000"/>
              <w:right w:val="single" w:sz="5" w:space="0" w:color="000000"/>
            </w:tcBorders>
          </w:tcPr>
          <w:p w14:paraId="502896F5"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Describe any methods used to tabulate or visually display results of individual studies and syntheses.</w:t>
            </w:r>
          </w:p>
        </w:tc>
        <w:tc>
          <w:tcPr>
            <w:tcW w:w="1260" w:type="dxa"/>
            <w:tcBorders>
              <w:top w:val="single" w:sz="5" w:space="0" w:color="000000"/>
              <w:left w:val="single" w:sz="5" w:space="0" w:color="000000"/>
              <w:bottom w:val="single" w:sz="5" w:space="0" w:color="000000"/>
              <w:right w:val="single" w:sz="5" w:space="0" w:color="000000"/>
            </w:tcBorders>
          </w:tcPr>
          <w:p w14:paraId="403416AC" w14:textId="6AC78688" w:rsidR="0050536F" w:rsidRPr="0050536F" w:rsidRDefault="00851C9A"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6</w:t>
            </w:r>
          </w:p>
        </w:tc>
      </w:tr>
      <w:tr w:rsidR="0050536F" w:rsidRPr="0050536F" w14:paraId="09822C33" w14:textId="77777777" w:rsidTr="0050536F">
        <w:trPr>
          <w:trHeight w:val="48"/>
        </w:trPr>
        <w:tc>
          <w:tcPr>
            <w:tcW w:w="2328" w:type="dxa"/>
            <w:vMerge/>
            <w:tcBorders>
              <w:left w:val="single" w:sz="5" w:space="0" w:color="000000"/>
              <w:right w:val="single" w:sz="5" w:space="0" w:color="000000"/>
            </w:tcBorders>
          </w:tcPr>
          <w:p w14:paraId="7C8E761A"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0055CE11"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13d</w:t>
            </w:r>
          </w:p>
        </w:tc>
        <w:tc>
          <w:tcPr>
            <w:tcW w:w="11035" w:type="dxa"/>
            <w:tcBorders>
              <w:top w:val="single" w:sz="5" w:space="0" w:color="000000"/>
              <w:left w:val="single" w:sz="5" w:space="0" w:color="000000"/>
              <w:bottom w:val="single" w:sz="5" w:space="0" w:color="000000"/>
              <w:right w:val="single" w:sz="5" w:space="0" w:color="000000"/>
            </w:tcBorders>
          </w:tcPr>
          <w:p w14:paraId="76CF1726"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Describe any methods used to synthesize results and provide a rationale for the choice(s). If meta-analysis was performed, describe the model(s), method(s) to identify the presence and extent of statistical heterogeneity, and software package(s) used.</w:t>
            </w:r>
          </w:p>
        </w:tc>
        <w:tc>
          <w:tcPr>
            <w:tcW w:w="1260" w:type="dxa"/>
            <w:tcBorders>
              <w:top w:val="single" w:sz="5" w:space="0" w:color="000000"/>
              <w:left w:val="single" w:sz="5" w:space="0" w:color="000000"/>
              <w:bottom w:val="single" w:sz="5" w:space="0" w:color="000000"/>
              <w:right w:val="single" w:sz="5" w:space="0" w:color="000000"/>
            </w:tcBorders>
          </w:tcPr>
          <w:p w14:paraId="01B7F6C2" w14:textId="054A2D81" w:rsidR="0050536F" w:rsidRPr="0050536F" w:rsidRDefault="00851C9A"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7-8</w:t>
            </w:r>
          </w:p>
        </w:tc>
      </w:tr>
      <w:tr w:rsidR="0050536F" w:rsidRPr="0050536F" w14:paraId="37C76A1F" w14:textId="77777777" w:rsidTr="0050536F">
        <w:trPr>
          <w:trHeight w:val="48"/>
        </w:trPr>
        <w:tc>
          <w:tcPr>
            <w:tcW w:w="2328" w:type="dxa"/>
            <w:vMerge/>
            <w:tcBorders>
              <w:left w:val="single" w:sz="5" w:space="0" w:color="000000"/>
              <w:right w:val="single" w:sz="5" w:space="0" w:color="000000"/>
            </w:tcBorders>
          </w:tcPr>
          <w:p w14:paraId="61E64B16"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5ADB826B"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13e</w:t>
            </w:r>
          </w:p>
        </w:tc>
        <w:tc>
          <w:tcPr>
            <w:tcW w:w="11035" w:type="dxa"/>
            <w:tcBorders>
              <w:top w:val="single" w:sz="5" w:space="0" w:color="000000"/>
              <w:left w:val="single" w:sz="5" w:space="0" w:color="000000"/>
              <w:bottom w:val="single" w:sz="5" w:space="0" w:color="000000"/>
              <w:right w:val="single" w:sz="5" w:space="0" w:color="000000"/>
            </w:tcBorders>
          </w:tcPr>
          <w:p w14:paraId="322721F5"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Describe any methods used to explore possible causes of heterogeneity among study results (e.g. subgroup analysis, meta-regression).</w:t>
            </w:r>
          </w:p>
        </w:tc>
        <w:tc>
          <w:tcPr>
            <w:tcW w:w="1260" w:type="dxa"/>
            <w:tcBorders>
              <w:top w:val="single" w:sz="5" w:space="0" w:color="000000"/>
              <w:left w:val="single" w:sz="5" w:space="0" w:color="000000"/>
              <w:bottom w:val="single" w:sz="5" w:space="0" w:color="000000"/>
              <w:right w:val="single" w:sz="5" w:space="0" w:color="000000"/>
            </w:tcBorders>
          </w:tcPr>
          <w:p w14:paraId="224E7ABD" w14:textId="2046E399" w:rsidR="0050536F" w:rsidRPr="0050536F" w:rsidRDefault="00851C9A"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N/A</w:t>
            </w:r>
          </w:p>
        </w:tc>
      </w:tr>
      <w:tr w:rsidR="0050536F" w:rsidRPr="0050536F" w14:paraId="7E9164D7" w14:textId="77777777" w:rsidTr="0050536F">
        <w:trPr>
          <w:trHeight w:val="50"/>
        </w:trPr>
        <w:tc>
          <w:tcPr>
            <w:tcW w:w="2328" w:type="dxa"/>
            <w:vMerge/>
            <w:tcBorders>
              <w:left w:val="single" w:sz="5" w:space="0" w:color="000000"/>
              <w:bottom w:val="single" w:sz="5" w:space="0" w:color="000000"/>
              <w:right w:val="single" w:sz="5" w:space="0" w:color="000000"/>
            </w:tcBorders>
          </w:tcPr>
          <w:p w14:paraId="783EE958"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208ADD1E"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13f</w:t>
            </w:r>
          </w:p>
        </w:tc>
        <w:tc>
          <w:tcPr>
            <w:tcW w:w="11035" w:type="dxa"/>
            <w:tcBorders>
              <w:top w:val="single" w:sz="5" w:space="0" w:color="000000"/>
              <w:left w:val="single" w:sz="5" w:space="0" w:color="000000"/>
              <w:bottom w:val="single" w:sz="5" w:space="0" w:color="000000"/>
              <w:right w:val="single" w:sz="5" w:space="0" w:color="000000"/>
            </w:tcBorders>
          </w:tcPr>
          <w:p w14:paraId="0A517D07"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Describe any sensitivity analyses conducted to assess robustness of the synthesized results.</w:t>
            </w:r>
          </w:p>
        </w:tc>
        <w:tc>
          <w:tcPr>
            <w:tcW w:w="1260" w:type="dxa"/>
            <w:tcBorders>
              <w:top w:val="single" w:sz="5" w:space="0" w:color="000000"/>
              <w:left w:val="single" w:sz="5" w:space="0" w:color="000000"/>
              <w:bottom w:val="single" w:sz="5" w:space="0" w:color="000000"/>
              <w:right w:val="single" w:sz="5" w:space="0" w:color="000000"/>
            </w:tcBorders>
          </w:tcPr>
          <w:p w14:paraId="733620B3" w14:textId="3456E8DF" w:rsidR="0050536F" w:rsidRPr="0050536F" w:rsidRDefault="00851C9A"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N/A</w:t>
            </w:r>
          </w:p>
        </w:tc>
      </w:tr>
      <w:tr w:rsidR="0050536F" w:rsidRPr="0050536F" w14:paraId="64F80729"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2AD68903"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3530A24"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14</w:t>
            </w:r>
          </w:p>
        </w:tc>
        <w:tc>
          <w:tcPr>
            <w:tcW w:w="11035" w:type="dxa"/>
            <w:tcBorders>
              <w:top w:val="single" w:sz="5" w:space="0" w:color="000000"/>
              <w:left w:val="single" w:sz="5" w:space="0" w:color="000000"/>
              <w:bottom w:val="single" w:sz="5" w:space="0" w:color="000000"/>
              <w:right w:val="single" w:sz="5" w:space="0" w:color="000000"/>
            </w:tcBorders>
          </w:tcPr>
          <w:p w14:paraId="23B8B696"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Describe any methods used to assess risk of bias due to missing results in a synthesis (arising from reporting biases).</w:t>
            </w:r>
          </w:p>
        </w:tc>
        <w:tc>
          <w:tcPr>
            <w:tcW w:w="1260" w:type="dxa"/>
            <w:tcBorders>
              <w:top w:val="single" w:sz="5" w:space="0" w:color="000000"/>
              <w:left w:val="single" w:sz="5" w:space="0" w:color="000000"/>
              <w:bottom w:val="single" w:sz="5" w:space="0" w:color="000000"/>
              <w:right w:val="single" w:sz="5" w:space="0" w:color="000000"/>
            </w:tcBorders>
          </w:tcPr>
          <w:p w14:paraId="0041521E" w14:textId="6A3D1D02" w:rsidR="0050536F" w:rsidRPr="0050536F" w:rsidRDefault="00851C9A"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6-7</w:t>
            </w:r>
          </w:p>
        </w:tc>
      </w:tr>
      <w:tr w:rsidR="0050536F" w:rsidRPr="0050536F" w14:paraId="1048E36B"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1A37ADEE"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651832E3"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15</w:t>
            </w:r>
          </w:p>
        </w:tc>
        <w:tc>
          <w:tcPr>
            <w:tcW w:w="11035" w:type="dxa"/>
            <w:tcBorders>
              <w:top w:val="single" w:sz="5" w:space="0" w:color="000000"/>
              <w:left w:val="single" w:sz="5" w:space="0" w:color="000000"/>
              <w:bottom w:val="single" w:sz="5" w:space="0" w:color="000000"/>
              <w:right w:val="single" w:sz="5" w:space="0" w:color="000000"/>
            </w:tcBorders>
          </w:tcPr>
          <w:p w14:paraId="6C652DD7"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Describe any methods used to assess certainty (or confidence) in the body of evidence for an outcome.</w:t>
            </w:r>
          </w:p>
        </w:tc>
        <w:tc>
          <w:tcPr>
            <w:tcW w:w="1260" w:type="dxa"/>
            <w:tcBorders>
              <w:top w:val="single" w:sz="5" w:space="0" w:color="000000"/>
              <w:left w:val="single" w:sz="5" w:space="0" w:color="000000"/>
              <w:bottom w:val="single" w:sz="5" w:space="0" w:color="000000"/>
              <w:right w:val="single" w:sz="5" w:space="0" w:color="000000"/>
            </w:tcBorders>
          </w:tcPr>
          <w:p w14:paraId="009C8938" w14:textId="6B4A7885" w:rsidR="0050536F" w:rsidRPr="0050536F" w:rsidRDefault="00851C9A"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6-7</w:t>
            </w:r>
          </w:p>
        </w:tc>
      </w:tr>
      <w:tr w:rsidR="0050536F" w:rsidRPr="0050536F" w14:paraId="112869BC" w14:textId="77777777" w:rsidTr="0050536F">
        <w:trPr>
          <w:trHeight w:val="24"/>
        </w:trPr>
        <w:tc>
          <w:tcPr>
            <w:tcW w:w="1395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7492A95" w14:textId="77777777" w:rsidR="0050536F" w:rsidRPr="0050536F" w:rsidRDefault="0050536F" w:rsidP="0050536F">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0536F">
              <w:rPr>
                <w:rFonts w:ascii="Arial" w:eastAsia="Times New Roman" w:hAnsi="Arial" w:cs="Arial"/>
                <w:b/>
                <w:bCs/>
                <w:color w:val="000000"/>
                <w:sz w:val="18"/>
                <w:szCs w:val="18"/>
                <w:lang w:val="en-CA" w:eastAsia="en-CA"/>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CF369A3" w14:textId="77777777" w:rsidR="0050536F" w:rsidRPr="0050536F" w:rsidRDefault="0050536F" w:rsidP="0050536F">
            <w:pPr>
              <w:widowControl w:val="0"/>
              <w:autoSpaceDE w:val="0"/>
              <w:autoSpaceDN w:val="0"/>
              <w:adjustRightInd w:val="0"/>
              <w:spacing w:after="0" w:line="240" w:lineRule="auto"/>
              <w:jc w:val="center"/>
              <w:rPr>
                <w:rFonts w:ascii="Arial" w:eastAsia="Times New Roman" w:hAnsi="Arial" w:cs="Arial"/>
                <w:sz w:val="18"/>
                <w:szCs w:val="18"/>
                <w:lang w:val="en-CA" w:eastAsia="en-CA"/>
              </w:rPr>
            </w:pPr>
          </w:p>
        </w:tc>
      </w:tr>
      <w:tr w:rsidR="0050536F" w:rsidRPr="0050536F" w14:paraId="2A442BDE" w14:textId="77777777" w:rsidTr="0050536F">
        <w:trPr>
          <w:trHeight w:val="48"/>
        </w:trPr>
        <w:tc>
          <w:tcPr>
            <w:tcW w:w="2328" w:type="dxa"/>
            <w:vMerge w:val="restart"/>
            <w:tcBorders>
              <w:top w:val="single" w:sz="5" w:space="0" w:color="000000"/>
              <w:left w:val="single" w:sz="5" w:space="0" w:color="000000"/>
              <w:right w:val="single" w:sz="5" w:space="0" w:color="000000"/>
            </w:tcBorders>
          </w:tcPr>
          <w:p w14:paraId="566D0AC4"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3042E742"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16a</w:t>
            </w:r>
          </w:p>
        </w:tc>
        <w:tc>
          <w:tcPr>
            <w:tcW w:w="11035" w:type="dxa"/>
            <w:tcBorders>
              <w:top w:val="single" w:sz="5" w:space="0" w:color="000000"/>
              <w:left w:val="single" w:sz="5" w:space="0" w:color="000000"/>
              <w:bottom w:val="single" w:sz="5" w:space="0" w:color="000000"/>
              <w:right w:val="single" w:sz="5" w:space="0" w:color="000000"/>
            </w:tcBorders>
          </w:tcPr>
          <w:p w14:paraId="11AE9197"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Describe the results of the search and selection process, from the number of records identified in the search to the number of studies included in the review, ideally using a flow diagram.</w:t>
            </w:r>
          </w:p>
        </w:tc>
        <w:tc>
          <w:tcPr>
            <w:tcW w:w="1260" w:type="dxa"/>
            <w:tcBorders>
              <w:top w:val="single" w:sz="5" w:space="0" w:color="000000"/>
              <w:left w:val="single" w:sz="5" w:space="0" w:color="000000"/>
              <w:bottom w:val="single" w:sz="5" w:space="0" w:color="000000"/>
              <w:right w:val="single" w:sz="5" w:space="0" w:color="000000"/>
            </w:tcBorders>
          </w:tcPr>
          <w:p w14:paraId="711413B0" w14:textId="055CBE75" w:rsidR="0050536F" w:rsidRPr="0050536F" w:rsidRDefault="00213ACC"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8-9</w:t>
            </w:r>
          </w:p>
        </w:tc>
      </w:tr>
      <w:tr w:rsidR="0050536F" w:rsidRPr="0050536F" w14:paraId="3681F6C2" w14:textId="77777777" w:rsidTr="0050536F">
        <w:trPr>
          <w:trHeight w:val="48"/>
        </w:trPr>
        <w:tc>
          <w:tcPr>
            <w:tcW w:w="2328" w:type="dxa"/>
            <w:vMerge/>
            <w:tcBorders>
              <w:left w:val="single" w:sz="5" w:space="0" w:color="000000"/>
              <w:bottom w:val="single" w:sz="5" w:space="0" w:color="000000"/>
              <w:right w:val="single" w:sz="5" w:space="0" w:color="000000"/>
            </w:tcBorders>
          </w:tcPr>
          <w:p w14:paraId="1453B0E7"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69B64BCE"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16b</w:t>
            </w:r>
          </w:p>
        </w:tc>
        <w:tc>
          <w:tcPr>
            <w:tcW w:w="11035" w:type="dxa"/>
            <w:tcBorders>
              <w:top w:val="single" w:sz="5" w:space="0" w:color="000000"/>
              <w:left w:val="single" w:sz="5" w:space="0" w:color="000000"/>
              <w:bottom w:val="single" w:sz="5" w:space="0" w:color="000000"/>
              <w:right w:val="single" w:sz="5" w:space="0" w:color="000000"/>
            </w:tcBorders>
          </w:tcPr>
          <w:p w14:paraId="11871F64"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Cite studies that might appear to meet the inclusion criteria, but which were excluded, and explain why they were excluded.</w:t>
            </w:r>
          </w:p>
        </w:tc>
        <w:tc>
          <w:tcPr>
            <w:tcW w:w="1260" w:type="dxa"/>
            <w:tcBorders>
              <w:top w:val="single" w:sz="5" w:space="0" w:color="000000"/>
              <w:left w:val="single" w:sz="5" w:space="0" w:color="000000"/>
              <w:bottom w:val="single" w:sz="5" w:space="0" w:color="000000"/>
              <w:right w:val="single" w:sz="5" w:space="0" w:color="000000"/>
            </w:tcBorders>
          </w:tcPr>
          <w:p w14:paraId="07CBF4FB" w14:textId="75BA79F8" w:rsidR="0050536F" w:rsidRPr="0050536F" w:rsidRDefault="00653B78"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8-9</w:t>
            </w:r>
          </w:p>
        </w:tc>
      </w:tr>
      <w:tr w:rsidR="0050536F" w:rsidRPr="0050536F" w14:paraId="6264E2D7" w14:textId="77777777" w:rsidTr="0050536F">
        <w:trPr>
          <w:trHeight w:val="103"/>
        </w:trPr>
        <w:tc>
          <w:tcPr>
            <w:tcW w:w="2328" w:type="dxa"/>
            <w:tcBorders>
              <w:top w:val="single" w:sz="5" w:space="0" w:color="000000"/>
              <w:left w:val="single" w:sz="5" w:space="0" w:color="000000"/>
              <w:bottom w:val="single" w:sz="5" w:space="0" w:color="000000"/>
              <w:right w:val="single" w:sz="5" w:space="0" w:color="000000"/>
            </w:tcBorders>
          </w:tcPr>
          <w:p w14:paraId="32E44572"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7A48FF80"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17</w:t>
            </w:r>
          </w:p>
        </w:tc>
        <w:tc>
          <w:tcPr>
            <w:tcW w:w="11035" w:type="dxa"/>
            <w:tcBorders>
              <w:top w:val="single" w:sz="5" w:space="0" w:color="000000"/>
              <w:left w:val="single" w:sz="5" w:space="0" w:color="000000"/>
              <w:bottom w:val="single" w:sz="5" w:space="0" w:color="000000"/>
              <w:right w:val="single" w:sz="5" w:space="0" w:color="000000"/>
            </w:tcBorders>
          </w:tcPr>
          <w:p w14:paraId="5D7ED094"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Cite each included study and present its characteristics.</w:t>
            </w:r>
          </w:p>
        </w:tc>
        <w:tc>
          <w:tcPr>
            <w:tcW w:w="1260" w:type="dxa"/>
            <w:tcBorders>
              <w:top w:val="single" w:sz="5" w:space="0" w:color="000000"/>
              <w:left w:val="single" w:sz="5" w:space="0" w:color="000000"/>
              <w:bottom w:val="single" w:sz="5" w:space="0" w:color="000000"/>
              <w:right w:val="single" w:sz="5" w:space="0" w:color="000000"/>
            </w:tcBorders>
          </w:tcPr>
          <w:p w14:paraId="65149A00" w14:textId="52B3EFE1" w:rsidR="0050536F" w:rsidRPr="0050536F" w:rsidRDefault="00653B78"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8-9</w:t>
            </w:r>
          </w:p>
        </w:tc>
      </w:tr>
      <w:tr w:rsidR="0050536F" w:rsidRPr="0050536F" w14:paraId="7022CB53"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535F4113"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0850501F"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18</w:t>
            </w:r>
          </w:p>
        </w:tc>
        <w:tc>
          <w:tcPr>
            <w:tcW w:w="11035" w:type="dxa"/>
            <w:tcBorders>
              <w:top w:val="single" w:sz="5" w:space="0" w:color="000000"/>
              <w:left w:val="single" w:sz="5" w:space="0" w:color="000000"/>
              <w:bottom w:val="single" w:sz="5" w:space="0" w:color="000000"/>
              <w:right w:val="single" w:sz="5" w:space="0" w:color="000000"/>
            </w:tcBorders>
          </w:tcPr>
          <w:p w14:paraId="0C1E5D0D"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Present assessments of risk of bias for each included study.</w:t>
            </w:r>
          </w:p>
        </w:tc>
        <w:tc>
          <w:tcPr>
            <w:tcW w:w="1260" w:type="dxa"/>
            <w:tcBorders>
              <w:top w:val="single" w:sz="5" w:space="0" w:color="000000"/>
              <w:left w:val="single" w:sz="5" w:space="0" w:color="000000"/>
              <w:bottom w:val="single" w:sz="5" w:space="0" w:color="000000"/>
              <w:right w:val="single" w:sz="5" w:space="0" w:color="000000"/>
            </w:tcBorders>
          </w:tcPr>
          <w:p w14:paraId="03E48083" w14:textId="7BD498DE" w:rsidR="0050536F" w:rsidRPr="0050536F" w:rsidRDefault="00653B78"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17</w:t>
            </w:r>
          </w:p>
        </w:tc>
      </w:tr>
      <w:tr w:rsidR="0050536F" w:rsidRPr="0050536F" w14:paraId="24263034"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01DF0FAA"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65689E6F"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19</w:t>
            </w:r>
          </w:p>
        </w:tc>
        <w:tc>
          <w:tcPr>
            <w:tcW w:w="11035" w:type="dxa"/>
            <w:tcBorders>
              <w:top w:val="single" w:sz="5" w:space="0" w:color="000000"/>
              <w:left w:val="single" w:sz="5" w:space="0" w:color="000000"/>
              <w:bottom w:val="single" w:sz="5" w:space="0" w:color="000000"/>
              <w:right w:val="single" w:sz="5" w:space="0" w:color="000000"/>
            </w:tcBorders>
          </w:tcPr>
          <w:p w14:paraId="7992F292"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For all outcomes, present, for each study: (a) summary statistics for each group (where appropriate) and (b) an effect estimate and its precision (e.g. confidence/credible interval), ideally using structured tables or plots.</w:t>
            </w:r>
          </w:p>
        </w:tc>
        <w:tc>
          <w:tcPr>
            <w:tcW w:w="1260" w:type="dxa"/>
            <w:tcBorders>
              <w:top w:val="single" w:sz="5" w:space="0" w:color="000000"/>
              <w:left w:val="single" w:sz="5" w:space="0" w:color="000000"/>
              <w:bottom w:val="single" w:sz="5" w:space="0" w:color="000000"/>
              <w:right w:val="single" w:sz="5" w:space="0" w:color="000000"/>
            </w:tcBorders>
          </w:tcPr>
          <w:p w14:paraId="1570D19D" w14:textId="3F3B31FE" w:rsidR="0050536F" w:rsidRPr="0050536F" w:rsidRDefault="00653B78"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9-16</w:t>
            </w:r>
          </w:p>
        </w:tc>
      </w:tr>
      <w:tr w:rsidR="0050536F" w:rsidRPr="0050536F" w14:paraId="46130E6E" w14:textId="77777777" w:rsidTr="0050536F">
        <w:trPr>
          <w:trHeight w:val="48"/>
        </w:trPr>
        <w:tc>
          <w:tcPr>
            <w:tcW w:w="2328" w:type="dxa"/>
            <w:vMerge w:val="restart"/>
            <w:tcBorders>
              <w:top w:val="single" w:sz="5" w:space="0" w:color="000000"/>
              <w:left w:val="single" w:sz="5" w:space="0" w:color="000000"/>
              <w:right w:val="single" w:sz="5" w:space="0" w:color="000000"/>
            </w:tcBorders>
          </w:tcPr>
          <w:p w14:paraId="68140F42"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649A450B"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20a</w:t>
            </w:r>
          </w:p>
        </w:tc>
        <w:tc>
          <w:tcPr>
            <w:tcW w:w="11035" w:type="dxa"/>
            <w:tcBorders>
              <w:top w:val="single" w:sz="5" w:space="0" w:color="000000"/>
              <w:left w:val="single" w:sz="5" w:space="0" w:color="000000"/>
              <w:bottom w:val="single" w:sz="5" w:space="0" w:color="000000"/>
              <w:right w:val="single" w:sz="5" w:space="0" w:color="000000"/>
            </w:tcBorders>
          </w:tcPr>
          <w:p w14:paraId="0D57B0AF"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For each synthesis, briefly summarise the characteristics and risk of bias among contributing studies.</w:t>
            </w:r>
          </w:p>
        </w:tc>
        <w:tc>
          <w:tcPr>
            <w:tcW w:w="1260" w:type="dxa"/>
            <w:tcBorders>
              <w:top w:val="single" w:sz="5" w:space="0" w:color="000000"/>
              <w:left w:val="single" w:sz="5" w:space="0" w:color="000000"/>
              <w:bottom w:val="single" w:sz="5" w:space="0" w:color="000000"/>
              <w:right w:val="single" w:sz="5" w:space="0" w:color="000000"/>
            </w:tcBorders>
          </w:tcPr>
          <w:p w14:paraId="7821DC73" w14:textId="4D7BB798"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17</w:t>
            </w:r>
          </w:p>
        </w:tc>
      </w:tr>
      <w:tr w:rsidR="0050536F" w:rsidRPr="0050536F" w14:paraId="5318DC04" w14:textId="77777777" w:rsidTr="0050536F">
        <w:trPr>
          <w:trHeight w:val="203"/>
        </w:trPr>
        <w:tc>
          <w:tcPr>
            <w:tcW w:w="2328" w:type="dxa"/>
            <w:vMerge/>
            <w:tcBorders>
              <w:left w:val="single" w:sz="5" w:space="0" w:color="000000"/>
              <w:right w:val="single" w:sz="5" w:space="0" w:color="000000"/>
            </w:tcBorders>
          </w:tcPr>
          <w:p w14:paraId="641D661B"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56E2F2F9"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20b</w:t>
            </w:r>
          </w:p>
        </w:tc>
        <w:tc>
          <w:tcPr>
            <w:tcW w:w="11035" w:type="dxa"/>
            <w:tcBorders>
              <w:top w:val="single" w:sz="5" w:space="0" w:color="000000"/>
              <w:left w:val="single" w:sz="5" w:space="0" w:color="000000"/>
              <w:bottom w:val="single" w:sz="5" w:space="0" w:color="000000"/>
              <w:right w:val="single" w:sz="5" w:space="0" w:color="000000"/>
            </w:tcBorders>
          </w:tcPr>
          <w:p w14:paraId="5B901A24"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60" w:type="dxa"/>
            <w:tcBorders>
              <w:top w:val="single" w:sz="5" w:space="0" w:color="000000"/>
              <w:left w:val="single" w:sz="5" w:space="0" w:color="000000"/>
              <w:bottom w:val="single" w:sz="5" w:space="0" w:color="000000"/>
              <w:right w:val="single" w:sz="5" w:space="0" w:color="000000"/>
            </w:tcBorders>
          </w:tcPr>
          <w:p w14:paraId="4247AF32" w14:textId="1E3F1F6F"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9</w:t>
            </w:r>
          </w:p>
        </w:tc>
      </w:tr>
      <w:tr w:rsidR="0050536F" w:rsidRPr="0050536F" w14:paraId="72126588" w14:textId="77777777" w:rsidTr="0050536F">
        <w:trPr>
          <w:trHeight w:val="48"/>
        </w:trPr>
        <w:tc>
          <w:tcPr>
            <w:tcW w:w="2328" w:type="dxa"/>
            <w:vMerge/>
            <w:tcBorders>
              <w:left w:val="single" w:sz="5" w:space="0" w:color="000000"/>
              <w:right w:val="single" w:sz="5" w:space="0" w:color="000000"/>
            </w:tcBorders>
          </w:tcPr>
          <w:p w14:paraId="7BBD70E6"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2DA11387"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20c</w:t>
            </w:r>
          </w:p>
        </w:tc>
        <w:tc>
          <w:tcPr>
            <w:tcW w:w="11035" w:type="dxa"/>
            <w:tcBorders>
              <w:top w:val="single" w:sz="5" w:space="0" w:color="000000"/>
              <w:left w:val="single" w:sz="5" w:space="0" w:color="000000"/>
              <w:bottom w:val="single" w:sz="5" w:space="0" w:color="000000"/>
              <w:right w:val="single" w:sz="5" w:space="0" w:color="000000"/>
            </w:tcBorders>
          </w:tcPr>
          <w:p w14:paraId="1776F225"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Present results of all investigations of possible causes of heterogeneity among study results.</w:t>
            </w:r>
          </w:p>
        </w:tc>
        <w:tc>
          <w:tcPr>
            <w:tcW w:w="1260" w:type="dxa"/>
            <w:tcBorders>
              <w:top w:val="single" w:sz="5" w:space="0" w:color="000000"/>
              <w:left w:val="single" w:sz="5" w:space="0" w:color="000000"/>
              <w:bottom w:val="single" w:sz="5" w:space="0" w:color="000000"/>
              <w:right w:val="single" w:sz="5" w:space="0" w:color="000000"/>
            </w:tcBorders>
          </w:tcPr>
          <w:p w14:paraId="49342F96" w14:textId="241B992B"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N/A</w:t>
            </w:r>
          </w:p>
        </w:tc>
      </w:tr>
      <w:tr w:rsidR="0050536F" w:rsidRPr="0050536F" w14:paraId="0A10655A" w14:textId="77777777" w:rsidTr="0050536F">
        <w:trPr>
          <w:trHeight w:val="48"/>
        </w:trPr>
        <w:tc>
          <w:tcPr>
            <w:tcW w:w="2328" w:type="dxa"/>
            <w:vMerge/>
            <w:tcBorders>
              <w:left w:val="single" w:sz="5" w:space="0" w:color="000000"/>
              <w:bottom w:val="single" w:sz="5" w:space="0" w:color="000000"/>
              <w:right w:val="single" w:sz="5" w:space="0" w:color="000000"/>
            </w:tcBorders>
          </w:tcPr>
          <w:p w14:paraId="46CDFCA8"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67628262"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20d</w:t>
            </w:r>
          </w:p>
        </w:tc>
        <w:tc>
          <w:tcPr>
            <w:tcW w:w="11035" w:type="dxa"/>
            <w:tcBorders>
              <w:top w:val="single" w:sz="5" w:space="0" w:color="000000"/>
              <w:left w:val="single" w:sz="5" w:space="0" w:color="000000"/>
              <w:bottom w:val="single" w:sz="5" w:space="0" w:color="000000"/>
              <w:right w:val="single" w:sz="5" w:space="0" w:color="000000"/>
            </w:tcBorders>
          </w:tcPr>
          <w:p w14:paraId="4930E323"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Present results of all sensitivity analyses conducted to assess the robustness of the synthesized results.</w:t>
            </w:r>
          </w:p>
        </w:tc>
        <w:tc>
          <w:tcPr>
            <w:tcW w:w="1260" w:type="dxa"/>
            <w:tcBorders>
              <w:top w:val="single" w:sz="5" w:space="0" w:color="000000"/>
              <w:left w:val="single" w:sz="5" w:space="0" w:color="000000"/>
              <w:bottom w:val="single" w:sz="5" w:space="0" w:color="000000"/>
              <w:right w:val="single" w:sz="5" w:space="0" w:color="000000"/>
            </w:tcBorders>
          </w:tcPr>
          <w:p w14:paraId="73868104" w14:textId="17D25D12"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N/A</w:t>
            </w:r>
          </w:p>
        </w:tc>
      </w:tr>
      <w:tr w:rsidR="0050536F" w:rsidRPr="0050536F" w14:paraId="3FA6CF26"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320CDA94"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322A320A"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21</w:t>
            </w:r>
          </w:p>
        </w:tc>
        <w:tc>
          <w:tcPr>
            <w:tcW w:w="11035" w:type="dxa"/>
            <w:tcBorders>
              <w:top w:val="single" w:sz="5" w:space="0" w:color="000000"/>
              <w:left w:val="single" w:sz="5" w:space="0" w:color="000000"/>
              <w:bottom w:val="single" w:sz="5" w:space="0" w:color="000000"/>
              <w:right w:val="single" w:sz="5" w:space="0" w:color="000000"/>
            </w:tcBorders>
          </w:tcPr>
          <w:p w14:paraId="17CE6E0C"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Present assessments of risk of bias due to missing results (arising from reporting biases) for each synthesis assessed.</w:t>
            </w:r>
          </w:p>
        </w:tc>
        <w:tc>
          <w:tcPr>
            <w:tcW w:w="1260" w:type="dxa"/>
            <w:tcBorders>
              <w:top w:val="single" w:sz="5" w:space="0" w:color="000000"/>
              <w:left w:val="single" w:sz="5" w:space="0" w:color="000000"/>
              <w:bottom w:val="single" w:sz="5" w:space="0" w:color="000000"/>
              <w:right w:val="single" w:sz="5" w:space="0" w:color="000000"/>
            </w:tcBorders>
          </w:tcPr>
          <w:p w14:paraId="65606F9D" w14:textId="408A2F6B"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17, Appendix 6</w:t>
            </w:r>
          </w:p>
        </w:tc>
      </w:tr>
      <w:tr w:rsidR="0050536F" w:rsidRPr="0050536F" w14:paraId="38B68737"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7D65BAF8"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42C2B7F3"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22</w:t>
            </w:r>
          </w:p>
        </w:tc>
        <w:tc>
          <w:tcPr>
            <w:tcW w:w="11035" w:type="dxa"/>
            <w:tcBorders>
              <w:top w:val="single" w:sz="5" w:space="0" w:color="000000"/>
              <w:left w:val="single" w:sz="5" w:space="0" w:color="000000"/>
              <w:bottom w:val="single" w:sz="5" w:space="0" w:color="000000"/>
              <w:right w:val="single" w:sz="5" w:space="0" w:color="000000"/>
            </w:tcBorders>
          </w:tcPr>
          <w:p w14:paraId="4317C8DB"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Present assessments of certainty (or confidence) in the body of evidence for each outcome assessed.</w:t>
            </w:r>
          </w:p>
        </w:tc>
        <w:tc>
          <w:tcPr>
            <w:tcW w:w="1260" w:type="dxa"/>
            <w:tcBorders>
              <w:top w:val="single" w:sz="5" w:space="0" w:color="000000"/>
              <w:left w:val="single" w:sz="5" w:space="0" w:color="000000"/>
              <w:bottom w:val="single" w:sz="5" w:space="0" w:color="000000"/>
              <w:right w:val="single" w:sz="5" w:space="0" w:color="000000"/>
            </w:tcBorders>
          </w:tcPr>
          <w:p w14:paraId="028162C3" w14:textId="358042DE"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17, Appendixes 6 &amp; 7</w:t>
            </w:r>
          </w:p>
        </w:tc>
      </w:tr>
      <w:tr w:rsidR="0050536F" w:rsidRPr="0050536F" w14:paraId="36765DEA" w14:textId="77777777" w:rsidTr="0050536F">
        <w:trPr>
          <w:trHeight w:val="24"/>
        </w:trPr>
        <w:tc>
          <w:tcPr>
            <w:tcW w:w="1395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D6E218C" w14:textId="77777777" w:rsidR="0050536F" w:rsidRPr="0050536F" w:rsidRDefault="0050536F" w:rsidP="0050536F">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0536F">
              <w:rPr>
                <w:rFonts w:ascii="Arial" w:eastAsia="Times New Roman" w:hAnsi="Arial" w:cs="Arial"/>
                <w:b/>
                <w:bCs/>
                <w:color w:val="000000"/>
                <w:sz w:val="18"/>
                <w:szCs w:val="18"/>
                <w:lang w:val="en-CA" w:eastAsia="en-CA"/>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509DD2A" w14:textId="77777777" w:rsidR="0050536F" w:rsidRPr="0050536F" w:rsidRDefault="0050536F" w:rsidP="0050536F">
            <w:pPr>
              <w:widowControl w:val="0"/>
              <w:autoSpaceDE w:val="0"/>
              <w:autoSpaceDN w:val="0"/>
              <w:adjustRightInd w:val="0"/>
              <w:spacing w:after="0" w:line="240" w:lineRule="auto"/>
              <w:jc w:val="center"/>
              <w:rPr>
                <w:rFonts w:ascii="Arial" w:eastAsia="Times New Roman" w:hAnsi="Arial" w:cs="Arial"/>
                <w:sz w:val="18"/>
                <w:szCs w:val="18"/>
                <w:lang w:val="en-CA" w:eastAsia="en-CA"/>
              </w:rPr>
            </w:pPr>
          </w:p>
        </w:tc>
      </w:tr>
      <w:tr w:rsidR="0050536F" w:rsidRPr="0050536F" w14:paraId="47D63440" w14:textId="77777777" w:rsidTr="0050536F">
        <w:trPr>
          <w:trHeight w:val="48"/>
        </w:trPr>
        <w:tc>
          <w:tcPr>
            <w:tcW w:w="2328" w:type="dxa"/>
            <w:vMerge w:val="restart"/>
            <w:tcBorders>
              <w:top w:val="single" w:sz="5" w:space="0" w:color="000000"/>
              <w:left w:val="single" w:sz="5" w:space="0" w:color="000000"/>
              <w:right w:val="single" w:sz="5" w:space="0" w:color="000000"/>
            </w:tcBorders>
          </w:tcPr>
          <w:p w14:paraId="75FDA2AF"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1E571B1F"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23a</w:t>
            </w:r>
          </w:p>
        </w:tc>
        <w:tc>
          <w:tcPr>
            <w:tcW w:w="11035" w:type="dxa"/>
            <w:tcBorders>
              <w:top w:val="single" w:sz="5" w:space="0" w:color="000000"/>
              <w:left w:val="single" w:sz="5" w:space="0" w:color="000000"/>
              <w:bottom w:val="single" w:sz="5" w:space="0" w:color="000000"/>
              <w:right w:val="single" w:sz="5" w:space="0" w:color="000000"/>
            </w:tcBorders>
          </w:tcPr>
          <w:p w14:paraId="0EB83E5E"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Provide a general interpretation of the results in the context of other evidence.</w:t>
            </w:r>
          </w:p>
        </w:tc>
        <w:tc>
          <w:tcPr>
            <w:tcW w:w="1260" w:type="dxa"/>
            <w:tcBorders>
              <w:top w:val="single" w:sz="5" w:space="0" w:color="000000"/>
              <w:left w:val="single" w:sz="5" w:space="0" w:color="000000"/>
              <w:bottom w:val="single" w:sz="5" w:space="0" w:color="000000"/>
              <w:right w:val="single" w:sz="5" w:space="0" w:color="000000"/>
            </w:tcBorders>
          </w:tcPr>
          <w:p w14:paraId="4D3D6846" w14:textId="5237B672"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17-19</w:t>
            </w:r>
          </w:p>
        </w:tc>
      </w:tr>
      <w:tr w:rsidR="0050536F" w:rsidRPr="0050536F" w14:paraId="01932B95" w14:textId="77777777" w:rsidTr="0050536F">
        <w:trPr>
          <w:trHeight w:val="48"/>
        </w:trPr>
        <w:tc>
          <w:tcPr>
            <w:tcW w:w="2328" w:type="dxa"/>
            <w:vMerge/>
            <w:tcBorders>
              <w:left w:val="single" w:sz="5" w:space="0" w:color="000000"/>
              <w:right w:val="single" w:sz="5" w:space="0" w:color="000000"/>
            </w:tcBorders>
          </w:tcPr>
          <w:p w14:paraId="7F9F4786"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1C87DC70"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23b</w:t>
            </w:r>
          </w:p>
        </w:tc>
        <w:tc>
          <w:tcPr>
            <w:tcW w:w="11035" w:type="dxa"/>
            <w:tcBorders>
              <w:top w:val="single" w:sz="5" w:space="0" w:color="000000"/>
              <w:left w:val="single" w:sz="5" w:space="0" w:color="000000"/>
              <w:bottom w:val="single" w:sz="5" w:space="0" w:color="000000"/>
              <w:right w:val="single" w:sz="5" w:space="0" w:color="000000"/>
            </w:tcBorders>
          </w:tcPr>
          <w:p w14:paraId="232078CD"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Discuss any limitations of the evidence included in the review.</w:t>
            </w:r>
          </w:p>
        </w:tc>
        <w:tc>
          <w:tcPr>
            <w:tcW w:w="1260" w:type="dxa"/>
            <w:tcBorders>
              <w:top w:val="single" w:sz="5" w:space="0" w:color="000000"/>
              <w:left w:val="single" w:sz="5" w:space="0" w:color="000000"/>
              <w:bottom w:val="single" w:sz="5" w:space="0" w:color="000000"/>
              <w:right w:val="single" w:sz="5" w:space="0" w:color="000000"/>
            </w:tcBorders>
          </w:tcPr>
          <w:p w14:paraId="2FC70838" w14:textId="5E169919"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19</w:t>
            </w:r>
          </w:p>
        </w:tc>
      </w:tr>
      <w:tr w:rsidR="0050536F" w:rsidRPr="0050536F" w14:paraId="3AA93184" w14:textId="77777777" w:rsidTr="0050536F">
        <w:trPr>
          <w:trHeight w:val="48"/>
        </w:trPr>
        <w:tc>
          <w:tcPr>
            <w:tcW w:w="2328" w:type="dxa"/>
            <w:vMerge/>
            <w:tcBorders>
              <w:left w:val="single" w:sz="5" w:space="0" w:color="000000"/>
              <w:right w:val="single" w:sz="5" w:space="0" w:color="000000"/>
            </w:tcBorders>
          </w:tcPr>
          <w:p w14:paraId="05FBA170"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4" w:space="0" w:color="auto"/>
              <w:right w:val="single" w:sz="5" w:space="0" w:color="000000"/>
            </w:tcBorders>
          </w:tcPr>
          <w:p w14:paraId="216D02E8"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23c</w:t>
            </w:r>
          </w:p>
        </w:tc>
        <w:tc>
          <w:tcPr>
            <w:tcW w:w="11035" w:type="dxa"/>
            <w:tcBorders>
              <w:top w:val="single" w:sz="5" w:space="0" w:color="000000"/>
              <w:left w:val="single" w:sz="5" w:space="0" w:color="000000"/>
              <w:bottom w:val="single" w:sz="5" w:space="0" w:color="000000"/>
              <w:right w:val="single" w:sz="5" w:space="0" w:color="000000"/>
            </w:tcBorders>
          </w:tcPr>
          <w:p w14:paraId="6E154C9D"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Discuss any limitations of the review processes used.</w:t>
            </w:r>
          </w:p>
        </w:tc>
        <w:tc>
          <w:tcPr>
            <w:tcW w:w="1260" w:type="dxa"/>
            <w:tcBorders>
              <w:top w:val="single" w:sz="5" w:space="0" w:color="000000"/>
              <w:left w:val="single" w:sz="5" w:space="0" w:color="000000"/>
              <w:bottom w:val="single" w:sz="5" w:space="0" w:color="000000"/>
              <w:right w:val="single" w:sz="5" w:space="0" w:color="000000"/>
            </w:tcBorders>
          </w:tcPr>
          <w:p w14:paraId="422904C8" w14:textId="1C358B83"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19</w:t>
            </w:r>
          </w:p>
        </w:tc>
      </w:tr>
      <w:tr w:rsidR="0050536F" w:rsidRPr="0050536F" w14:paraId="75504EC6" w14:textId="77777777" w:rsidTr="0050536F">
        <w:trPr>
          <w:trHeight w:val="48"/>
        </w:trPr>
        <w:tc>
          <w:tcPr>
            <w:tcW w:w="2328" w:type="dxa"/>
            <w:vMerge/>
            <w:tcBorders>
              <w:left w:val="single" w:sz="5" w:space="0" w:color="000000"/>
              <w:bottom w:val="single" w:sz="4" w:space="0" w:color="auto"/>
              <w:right w:val="single" w:sz="5" w:space="0" w:color="000000"/>
            </w:tcBorders>
          </w:tcPr>
          <w:p w14:paraId="07DD6C06"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4" w:space="0" w:color="auto"/>
              <w:left w:val="single" w:sz="5" w:space="0" w:color="000000"/>
              <w:bottom w:val="single" w:sz="4" w:space="0" w:color="auto"/>
              <w:right w:val="single" w:sz="4" w:space="0" w:color="auto"/>
            </w:tcBorders>
          </w:tcPr>
          <w:p w14:paraId="5485D834"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23d</w:t>
            </w:r>
          </w:p>
        </w:tc>
        <w:tc>
          <w:tcPr>
            <w:tcW w:w="11035" w:type="dxa"/>
            <w:tcBorders>
              <w:top w:val="single" w:sz="5" w:space="0" w:color="000000"/>
              <w:left w:val="single" w:sz="4" w:space="0" w:color="auto"/>
              <w:bottom w:val="double" w:sz="5" w:space="0" w:color="000000"/>
              <w:right w:val="single" w:sz="5" w:space="0" w:color="000000"/>
            </w:tcBorders>
          </w:tcPr>
          <w:p w14:paraId="2DC41B4F"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Discuss implications of the results for practice, policy, and future research.</w:t>
            </w:r>
          </w:p>
        </w:tc>
        <w:tc>
          <w:tcPr>
            <w:tcW w:w="1260" w:type="dxa"/>
            <w:tcBorders>
              <w:top w:val="single" w:sz="5" w:space="0" w:color="000000"/>
              <w:left w:val="single" w:sz="5" w:space="0" w:color="000000"/>
              <w:bottom w:val="double" w:sz="5" w:space="0" w:color="000000"/>
              <w:right w:val="single" w:sz="5" w:space="0" w:color="000000"/>
            </w:tcBorders>
          </w:tcPr>
          <w:p w14:paraId="57586610" w14:textId="766D4095"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17-19</w:t>
            </w:r>
          </w:p>
        </w:tc>
      </w:tr>
      <w:tr w:rsidR="0050536F" w:rsidRPr="0050536F" w14:paraId="6389CAC6" w14:textId="77777777" w:rsidTr="0050536F">
        <w:trPr>
          <w:trHeight w:val="24"/>
        </w:trPr>
        <w:tc>
          <w:tcPr>
            <w:tcW w:w="1395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4EAEF67" w14:textId="77777777" w:rsidR="0050536F" w:rsidRPr="0050536F" w:rsidRDefault="0050536F" w:rsidP="0050536F">
            <w:pPr>
              <w:widowControl w:val="0"/>
              <w:autoSpaceDE w:val="0"/>
              <w:autoSpaceDN w:val="0"/>
              <w:adjustRightInd w:val="0"/>
              <w:spacing w:after="0" w:line="240" w:lineRule="auto"/>
              <w:rPr>
                <w:rFonts w:ascii="Arial" w:eastAsia="Times New Roman" w:hAnsi="Arial" w:cs="Arial"/>
                <w:color w:val="000000"/>
                <w:sz w:val="18"/>
                <w:szCs w:val="18"/>
                <w:lang w:val="en-CA" w:eastAsia="en-CA"/>
              </w:rPr>
            </w:pPr>
            <w:r w:rsidRPr="0050536F">
              <w:rPr>
                <w:rFonts w:ascii="Arial" w:eastAsia="Times New Roman" w:hAnsi="Arial" w:cs="Arial"/>
                <w:b/>
                <w:bCs/>
                <w:color w:val="000000"/>
                <w:sz w:val="18"/>
                <w:szCs w:val="18"/>
                <w:lang w:val="en-CA" w:eastAsia="en-CA"/>
              </w:rPr>
              <w:t>OTHER INFORMATION</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3EF046E" w14:textId="77777777" w:rsidR="0050536F" w:rsidRPr="0050536F" w:rsidRDefault="0050536F" w:rsidP="0050536F">
            <w:pPr>
              <w:widowControl w:val="0"/>
              <w:autoSpaceDE w:val="0"/>
              <w:autoSpaceDN w:val="0"/>
              <w:adjustRightInd w:val="0"/>
              <w:spacing w:after="0" w:line="240" w:lineRule="auto"/>
              <w:jc w:val="center"/>
              <w:rPr>
                <w:rFonts w:ascii="Arial" w:eastAsia="Times New Roman" w:hAnsi="Arial" w:cs="Arial"/>
                <w:sz w:val="18"/>
                <w:szCs w:val="18"/>
                <w:lang w:val="en-CA" w:eastAsia="en-CA"/>
              </w:rPr>
            </w:pPr>
          </w:p>
        </w:tc>
      </w:tr>
      <w:tr w:rsidR="0050536F" w:rsidRPr="0050536F" w14:paraId="17A5B994" w14:textId="77777777" w:rsidTr="0050536F">
        <w:trPr>
          <w:trHeight w:val="48"/>
        </w:trPr>
        <w:tc>
          <w:tcPr>
            <w:tcW w:w="2328" w:type="dxa"/>
            <w:vMerge w:val="restart"/>
            <w:tcBorders>
              <w:top w:val="single" w:sz="5" w:space="0" w:color="000000"/>
              <w:left w:val="single" w:sz="5" w:space="0" w:color="000000"/>
              <w:right w:val="single" w:sz="5" w:space="0" w:color="000000"/>
            </w:tcBorders>
          </w:tcPr>
          <w:p w14:paraId="3834ED77"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6186B868"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24a</w:t>
            </w:r>
          </w:p>
        </w:tc>
        <w:tc>
          <w:tcPr>
            <w:tcW w:w="11035" w:type="dxa"/>
            <w:tcBorders>
              <w:top w:val="single" w:sz="5" w:space="0" w:color="000000"/>
              <w:left w:val="single" w:sz="5" w:space="0" w:color="000000"/>
              <w:bottom w:val="single" w:sz="5" w:space="0" w:color="000000"/>
              <w:right w:val="single" w:sz="5" w:space="0" w:color="000000"/>
            </w:tcBorders>
          </w:tcPr>
          <w:p w14:paraId="085D673E"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Provide registration information for the review, including register name and registration number, or state that the review was not registered.</w:t>
            </w:r>
          </w:p>
        </w:tc>
        <w:tc>
          <w:tcPr>
            <w:tcW w:w="1260" w:type="dxa"/>
            <w:tcBorders>
              <w:top w:val="single" w:sz="5" w:space="0" w:color="000000"/>
              <w:left w:val="single" w:sz="5" w:space="0" w:color="000000"/>
              <w:bottom w:val="single" w:sz="5" w:space="0" w:color="000000"/>
              <w:right w:val="single" w:sz="5" w:space="0" w:color="000000"/>
            </w:tcBorders>
          </w:tcPr>
          <w:p w14:paraId="024E79DD" w14:textId="05E00EC8"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Not registered</w:t>
            </w:r>
          </w:p>
        </w:tc>
      </w:tr>
      <w:tr w:rsidR="0050536F" w:rsidRPr="0050536F" w14:paraId="498C5A3F" w14:textId="77777777" w:rsidTr="0050536F">
        <w:trPr>
          <w:trHeight w:val="57"/>
        </w:trPr>
        <w:tc>
          <w:tcPr>
            <w:tcW w:w="2328" w:type="dxa"/>
            <w:vMerge/>
            <w:tcBorders>
              <w:left w:val="single" w:sz="5" w:space="0" w:color="000000"/>
              <w:right w:val="single" w:sz="5" w:space="0" w:color="000000"/>
            </w:tcBorders>
          </w:tcPr>
          <w:p w14:paraId="4BCD0F46"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14CFDD3B"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24b</w:t>
            </w:r>
          </w:p>
        </w:tc>
        <w:tc>
          <w:tcPr>
            <w:tcW w:w="11035" w:type="dxa"/>
            <w:tcBorders>
              <w:top w:val="single" w:sz="5" w:space="0" w:color="000000"/>
              <w:left w:val="single" w:sz="5" w:space="0" w:color="000000"/>
              <w:bottom w:val="single" w:sz="5" w:space="0" w:color="000000"/>
              <w:right w:val="single" w:sz="5" w:space="0" w:color="000000"/>
            </w:tcBorders>
          </w:tcPr>
          <w:p w14:paraId="0566CA06"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Indicate where the review protocol can be accessed, or state that a protocol was not prepared.</w:t>
            </w:r>
          </w:p>
        </w:tc>
        <w:tc>
          <w:tcPr>
            <w:tcW w:w="1260" w:type="dxa"/>
            <w:tcBorders>
              <w:top w:val="single" w:sz="5" w:space="0" w:color="000000"/>
              <w:left w:val="single" w:sz="5" w:space="0" w:color="000000"/>
              <w:bottom w:val="single" w:sz="5" w:space="0" w:color="000000"/>
              <w:right w:val="single" w:sz="5" w:space="0" w:color="000000"/>
            </w:tcBorders>
          </w:tcPr>
          <w:p w14:paraId="5360F463" w14:textId="4F80C939"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N/A</w:t>
            </w:r>
          </w:p>
        </w:tc>
      </w:tr>
      <w:tr w:rsidR="0050536F" w:rsidRPr="0050536F" w14:paraId="182F4CAC" w14:textId="77777777" w:rsidTr="0050536F">
        <w:trPr>
          <w:trHeight w:val="48"/>
        </w:trPr>
        <w:tc>
          <w:tcPr>
            <w:tcW w:w="2328" w:type="dxa"/>
            <w:vMerge/>
            <w:tcBorders>
              <w:left w:val="single" w:sz="5" w:space="0" w:color="000000"/>
              <w:bottom w:val="single" w:sz="5" w:space="0" w:color="000000"/>
              <w:right w:val="single" w:sz="5" w:space="0" w:color="000000"/>
            </w:tcBorders>
          </w:tcPr>
          <w:p w14:paraId="286F0C63"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p>
        </w:tc>
        <w:tc>
          <w:tcPr>
            <w:tcW w:w="587" w:type="dxa"/>
            <w:tcBorders>
              <w:top w:val="single" w:sz="5" w:space="0" w:color="000000"/>
              <w:left w:val="single" w:sz="5" w:space="0" w:color="000000"/>
              <w:bottom w:val="single" w:sz="5" w:space="0" w:color="000000"/>
              <w:right w:val="single" w:sz="5" w:space="0" w:color="000000"/>
            </w:tcBorders>
          </w:tcPr>
          <w:p w14:paraId="473B0237"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24c</w:t>
            </w:r>
          </w:p>
        </w:tc>
        <w:tc>
          <w:tcPr>
            <w:tcW w:w="11035" w:type="dxa"/>
            <w:tcBorders>
              <w:top w:val="single" w:sz="5" w:space="0" w:color="000000"/>
              <w:left w:val="single" w:sz="5" w:space="0" w:color="000000"/>
              <w:bottom w:val="single" w:sz="5" w:space="0" w:color="000000"/>
              <w:right w:val="single" w:sz="5" w:space="0" w:color="000000"/>
            </w:tcBorders>
          </w:tcPr>
          <w:p w14:paraId="3DD0C010"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Describe and explain any amendments to information provided at registration or in the protocol.</w:t>
            </w:r>
          </w:p>
        </w:tc>
        <w:tc>
          <w:tcPr>
            <w:tcW w:w="1260" w:type="dxa"/>
            <w:tcBorders>
              <w:top w:val="single" w:sz="5" w:space="0" w:color="000000"/>
              <w:left w:val="single" w:sz="5" w:space="0" w:color="000000"/>
              <w:bottom w:val="single" w:sz="5" w:space="0" w:color="000000"/>
              <w:right w:val="single" w:sz="5" w:space="0" w:color="000000"/>
            </w:tcBorders>
          </w:tcPr>
          <w:p w14:paraId="0C64F59D" w14:textId="0C955DE9"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N/A</w:t>
            </w:r>
          </w:p>
        </w:tc>
      </w:tr>
      <w:tr w:rsidR="0050536F" w:rsidRPr="0050536F" w14:paraId="6A4E1ADB"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699D24A5"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Support</w:t>
            </w:r>
          </w:p>
        </w:tc>
        <w:tc>
          <w:tcPr>
            <w:tcW w:w="587" w:type="dxa"/>
            <w:tcBorders>
              <w:top w:val="single" w:sz="5" w:space="0" w:color="000000"/>
              <w:left w:val="single" w:sz="5" w:space="0" w:color="000000"/>
              <w:bottom w:val="single" w:sz="5" w:space="0" w:color="000000"/>
              <w:right w:val="single" w:sz="5" w:space="0" w:color="000000"/>
            </w:tcBorders>
          </w:tcPr>
          <w:p w14:paraId="4C93B6B1"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25</w:t>
            </w:r>
          </w:p>
        </w:tc>
        <w:tc>
          <w:tcPr>
            <w:tcW w:w="11035" w:type="dxa"/>
            <w:tcBorders>
              <w:top w:val="single" w:sz="5" w:space="0" w:color="000000"/>
              <w:left w:val="single" w:sz="5" w:space="0" w:color="000000"/>
              <w:bottom w:val="single" w:sz="5" w:space="0" w:color="000000"/>
              <w:right w:val="single" w:sz="5" w:space="0" w:color="000000"/>
            </w:tcBorders>
          </w:tcPr>
          <w:p w14:paraId="59D47B97"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Describe sources of financial or non-financial support for the review, and the role of the funders or sponsors in the review.</w:t>
            </w:r>
          </w:p>
        </w:tc>
        <w:tc>
          <w:tcPr>
            <w:tcW w:w="1260" w:type="dxa"/>
            <w:tcBorders>
              <w:top w:val="single" w:sz="5" w:space="0" w:color="000000"/>
              <w:left w:val="single" w:sz="5" w:space="0" w:color="000000"/>
              <w:bottom w:val="single" w:sz="5" w:space="0" w:color="000000"/>
              <w:right w:val="single" w:sz="5" w:space="0" w:color="000000"/>
            </w:tcBorders>
          </w:tcPr>
          <w:p w14:paraId="47964126" w14:textId="1E3F5CF8"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20</w:t>
            </w:r>
          </w:p>
        </w:tc>
      </w:tr>
      <w:tr w:rsidR="0050536F" w:rsidRPr="0050536F" w14:paraId="2936AAFA" w14:textId="77777777" w:rsidTr="0050536F">
        <w:trPr>
          <w:trHeight w:val="48"/>
        </w:trPr>
        <w:tc>
          <w:tcPr>
            <w:tcW w:w="2328" w:type="dxa"/>
            <w:tcBorders>
              <w:top w:val="single" w:sz="5" w:space="0" w:color="000000"/>
              <w:left w:val="single" w:sz="5" w:space="0" w:color="000000"/>
              <w:bottom w:val="single" w:sz="5" w:space="0" w:color="000000"/>
              <w:right w:val="single" w:sz="5" w:space="0" w:color="000000"/>
            </w:tcBorders>
          </w:tcPr>
          <w:p w14:paraId="51692B69"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4AB32B8B"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26</w:t>
            </w:r>
          </w:p>
        </w:tc>
        <w:tc>
          <w:tcPr>
            <w:tcW w:w="11035" w:type="dxa"/>
            <w:tcBorders>
              <w:top w:val="single" w:sz="5" w:space="0" w:color="000000"/>
              <w:left w:val="single" w:sz="5" w:space="0" w:color="000000"/>
              <w:bottom w:val="single" w:sz="5" w:space="0" w:color="000000"/>
              <w:right w:val="single" w:sz="5" w:space="0" w:color="000000"/>
            </w:tcBorders>
          </w:tcPr>
          <w:p w14:paraId="569A4983"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Declare any competing interests of review authors.</w:t>
            </w:r>
          </w:p>
        </w:tc>
        <w:tc>
          <w:tcPr>
            <w:tcW w:w="1260" w:type="dxa"/>
            <w:tcBorders>
              <w:top w:val="single" w:sz="5" w:space="0" w:color="000000"/>
              <w:left w:val="single" w:sz="5" w:space="0" w:color="000000"/>
              <w:bottom w:val="single" w:sz="5" w:space="0" w:color="000000"/>
              <w:right w:val="single" w:sz="5" w:space="0" w:color="000000"/>
            </w:tcBorders>
          </w:tcPr>
          <w:p w14:paraId="78031482" w14:textId="11093190"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20</w:t>
            </w:r>
          </w:p>
        </w:tc>
      </w:tr>
      <w:tr w:rsidR="0050536F" w:rsidRPr="0050536F" w14:paraId="1C9B2AFE" w14:textId="77777777" w:rsidTr="0050536F">
        <w:trPr>
          <w:trHeight w:val="220"/>
        </w:trPr>
        <w:tc>
          <w:tcPr>
            <w:tcW w:w="2328" w:type="dxa"/>
            <w:tcBorders>
              <w:top w:val="single" w:sz="5" w:space="0" w:color="000000"/>
              <w:left w:val="single" w:sz="5" w:space="0" w:color="000000"/>
              <w:bottom w:val="double" w:sz="5" w:space="0" w:color="000000"/>
              <w:right w:val="single" w:sz="5" w:space="0" w:color="000000"/>
            </w:tcBorders>
          </w:tcPr>
          <w:p w14:paraId="3149F417"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7D25E3D4" w14:textId="77777777" w:rsidR="0050536F" w:rsidRPr="0050536F" w:rsidRDefault="0050536F" w:rsidP="0050536F">
            <w:pPr>
              <w:widowControl w:val="0"/>
              <w:autoSpaceDE w:val="0"/>
              <w:autoSpaceDN w:val="0"/>
              <w:adjustRightInd w:val="0"/>
              <w:spacing w:before="40" w:after="40" w:line="240" w:lineRule="auto"/>
              <w:jc w:val="right"/>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27</w:t>
            </w:r>
          </w:p>
        </w:tc>
        <w:tc>
          <w:tcPr>
            <w:tcW w:w="11035" w:type="dxa"/>
            <w:tcBorders>
              <w:top w:val="single" w:sz="5" w:space="0" w:color="000000"/>
              <w:left w:val="single" w:sz="5" w:space="0" w:color="000000"/>
              <w:bottom w:val="double" w:sz="5" w:space="0" w:color="000000"/>
              <w:right w:val="single" w:sz="5" w:space="0" w:color="000000"/>
            </w:tcBorders>
          </w:tcPr>
          <w:p w14:paraId="31A2352D" w14:textId="77777777" w:rsidR="0050536F" w:rsidRPr="0050536F" w:rsidRDefault="0050536F" w:rsidP="0050536F">
            <w:pPr>
              <w:widowControl w:val="0"/>
              <w:autoSpaceDE w:val="0"/>
              <w:autoSpaceDN w:val="0"/>
              <w:adjustRightInd w:val="0"/>
              <w:spacing w:before="40" w:after="40" w:line="240" w:lineRule="auto"/>
              <w:rPr>
                <w:rFonts w:ascii="Arial" w:eastAsia="Times New Roman" w:hAnsi="Arial" w:cs="Arial"/>
                <w:color w:val="000000"/>
                <w:sz w:val="18"/>
                <w:szCs w:val="18"/>
                <w:lang w:val="en-CA" w:eastAsia="en-CA"/>
              </w:rPr>
            </w:pPr>
            <w:r w:rsidRPr="0050536F">
              <w:rPr>
                <w:rFonts w:ascii="Arial" w:eastAsia="Times New Roman" w:hAnsi="Arial" w:cs="Arial"/>
                <w:color w:val="000000"/>
                <w:sz w:val="18"/>
                <w:szCs w:val="18"/>
                <w:lang w:val="en-CA" w:eastAsia="en-CA"/>
              </w:rPr>
              <w:t>Report which of the following are publicly available and where they can be found: template data collection forms; data extracted from included studies; data used for all analyses; analytic code; any other materials used in the review.</w:t>
            </w:r>
          </w:p>
        </w:tc>
        <w:tc>
          <w:tcPr>
            <w:tcW w:w="1260" w:type="dxa"/>
            <w:tcBorders>
              <w:top w:val="single" w:sz="5" w:space="0" w:color="000000"/>
              <w:left w:val="single" w:sz="5" w:space="0" w:color="000000"/>
              <w:bottom w:val="double" w:sz="5" w:space="0" w:color="000000"/>
              <w:right w:val="single" w:sz="5" w:space="0" w:color="000000"/>
            </w:tcBorders>
          </w:tcPr>
          <w:p w14:paraId="36DECE3F" w14:textId="47480723" w:rsidR="0050536F" w:rsidRPr="0050536F" w:rsidRDefault="009D72B0" w:rsidP="0050536F">
            <w:pPr>
              <w:widowControl w:val="0"/>
              <w:autoSpaceDE w:val="0"/>
              <w:autoSpaceDN w:val="0"/>
              <w:adjustRightInd w:val="0"/>
              <w:spacing w:before="40" w:after="4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20</w:t>
            </w:r>
          </w:p>
        </w:tc>
      </w:tr>
    </w:tbl>
    <w:p w14:paraId="117C991A" w14:textId="77777777" w:rsidR="0050536F" w:rsidRDefault="0050536F">
      <w:pPr>
        <w:rPr>
          <w:rFonts w:eastAsia="Arial Unicode MS" w:cstheme="minorHAnsi"/>
          <w:b/>
          <w:bCs/>
          <w:color w:val="000000"/>
          <w:u w:color="000000"/>
        </w:rPr>
      </w:pPr>
    </w:p>
    <w:sectPr w:rsidR="0050536F" w:rsidSect="00AD0CB9">
      <w:pgSz w:w="15840" w:h="12240" w:orient="landscape"/>
      <w:pgMar w:top="1440" w:right="1440" w:bottom="1089" w:left="144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9C441" w14:textId="77777777" w:rsidR="00D13850" w:rsidRDefault="00D13850">
      <w:pPr>
        <w:spacing w:after="0" w:line="240" w:lineRule="auto"/>
      </w:pPr>
      <w:r>
        <w:separator/>
      </w:r>
    </w:p>
  </w:endnote>
  <w:endnote w:type="continuationSeparator" w:id="0">
    <w:p w14:paraId="12BAB57E" w14:textId="77777777" w:rsidR="00D13850" w:rsidRDefault="00D138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Arial"/>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A323DC" w14:textId="77777777" w:rsidR="00D13850" w:rsidRDefault="00D13850">
      <w:pPr>
        <w:spacing w:after="0" w:line="240" w:lineRule="auto"/>
      </w:pPr>
      <w:r>
        <w:separator/>
      </w:r>
    </w:p>
  </w:footnote>
  <w:footnote w:type="continuationSeparator" w:id="0">
    <w:p w14:paraId="1ACEA00A" w14:textId="77777777" w:rsidR="00D13850" w:rsidRDefault="00D138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59FEC" w14:textId="77777777" w:rsidR="00981E39" w:rsidRDefault="00981E39" w:rsidP="00B64CAB">
    <w:pPr>
      <w:pStyle w:val="Body"/>
    </w:pPr>
  </w:p>
  <w:p w14:paraId="7954DFF8" w14:textId="05D71F07" w:rsidR="00981E39" w:rsidRPr="00B64CAB" w:rsidRDefault="00981E39" w:rsidP="00B64CAB">
    <w:pPr>
      <w:pStyle w:val="Body"/>
      <w:rPr>
        <w:rFonts w:cs="Times New Roman"/>
        <w:color w:val="auto"/>
      </w:rPr>
    </w:pPr>
    <w:r w:rsidRPr="00B64CAB">
      <w:t xml:space="preserve">Supplementary File to </w:t>
    </w:r>
    <w:r w:rsidRPr="00B64CAB">
      <w:rPr>
        <w:rtl/>
        <w:lang w:val="ar-SA"/>
      </w:rPr>
      <w:t>“</w:t>
    </w:r>
    <w:r w:rsidR="00B64CAB" w:rsidRPr="00B64CAB">
      <w:t>Stock-outs of essential medicines among Community Health Workers (CHWs) in Low- and Middle-Income Countries (LMICs)</w:t>
    </w:r>
    <w:r w:rsidRPr="00B64CAB">
      <w:t>: Literature Review”</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84C0C" w14:textId="77777777" w:rsidR="00691EB0" w:rsidRDefault="00691EB0" w:rsidP="00B64CAB">
    <w:pPr>
      <w:pStyle w:val="Body"/>
    </w:pPr>
  </w:p>
  <w:p w14:paraId="735A474A" w14:textId="77777777" w:rsidR="00691EB0" w:rsidRPr="00B64CAB" w:rsidRDefault="00691EB0" w:rsidP="00B64CAB">
    <w:pPr>
      <w:pStyle w:val="Body"/>
      <w:rPr>
        <w:rFonts w:cs="Times New Roman"/>
        <w:color w:val="auto"/>
      </w:rPr>
    </w:pPr>
    <w:r w:rsidRPr="00B64CAB">
      <w:t xml:space="preserve">Supplementary File to </w:t>
    </w:r>
    <w:r w:rsidRPr="00B64CAB">
      <w:rPr>
        <w:rtl/>
        <w:lang w:val="ar-SA"/>
      </w:rPr>
      <w:t>“</w:t>
    </w:r>
    <w:r w:rsidRPr="00B64CAB">
      <w:t>Stock-outs of essential medicines among Community Health Workers (CHWs) in Low- and Middle-Income Countries (LMICs): Literature Review”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894EE873"/>
    <w:lvl w:ilvl="0" w:tplc="13CAB02A">
      <w:numFmt w:val="decimal"/>
      <w:lvlText w:val=""/>
      <w:lvlJc w:val="left"/>
    </w:lvl>
    <w:lvl w:ilvl="1" w:tplc="E57C569A">
      <w:numFmt w:val="decimal"/>
      <w:lvlText w:val=""/>
      <w:lvlJc w:val="left"/>
    </w:lvl>
    <w:lvl w:ilvl="2" w:tplc="C23E5900">
      <w:numFmt w:val="decimal"/>
      <w:lvlText w:val=""/>
      <w:lvlJc w:val="left"/>
    </w:lvl>
    <w:lvl w:ilvl="3" w:tplc="B558880C">
      <w:numFmt w:val="decimal"/>
      <w:lvlText w:val=""/>
      <w:lvlJc w:val="left"/>
    </w:lvl>
    <w:lvl w:ilvl="4" w:tplc="A20C25EA">
      <w:numFmt w:val="decimal"/>
      <w:lvlText w:val=""/>
      <w:lvlJc w:val="left"/>
    </w:lvl>
    <w:lvl w:ilvl="5" w:tplc="051E9526">
      <w:numFmt w:val="decimal"/>
      <w:lvlText w:val=""/>
      <w:lvlJc w:val="left"/>
    </w:lvl>
    <w:lvl w:ilvl="6" w:tplc="733EB252">
      <w:numFmt w:val="decimal"/>
      <w:lvlText w:val=""/>
      <w:lvlJc w:val="left"/>
    </w:lvl>
    <w:lvl w:ilvl="7" w:tplc="65C0DABE">
      <w:numFmt w:val="decimal"/>
      <w:lvlText w:val=""/>
      <w:lvlJc w:val="left"/>
    </w:lvl>
    <w:lvl w:ilvl="8" w:tplc="2496F286">
      <w:numFmt w:val="decimal"/>
      <w:lvlText w:val=""/>
      <w:lvlJc w:val="left"/>
    </w:lvl>
  </w:abstractNum>
  <w:abstractNum w:abstractNumId="1" w15:restartNumberingAfterBreak="0">
    <w:nsid w:val="0282593E"/>
    <w:multiLevelType w:val="hybridMultilevel"/>
    <w:tmpl w:val="473093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305390"/>
    <w:multiLevelType w:val="hybridMultilevel"/>
    <w:tmpl w:val="46AA3C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0F5D08"/>
    <w:multiLevelType w:val="hybridMultilevel"/>
    <w:tmpl w:val="6416F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4B4E59"/>
    <w:multiLevelType w:val="hybridMultilevel"/>
    <w:tmpl w:val="A0C2CE86"/>
    <w:lvl w:ilvl="0" w:tplc="D37AA7B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B5274A"/>
    <w:multiLevelType w:val="hybridMultilevel"/>
    <w:tmpl w:val="4F0CEA30"/>
    <w:lvl w:ilvl="0" w:tplc="00F40D6C">
      <w:start w:val="1"/>
      <w:numFmt w:val="decimal"/>
      <w:lvlText w:val="%1."/>
      <w:lvlJc w:val="left"/>
      <w:pPr>
        <w:ind w:left="720" w:hanging="360"/>
      </w:pPr>
      <w:rPr>
        <w:rFonts w:eastAsia="Arial Unicode MS" w:cs="Arial Unicode M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4B74FE"/>
    <w:multiLevelType w:val="hybridMultilevel"/>
    <w:tmpl w:val="894EE873"/>
    <w:lvl w:ilvl="0" w:tplc="408C94B8">
      <w:numFmt w:val="decimal"/>
      <w:lvlText w:val=""/>
      <w:lvlJc w:val="left"/>
    </w:lvl>
    <w:lvl w:ilvl="1" w:tplc="D3E0C5AC">
      <w:numFmt w:val="decimal"/>
      <w:lvlText w:val=""/>
      <w:lvlJc w:val="left"/>
    </w:lvl>
    <w:lvl w:ilvl="2" w:tplc="D79AA754">
      <w:numFmt w:val="decimal"/>
      <w:lvlText w:val=""/>
      <w:lvlJc w:val="left"/>
    </w:lvl>
    <w:lvl w:ilvl="3" w:tplc="E4540624">
      <w:numFmt w:val="decimal"/>
      <w:lvlText w:val=""/>
      <w:lvlJc w:val="left"/>
    </w:lvl>
    <w:lvl w:ilvl="4" w:tplc="D12AF494">
      <w:numFmt w:val="decimal"/>
      <w:lvlText w:val=""/>
      <w:lvlJc w:val="left"/>
    </w:lvl>
    <w:lvl w:ilvl="5" w:tplc="5E44EF58">
      <w:numFmt w:val="decimal"/>
      <w:lvlText w:val=""/>
      <w:lvlJc w:val="left"/>
    </w:lvl>
    <w:lvl w:ilvl="6" w:tplc="AB4ABDA4">
      <w:numFmt w:val="decimal"/>
      <w:lvlText w:val=""/>
      <w:lvlJc w:val="left"/>
    </w:lvl>
    <w:lvl w:ilvl="7" w:tplc="DA3CE6CA">
      <w:numFmt w:val="decimal"/>
      <w:lvlText w:val=""/>
      <w:lvlJc w:val="left"/>
    </w:lvl>
    <w:lvl w:ilvl="8" w:tplc="914CAD4A">
      <w:numFmt w:val="decimal"/>
      <w:lvlText w:val=""/>
      <w:lvlJc w:val="left"/>
    </w:lvl>
  </w:abstractNum>
  <w:abstractNum w:abstractNumId="7" w15:restartNumberingAfterBreak="0">
    <w:nsid w:val="26C04340"/>
    <w:multiLevelType w:val="multilevel"/>
    <w:tmpl w:val="41FA8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BEA5E36"/>
    <w:multiLevelType w:val="hybridMultilevel"/>
    <w:tmpl w:val="ED6AA4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EE0C05"/>
    <w:multiLevelType w:val="hybridMultilevel"/>
    <w:tmpl w:val="7B1C64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277B16"/>
    <w:multiLevelType w:val="hybridMultilevel"/>
    <w:tmpl w:val="2D00CF62"/>
    <w:lvl w:ilvl="0" w:tplc="5F944CA8">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509743E"/>
    <w:multiLevelType w:val="hybridMultilevel"/>
    <w:tmpl w:val="769E1DAA"/>
    <w:lvl w:ilvl="0" w:tplc="D5781712">
      <w:start w:val="1"/>
      <w:numFmt w:val="decimal"/>
      <w:lvlText w:val="%1."/>
      <w:lvlJc w:val="left"/>
      <w:pPr>
        <w:ind w:left="720" w:hanging="360"/>
      </w:pPr>
      <w:rPr>
        <w:rFonts w:ascii="Arial" w:hAnsi="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83A646F"/>
    <w:multiLevelType w:val="hybridMultilevel"/>
    <w:tmpl w:val="3A86A3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F323A57"/>
    <w:multiLevelType w:val="hybridMultilevel"/>
    <w:tmpl w:val="AC885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A608B8"/>
    <w:multiLevelType w:val="hybridMultilevel"/>
    <w:tmpl w:val="06146F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FD46BB6"/>
    <w:multiLevelType w:val="hybridMultilevel"/>
    <w:tmpl w:val="70FA8894"/>
    <w:lvl w:ilvl="0" w:tplc="8C38BC0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13549F4"/>
    <w:multiLevelType w:val="hybridMultilevel"/>
    <w:tmpl w:val="4D9E1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42E5D3E"/>
    <w:multiLevelType w:val="hybridMultilevel"/>
    <w:tmpl w:val="BFB293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5911434"/>
    <w:multiLevelType w:val="hybridMultilevel"/>
    <w:tmpl w:val="16BA34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5FB7CCA"/>
    <w:multiLevelType w:val="hybridMultilevel"/>
    <w:tmpl w:val="382C7C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627025"/>
    <w:multiLevelType w:val="hybridMultilevel"/>
    <w:tmpl w:val="C330B6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E247FCD"/>
    <w:multiLevelType w:val="hybridMultilevel"/>
    <w:tmpl w:val="E6DAFA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2"/>
  </w:num>
  <w:num w:numId="3">
    <w:abstractNumId w:val="8"/>
  </w:num>
  <w:num w:numId="4">
    <w:abstractNumId w:val="1"/>
  </w:num>
  <w:num w:numId="5">
    <w:abstractNumId w:val="20"/>
  </w:num>
  <w:num w:numId="6">
    <w:abstractNumId w:val="19"/>
  </w:num>
  <w:num w:numId="7">
    <w:abstractNumId w:val="15"/>
  </w:num>
  <w:num w:numId="8">
    <w:abstractNumId w:val="4"/>
  </w:num>
  <w:num w:numId="9">
    <w:abstractNumId w:val="2"/>
  </w:num>
  <w:num w:numId="10">
    <w:abstractNumId w:val="0"/>
  </w:num>
  <w:num w:numId="11">
    <w:abstractNumId w:val="6"/>
  </w:num>
  <w:num w:numId="12">
    <w:abstractNumId w:val="5"/>
  </w:num>
  <w:num w:numId="13">
    <w:abstractNumId w:val="11"/>
  </w:num>
  <w:num w:numId="14">
    <w:abstractNumId w:val="21"/>
  </w:num>
  <w:num w:numId="15">
    <w:abstractNumId w:val="17"/>
  </w:num>
  <w:num w:numId="16">
    <w:abstractNumId w:val="18"/>
  </w:num>
  <w:num w:numId="17">
    <w:abstractNumId w:val="10"/>
  </w:num>
  <w:num w:numId="18">
    <w:abstractNumId w:val="7"/>
  </w:num>
  <w:num w:numId="19">
    <w:abstractNumId w:val="3"/>
  </w:num>
  <w:num w:numId="20">
    <w:abstractNumId w:val="16"/>
  </w:num>
  <w:num w:numId="21">
    <w:abstractNumId w:val="13"/>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E1MDc0MDAxNTQwNzZU0lEKTi0uzszPAykwNK8FAMNOodwtAAAA"/>
  </w:docVars>
  <w:rsids>
    <w:rsidRoot w:val="00436864"/>
    <w:rsid w:val="0000312D"/>
    <w:rsid w:val="00006528"/>
    <w:rsid w:val="000103DD"/>
    <w:rsid w:val="000135AF"/>
    <w:rsid w:val="00046E63"/>
    <w:rsid w:val="000551FB"/>
    <w:rsid w:val="00062BD8"/>
    <w:rsid w:val="000D0D10"/>
    <w:rsid w:val="000F7C96"/>
    <w:rsid w:val="0012263B"/>
    <w:rsid w:val="00127456"/>
    <w:rsid w:val="001274E4"/>
    <w:rsid w:val="00146546"/>
    <w:rsid w:val="001548D3"/>
    <w:rsid w:val="00190816"/>
    <w:rsid w:val="00191F4C"/>
    <w:rsid w:val="001A29CF"/>
    <w:rsid w:val="001A55D6"/>
    <w:rsid w:val="001B31D7"/>
    <w:rsid w:val="001B4BEF"/>
    <w:rsid w:val="001C6932"/>
    <w:rsid w:val="001D22DB"/>
    <w:rsid w:val="001D5D86"/>
    <w:rsid w:val="001F08FE"/>
    <w:rsid w:val="001F42C3"/>
    <w:rsid w:val="001F4AFB"/>
    <w:rsid w:val="00202F50"/>
    <w:rsid w:val="00205696"/>
    <w:rsid w:val="00207C4F"/>
    <w:rsid w:val="00213ACC"/>
    <w:rsid w:val="0029213B"/>
    <w:rsid w:val="0029473A"/>
    <w:rsid w:val="002B0CCF"/>
    <w:rsid w:val="002B3E60"/>
    <w:rsid w:val="002C079E"/>
    <w:rsid w:val="002D11CE"/>
    <w:rsid w:val="002D36EA"/>
    <w:rsid w:val="002F2524"/>
    <w:rsid w:val="002F44CD"/>
    <w:rsid w:val="00301FAF"/>
    <w:rsid w:val="00306A12"/>
    <w:rsid w:val="00315211"/>
    <w:rsid w:val="00334FCF"/>
    <w:rsid w:val="003462B8"/>
    <w:rsid w:val="00351414"/>
    <w:rsid w:val="003766F0"/>
    <w:rsid w:val="003B041C"/>
    <w:rsid w:val="003B0485"/>
    <w:rsid w:val="003B3DD1"/>
    <w:rsid w:val="003B6B83"/>
    <w:rsid w:val="003B6CF7"/>
    <w:rsid w:val="003C0A38"/>
    <w:rsid w:val="003C2FF2"/>
    <w:rsid w:val="003C61DA"/>
    <w:rsid w:val="003D0768"/>
    <w:rsid w:val="003D22F2"/>
    <w:rsid w:val="003E21A6"/>
    <w:rsid w:val="003E7F9B"/>
    <w:rsid w:val="00402C0C"/>
    <w:rsid w:val="00403385"/>
    <w:rsid w:val="004200BC"/>
    <w:rsid w:val="00420E0F"/>
    <w:rsid w:val="00435BB3"/>
    <w:rsid w:val="00436864"/>
    <w:rsid w:val="004439CD"/>
    <w:rsid w:val="00447EF6"/>
    <w:rsid w:val="00450EA8"/>
    <w:rsid w:val="004565D8"/>
    <w:rsid w:val="004767D0"/>
    <w:rsid w:val="00480E20"/>
    <w:rsid w:val="00490427"/>
    <w:rsid w:val="00494128"/>
    <w:rsid w:val="004A42CF"/>
    <w:rsid w:val="004B3042"/>
    <w:rsid w:val="004B7AAF"/>
    <w:rsid w:val="004D4CE6"/>
    <w:rsid w:val="0050536F"/>
    <w:rsid w:val="0052065D"/>
    <w:rsid w:val="00565835"/>
    <w:rsid w:val="00566D2B"/>
    <w:rsid w:val="005958EC"/>
    <w:rsid w:val="00596056"/>
    <w:rsid w:val="005968A2"/>
    <w:rsid w:val="005A2855"/>
    <w:rsid w:val="005C4D30"/>
    <w:rsid w:val="005E2083"/>
    <w:rsid w:val="005F23E8"/>
    <w:rsid w:val="00610B08"/>
    <w:rsid w:val="00611304"/>
    <w:rsid w:val="0061361D"/>
    <w:rsid w:val="00616182"/>
    <w:rsid w:val="00622BF2"/>
    <w:rsid w:val="00623713"/>
    <w:rsid w:val="006354E1"/>
    <w:rsid w:val="006403F5"/>
    <w:rsid w:val="00653B78"/>
    <w:rsid w:val="00660B99"/>
    <w:rsid w:val="00663F94"/>
    <w:rsid w:val="00673D3B"/>
    <w:rsid w:val="00691EB0"/>
    <w:rsid w:val="006A54C1"/>
    <w:rsid w:val="006B0645"/>
    <w:rsid w:val="006B0F67"/>
    <w:rsid w:val="006B58FA"/>
    <w:rsid w:val="006D3355"/>
    <w:rsid w:val="006E4D3A"/>
    <w:rsid w:val="006F1EFE"/>
    <w:rsid w:val="00723426"/>
    <w:rsid w:val="00747D73"/>
    <w:rsid w:val="0075048F"/>
    <w:rsid w:val="00762F97"/>
    <w:rsid w:val="0077044A"/>
    <w:rsid w:val="00796877"/>
    <w:rsid w:val="0079717F"/>
    <w:rsid w:val="007C7FE6"/>
    <w:rsid w:val="007D037A"/>
    <w:rsid w:val="007E2183"/>
    <w:rsid w:val="007E3CC3"/>
    <w:rsid w:val="007E57FB"/>
    <w:rsid w:val="008269F1"/>
    <w:rsid w:val="008275BC"/>
    <w:rsid w:val="00851C9A"/>
    <w:rsid w:val="00865F12"/>
    <w:rsid w:val="00874B94"/>
    <w:rsid w:val="00874BD6"/>
    <w:rsid w:val="00892EEE"/>
    <w:rsid w:val="00894E51"/>
    <w:rsid w:val="008A421F"/>
    <w:rsid w:val="008A6B82"/>
    <w:rsid w:val="008A72DF"/>
    <w:rsid w:val="008C34B4"/>
    <w:rsid w:val="008D2ED8"/>
    <w:rsid w:val="008E2210"/>
    <w:rsid w:val="008E2A16"/>
    <w:rsid w:val="008E3038"/>
    <w:rsid w:val="00900882"/>
    <w:rsid w:val="00900DAE"/>
    <w:rsid w:val="00901F8C"/>
    <w:rsid w:val="0090687B"/>
    <w:rsid w:val="00906C07"/>
    <w:rsid w:val="009215A2"/>
    <w:rsid w:val="00921C36"/>
    <w:rsid w:val="0092426F"/>
    <w:rsid w:val="0092615C"/>
    <w:rsid w:val="00931C37"/>
    <w:rsid w:val="009415E8"/>
    <w:rsid w:val="00943404"/>
    <w:rsid w:val="0095334D"/>
    <w:rsid w:val="00956D1C"/>
    <w:rsid w:val="0097760F"/>
    <w:rsid w:val="00981E39"/>
    <w:rsid w:val="00982D65"/>
    <w:rsid w:val="00994AAE"/>
    <w:rsid w:val="009B0168"/>
    <w:rsid w:val="009C16E6"/>
    <w:rsid w:val="009D0C67"/>
    <w:rsid w:val="009D72B0"/>
    <w:rsid w:val="009E0649"/>
    <w:rsid w:val="009E4FCB"/>
    <w:rsid w:val="00A02F9F"/>
    <w:rsid w:val="00A047E8"/>
    <w:rsid w:val="00A22A85"/>
    <w:rsid w:val="00A23A59"/>
    <w:rsid w:val="00A4571C"/>
    <w:rsid w:val="00A45E29"/>
    <w:rsid w:val="00A608C4"/>
    <w:rsid w:val="00A67FDD"/>
    <w:rsid w:val="00A73AFE"/>
    <w:rsid w:val="00A9139C"/>
    <w:rsid w:val="00AA1242"/>
    <w:rsid w:val="00AA2DD6"/>
    <w:rsid w:val="00AA54BC"/>
    <w:rsid w:val="00AB44B9"/>
    <w:rsid w:val="00AB4BCA"/>
    <w:rsid w:val="00AD0CB9"/>
    <w:rsid w:val="00AD19F6"/>
    <w:rsid w:val="00AE2416"/>
    <w:rsid w:val="00AF22DC"/>
    <w:rsid w:val="00AF2619"/>
    <w:rsid w:val="00B41BDB"/>
    <w:rsid w:val="00B541D2"/>
    <w:rsid w:val="00B64CAB"/>
    <w:rsid w:val="00B871DB"/>
    <w:rsid w:val="00B96789"/>
    <w:rsid w:val="00BA59B7"/>
    <w:rsid w:val="00BB0311"/>
    <w:rsid w:val="00BC3645"/>
    <w:rsid w:val="00BC3D78"/>
    <w:rsid w:val="00BC4BD3"/>
    <w:rsid w:val="00BC7EEB"/>
    <w:rsid w:val="00BD7C50"/>
    <w:rsid w:val="00BE1DBC"/>
    <w:rsid w:val="00C03F76"/>
    <w:rsid w:val="00C11651"/>
    <w:rsid w:val="00C12F37"/>
    <w:rsid w:val="00C22F72"/>
    <w:rsid w:val="00C61E4A"/>
    <w:rsid w:val="00C7706F"/>
    <w:rsid w:val="00C8727E"/>
    <w:rsid w:val="00C921E0"/>
    <w:rsid w:val="00C978B7"/>
    <w:rsid w:val="00CA33EA"/>
    <w:rsid w:val="00CA76DF"/>
    <w:rsid w:val="00CE2D0B"/>
    <w:rsid w:val="00D13850"/>
    <w:rsid w:val="00D227B3"/>
    <w:rsid w:val="00D233CC"/>
    <w:rsid w:val="00D31B16"/>
    <w:rsid w:val="00D3649E"/>
    <w:rsid w:val="00D77B45"/>
    <w:rsid w:val="00D863D0"/>
    <w:rsid w:val="00D90D96"/>
    <w:rsid w:val="00DA4FF9"/>
    <w:rsid w:val="00DA5292"/>
    <w:rsid w:val="00DA5593"/>
    <w:rsid w:val="00DA7609"/>
    <w:rsid w:val="00DD496E"/>
    <w:rsid w:val="00DF16E0"/>
    <w:rsid w:val="00E20255"/>
    <w:rsid w:val="00E2581A"/>
    <w:rsid w:val="00E4454E"/>
    <w:rsid w:val="00E4579F"/>
    <w:rsid w:val="00E7481C"/>
    <w:rsid w:val="00E84924"/>
    <w:rsid w:val="00EA1977"/>
    <w:rsid w:val="00EA7A81"/>
    <w:rsid w:val="00ED3D23"/>
    <w:rsid w:val="00ED7562"/>
    <w:rsid w:val="00F0461D"/>
    <w:rsid w:val="00F21FC9"/>
    <w:rsid w:val="00F421B7"/>
    <w:rsid w:val="00F8573E"/>
    <w:rsid w:val="00F85C77"/>
    <w:rsid w:val="00FA21DE"/>
    <w:rsid w:val="00FA7682"/>
    <w:rsid w:val="00FB4DC3"/>
    <w:rsid w:val="00FD0E56"/>
    <w:rsid w:val="00FD54AD"/>
    <w:rsid w:val="00FE4938"/>
    <w:rsid w:val="00FF0E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3B75FC"/>
  <w15:chartTrackingRefBased/>
  <w15:docId w15:val="{8111CF83-E622-405A-B228-CBC681858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0E0F"/>
  </w:style>
  <w:style w:type="paragraph" w:styleId="Heading2">
    <w:name w:val="heading 2"/>
    <w:basedOn w:val="Normal"/>
    <w:next w:val="Normal"/>
    <w:link w:val="Heading2Char"/>
    <w:semiHidden/>
    <w:unhideWhenUsed/>
    <w:qFormat/>
    <w:rsid w:val="00A047E8"/>
    <w:pPr>
      <w:keepNext/>
      <w:spacing w:before="240" w:after="60" w:line="240" w:lineRule="auto"/>
      <w:outlineLvl w:val="1"/>
    </w:pPr>
    <w:rPr>
      <w:rFonts w:ascii="Calibri Light" w:eastAsia="Times New Roman" w:hAnsi="Calibri Light" w:cs="Times New Roman"/>
      <w:b/>
      <w:bCs/>
      <w:i/>
      <w:iCs/>
      <w:sz w:val="28"/>
      <w:szCs w:val="28"/>
    </w:rPr>
  </w:style>
  <w:style w:type="paragraph" w:styleId="Heading4">
    <w:name w:val="heading 4"/>
    <w:basedOn w:val="Normal"/>
    <w:next w:val="Normal"/>
    <w:link w:val="Heading4Char"/>
    <w:semiHidden/>
    <w:unhideWhenUsed/>
    <w:qFormat/>
    <w:rsid w:val="00A047E8"/>
    <w:pPr>
      <w:keepNext/>
      <w:spacing w:before="240" w:after="60" w:line="240" w:lineRule="auto"/>
      <w:outlineLvl w:val="3"/>
    </w:pPr>
    <w:rPr>
      <w:rFonts w:ascii="Calibri" w:eastAsia="Times New Roman" w:hAnsi="Calibri"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autoRedefine/>
    <w:rsid w:val="00B64CAB"/>
    <w:pPr>
      <w:spacing w:after="0" w:line="240" w:lineRule="auto"/>
    </w:pPr>
    <w:rPr>
      <w:rFonts w:ascii="Times New Roman" w:eastAsia="Arial Unicode MS" w:hAnsi="Times New Roman" w:cs="Arial Unicode MS"/>
      <w:color w:val="666666"/>
      <w:u w:color="666666"/>
    </w:rPr>
  </w:style>
  <w:style w:type="paragraph" w:customStyle="1" w:styleId="HeaderFooter">
    <w:name w:val="Header &amp; Footer"/>
    <w:rsid w:val="00436864"/>
    <w:pPr>
      <w:tabs>
        <w:tab w:val="right" w:pos="9020"/>
      </w:tabs>
      <w:spacing w:after="0" w:line="240" w:lineRule="auto"/>
    </w:pPr>
    <w:rPr>
      <w:rFonts w:ascii="Helvetica Neue" w:eastAsia="Helvetica Neue" w:hAnsi="Helvetica Neue" w:cs="Helvetica Neue"/>
      <w:color w:val="000000"/>
      <w:sz w:val="24"/>
      <w:szCs w:val="24"/>
    </w:rPr>
  </w:style>
  <w:style w:type="paragraph" w:styleId="ListParagraph">
    <w:name w:val="List Paragraph"/>
    <w:basedOn w:val="Normal"/>
    <w:uiPriority w:val="34"/>
    <w:qFormat/>
    <w:rsid w:val="008E3038"/>
    <w:pPr>
      <w:ind w:left="720"/>
      <w:contextualSpacing/>
    </w:pPr>
  </w:style>
  <w:style w:type="table" w:styleId="TableGrid">
    <w:name w:val="Table Grid"/>
    <w:basedOn w:val="TableNormal"/>
    <w:uiPriority w:val="39"/>
    <w:rsid w:val="00C12F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269F1"/>
    <w:rPr>
      <w:color w:val="808080"/>
    </w:rPr>
  </w:style>
  <w:style w:type="table" w:customStyle="1" w:styleId="PlainTable21">
    <w:name w:val="Plain Table 21"/>
    <w:basedOn w:val="TableNormal"/>
    <w:uiPriority w:val="42"/>
    <w:rsid w:val="00E2581A"/>
    <w:pPr>
      <w:spacing w:after="0" w:line="240" w:lineRule="auto"/>
    </w:pPr>
    <w:rPr>
      <w:lang w:val="yo-NG"/>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CommentReference">
    <w:name w:val="annotation reference"/>
    <w:rsid w:val="003C61DA"/>
    <w:rPr>
      <w:sz w:val="16"/>
      <w:szCs w:val="16"/>
    </w:rPr>
  </w:style>
  <w:style w:type="paragraph" w:styleId="CommentText">
    <w:name w:val="annotation text"/>
    <w:basedOn w:val="Normal"/>
    <w:link w:val="CommentTextChar"/>
    <w:rsid w:val="003C61DA"/>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3C61DA"/>
    <w:rPr>
      <w:rFonts w:ascii="Times New Roman" w:eastAsia="Times New Roman" w:hAnsi="Times New Roman" w:cs="Times New Roman"/>
      <w:sz w:val="20"/>
      <w:szCs w:val="20"/>
    </w:rPr>
  </w:style>
  <w:style w:type="character" w:customStyle="1" w:styleId="Heading2Char">
    <w:name w:val="Heading 2 Char"/>
    <w:basedOn w:val="DefaultParagraphFont"/>
    <w:link w:val="Heading2"/>
    <w:semiHidden/>
    <w:rsid w:val="00A047E8"/>
    <w:rPr>
      <w:rFonts w:ascii="Calibri Light" w:eastAsia="Times New Roman" w:hAnsi="Calibri Light" w:cs="Times New Roman"/>
      <w:b/>
      <w:bCs/>
      <w:i/>
      <w:iCs/>
      <w:sz w:val="28"/>
      <w:szCs w:val="28"/>
    </w:rPr>
  </w:style>
  <w:style w:type="character" w:customStyle="1" w:styleId="Heading4Char">
    <w:name w:val="Heading 4 Char"/>
    <w:basedOn w:val="DefaultParagraphFont"/>
    <w:link w:val="Heading4"/>
    <w:semiHidden/>
    <w:rsid w:val="00A047E8"/>
    <w:rPr>
      <w:rFonts w:ascii="Calibri" w:eastAsia="Times New Roman" w:hAnsi="Calibri" w:cs="Times New Roman"/>
      <w:b/>
      <w:bCs/>
      <w:sz w:val="28"/>
      <w:szCs w:val="28"/>
    </w:rPr>
  </w:style>
  <w:style w:type="numbering" w:customStyle="1" w:styleId="NoList1">
    <w:name w:val="No List1"/>
    <w:next w:val="NoList"/>
    <w:semiHidden/>
    <w:rsid w:val="00A047E8"/>
  </w:style>
  <w:style w:type="character" w:styleId="Hyperlink">
    <w:name w:val="Hyperlink"/>
    <w:rsid w:val="00A047E8"/>
    <w:rPr>
      <w:u w:val="single"/>
    </w:rPr>
  </w:style>
  <w:style w:type="paragraph" w:customStyle="1" w:styleId="Footer1">
    <w:name w:val="Footer1"/>
    <w:rsid w:val="00A047E8"/>
    <w:pPr>
      <w:tabs>
        <w:tab w:val="center" w:pos="4680"/>
        <w:tab w:val="right" w:pos="9360"/>
      </w:tabs>
      <w:spacing w:after="0" w:line="240" w:lineRule="auto"/>
    </w:pPr>
    <w:rPr>
      <w:rFonts w:ascii="Arial" w:eastAsia="Arial Unicode MS" w:hAnsi="Arial" w:cs="Arial Unicode MS"/>
      <w:color w:val="000000"/>
      <w:u w:color="000000"/>
    </w:rPr>
  </w:style>
  <w:style w:type="character" w:customStyle="1" w:styleId="None">
    <w:name w:val="None"/>
    <w:rsid w:val="00A047E8"/>
  </w:style>
  <w:style w:type="character" w:customStyle="1" w:styleId="Hyperlink0">
    <w:name w:val="Hyperlink.0"/>
    <w:rsid w:val="00A047E8"/>
    <w:rPr>
      <w:rFonts w:ascii="Times New Roman" w:eastAsia="Times New Roman" w:hAnsi="Times New Roman" w:cs="Times New Roman"/>
      <w:outline w:val="0"/>
      <w:color w:val="000000"/>
      <w:u w:val="single" w:color="000000"/>
      <w:shd w:val="clear" w:color="auto" w:fill="FFFFFF"/>
    </w:rPr>
  </w:style>
  <w:style w:type="numbering" w:customStyle="1" w:styleId="ImportedStyle1">
    <w:name w:val="Imported Style 1"/>
    <w:autoRedefine/>
    <w:rsid w:val="00A047E8"/>
  </w:style>
  <w:style w:type="paragraph" w:styleId="CommentSubject">
    <w:name w:val="annotation subject"/>
    <w:basedOn w:val="CommentText"/>
    <w:next w:val="CommentText"/>
    <w:link w:val="CommentSubjectChar"/>
    <w:rsid w:val="00A047E8"/>
    <w:rPr>
      <w:b/>
      <w:bCs/>
    </w:rPr>
  </w:style>
  <w:style w:type="character" w:customStyle="1" w:styleId="CommentSubjectChar">
    <w:name w:val="Comment Subject Char"/>
    <w:basedOn w:val="CommentTextChar"/>
    <w:link w:val="CommentSubject"/>
    <w:rsid w:val="00A047E8"/>
    <w:rPr>
      <w:rFonts w:ascii="Times New Roman" w:eastAsia="Times New Roman" w:hAnsi="Times New Roman" w:cs="Times New Roman"/>
      <w:b/>
      <w:bCs/>
      <w:sz w:val="20"/>
      <w:szCs w:val="20"/>
    </w:rPr>
  </w:style>
  <w:style w:type="character" w:styleId="UnresolvedMention">
    <w:name w:val="Unresolved Mention"/>
    <w:uiPriority w:val="99"/>
    <w:semiHidden/>
    <w:unhideWhenUsed/>
    <w:rsid w:val="00A047E8"/>
    <w:rPr>
      <w:color w:val="605E5C"/>
      <w:shd w:val="clear" w:color="auto" w:fill="E1DFDD"/>
    </w:rPr>
  </w:style>
  <w:style w:type="paragraph" w:styleId="Header">
    <w:name w:val="header"/>
    <w:basedOn w:val="Normal"/>
    <w:link w:val="HeaderChar"/>
    <w:uiPriority w:val="99"/>
    <w:unhideWhenUsed/>
    <w:rsid w:val="00B64C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4CAB"/>
  </w:style>
  <w:style w:type="paragraph" w:styleId="Footer">
    <w:name w:val="footer"/>
    <w:basedOn w:val="Normal"/>
    <w:link w:val="FooterChar"/>
    <w:uiPriority w:val="99"/>
    <w:unhideWhenUsed/>
    <w:rsid w:val="00B64C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4CAB"/>
  </w:style>
  <w:style w:type="table" w:customStyle="1" w:styleId="PlainTable211">
    <w:name w:val="Plain Table 211"/>
    <w:basedOn w:val="TableNormal"/>
    <w:uiPriority w:val="42"/>
    <w:rsid w:val="003B0485"/>
    <w:pPr>
      <w:spacing w:after="0" w:line="240" w:lineRule="auto"/>
    </w:pPr>
    <w:rPr>
      <w:rFonts w:ascii="Calibri" w:eastAsia="Calibri" w:hAnsi="Calibri" w:cs="Times New Roman"/>
      <w:lang w:val="yo-NG"/>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eGrid1">
    <w:name w:val="Table Grid1"/>
    <w:basedOn w:val="TableNormal"/>
    <w:next w:val="TableGrid"/>
    <w:uiPriority w:val="39"/>
    <w:rsid w:val="003B048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F23E8"/>
    <w:pPr>
      <w:spacing w:after="0" w:line="240" w:lineRule="auto"/>
    </w:pPr>
  </w:style>
  <w:style w:type="table" w:customStyle="1" w:styleId="PlainTable2111">
    <w:name w:val="Plain Table 2111"/>
    <w:basedOn w:val="TableNormal"/>
    <w:uiPriority w:val="42"/>
    <w:rsid w:val="00DA7609"/>
    <w:pPr>
      <w:spacing w:after="0" w:line="240" w:lineRule="auto"/>
    </w:pPr>
    <w:rPr>
      <w:rFonts w:ascii="Calibri" w:eastAsia="Calibri" w:hAnsi="Calibri" w:cs="Times New Roman"/>
      <w:lang w:val="yo-NG"/>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80">
      <w:bodyDiv w:val="1"/>
      <w:marLeft w:val="0"/>
      <w:marRight w:val="0"/>
      <w:marTop w:val="0"/>
      <w:marBottom w:val="0"/>
      <w:divBdr>
        <w:top w:val="none" w:sz="0" w:space="0" w:color="auto"/>
        <w:left w:val="none" w:sz="0" w:space="0" w:color="auto"/>
        <w:bottom w:val="none" w:sz="0" w:space="0" w:color="auto"/>
        <w:right w:val="none" w:sz="0" w:space="0" w:color="auto"/>
      </w:divBdr>
    </w:div>
    <w:div w:id="37048514">
      <w:bodyDiv w:val="1"/>
      <w:marLeft w:val="0"/>
      <w:marRight w:val="0"/>
      <w:marTop w:val="0"/>
      <w:marBottom w:val="0"/>
      <w:divBdr>
        <w:top w:val="none" w:sz="0" w:space="0" w:color="auto"/>
        <w:left w:val="none" w:sz="0" w:space="0" w:color="auto"/>
        <w:bottom w:val="none" w:sz="0" w:space="0" w:color="auto"/>
        <w:right w:val="none" w:sz="0" w:space="0" w:color="auto"/>
      </w:divBdr>
    </w:div>
    <w:div w:id="53433674">
      <w:bodyDiv w:val="1"/>
      <w:marLeft w:val="0"/>
      <w:marRight w:val="0"/>
      <w:marTop w:val="0"/>
      <w:marBottom w:val="0"/>
      <w:divBdr>
        <w:top w:val="none" w:sz="0" w:space="0" w:color="auto"/>
        <w:left w:val="none" w:sz="0" w:space="0" w:color="auto"/>
        <w:bottom w:val="none" w:sz="0" w:space="0" w:color="auto"/>
        <w:right w:val="none" w:sz="0" w:space="0" w:color="auto"/>
      </w:divBdr>
    </w:div>
    <w:div w:id="119422388">
      <w:bodyDiv w:val="1"/>
      <w:marLeft w:val="0"/>
      <w:marRight w:val="0"/>
      <w:marTop w:val="0"/>
      <w:marBottom w:val="0"/>
      <w:divBdr>
        <w:top w:val="none" w:sz="0" w:space="0" w:color="auto"/>
        <w:left w:val="none" w:sz="0" w:space="0" w:color="auto"/>
        <w:bottom w:val="none" w:sz="0" w:space="0" w:color="auto"/>
        <w:right w:val="none" w:sz="0" w:space="0" w:color="auto"/>
      </w:divBdr>
    </w:div>
    <w:div w:id="120074000">
      <w:bodyDiv w:val="1"/>
      <w:marLeft w:val="0"/>
      <w:marRight w:val="0"/>
      <w:marTop w:val="0"/>
      <w:marBottom w:val="0"/>
      <w:divBdr>
        <w:top w:val="none" w:sz="0" w:space="0" w:color="auto"/>
        <w:left w:val="none" w:sz="0" w:space="0" w:color="auto"/>
        <w:bottom w:val="none" w:sz="0" w:space="0" w:color="auto"/>
        <w:right w:val="none" w:sz="0" w:space="0" w:color="auto"/>
      </w:divBdr>
    </w:div>
    <w:div w:id="143737547">
      <w:bodyDiv w:val="1"/>
      <w:marLeft w:val="0"/>
      <w:marRight w:val="0"/>
      <w:marTop w:val="0"/>
      <w:marBottom w:val="0"/>
      <w:divBdr>
        <w:top w:val="none" w:sz="0" w:space="0" w:color="auto"/>
        <w:left w:val="none" w:sz="0" w:space="0" w:color="auto"/>
        <w:bottom w:val="none" w:sz="0" w:space="0" w:color="auto"/>
        <w:right w:val="none" w:sz="0" w:space="0" w:color="auto"/>
      </w:divBdr>
      <w:divsChild>
        <w:div w:id="251471985">
          <w:marLeft w:val="0"/>
          <w:marRight w:val="0"/>
          <w:marTop w:val="0"/>
          <w:marBottom w:val="0"/>
          <w:divBdr>
            <w:top w:val="none" w:sz="0" w:space="0" w:color="auto"/>
            <w:left w:val="none" w:sz="0" w:space="0" w:color="auto"/>
            <w:bottom w:val="dotted" w:sz="6" w:space="0" w:color="333333"/>
            <w:right w:val="none" w:sz="0" w:space="0" w:color="auto"/>
          </w:divBdr>
        </w:div>
      </w:divsChild>
    </w:div>
    <w:div w:id="144667164">
      <w:bodyDiv w:val="1"/>
      <w:marLeft w:val="0"/>
      <w:marRight w:val="0"/>
      <w:marTop w:val="0"/>
      <w:marBottom w:val="0"/>
      <w:divBdr>
        <w:top w:val="none" w:sz="0" w:space="0" w:color="auto"/>
        <w:left w:val="none" w:sz="0" w:space="0" w:color="auto"/>
        <w:bottom w:val="none" w:sz="0" w:space="0" w:color="auto"/>
        <w:right w:val="none" w:sz="0" w:space="0" w:color="auto"/>
      </w:divBdr>
    </w:div>
    <w:div w:id="162669700">
      <w:bodyDiv w:val="1"/>
      <w:marLeft w:val="0"/>
      <w:marRight w:val="0"/>
      <w:marTop w:val="0"/>
      <w:marBottom w:val="0"/>
      <w:divBdr>
        <w:top w:val="none" w:sz="0" w:space="0" w:color="auto"/>
        <w:left w:val="none" w:sz="0" w:space="0" w:color="auto"/>
        <w:bottom w:val="none" w:sz="0" w:space="0" w:color="auto"/>
        <w:right w:val="none" w:sz="0" w:space="0" w:color="auto"/>
      </w:divBdr>
    </w:div>
    <w:div w:id="175390575">
      <w:bodyDiv w:val="1"/>
      <w:marLeft w:val="0"/>
      <w:marRight w:val="0"/>
      <w:marTop w:val="0"/>
      <w:marBottom w:val="0"/>
      <w:divBdr>
        <w:top w:val="none" w:sz="0" w:space="0" w:color="auto"/>
        <w:left w:val="none" w:sz="0" w:space="0" w:color="auto"/>
        <w:bottom w:val="none" w:sz="0" w:space="0" w:color="auto"/>
        <w:right w:val="none" w:sz="0" w:space="0" w:color="auto"/>
      </w:divBdr>
    </w:div>
    <w:div w:id="228536307">
      <w:bodyDiv w:val="1"/>
      <w:marLeft w:val="0"/>
      <w:marRight w:val="0"/>
      <w:marTop w:val="0"/>
      <w:marBottom w:val="0"/>
      <w:divBdr>
        <w:top w:val="none" w:sz="0" w:space="0" w:color="auto"/>
        <w:left w:val="none" w:sz="0" w:space="0" w:color="auto"/>
        <w:bottom w:val="none" w:sz="0" w:space="0" w:color="auto"/>
        <w:right w:val="none" w:sz="0" w:space="0" w:color="auto"/>
      </w:divBdr>
    </w:div>
    <w:div w:id="228806728">
      <w:bodyDiv w:val="1"/>
      <w:marLeft w:val="0"/>
      <w:marRight w:val="0"/>
      <w:marTop w:val="0"/>
      <w:marBottom w:val="0"/>
      <w:divBdr>
        <w:top w:val="none" w:sz="0" w:space="0" w:color="auto"/>
        <w:left w:val="none" w:sz="0" w:space="0" w:color="auto"/>
        <w:bottom w:val="none" w:sz="0" w:space="0" w:color="auto"/>
        <w:right w:val="none" w:sz="0" w:space="0" w:color="auto"/>
      </w:divBdr>
    </w:div>
    <w:div w:id="229734351">
      <w:bodyDiv w:val="1"/>
      <w:marLeft w:val="0"/>
      <w:marRight w:val="0"/>
      <w:marTop w:val="0"/>
      <w:marBottom w:val="0"/>
      <w:divBdr>
        <w:top w:val="none" w:sz="0" w:space="0" w:color="auto"/>
        <w:left w:val="none" w:sz="0" w:space="0" w:color="auto"/>
        <w:bottom w:val="none" w:sz="0" w:space="0" w:color="auto"/>
        <w:right w:val="none" w:sz="0" w:space="0" w:color="auto"/>
      </w:divBdr>
    </w:div>
    <w:div w:id="461534201">
      <w:bodyDiv w:val="1"/>
      <w:marLeft w:val="0"/>
      <w:marRight w:val="0"/>
      <w:marTop w:val="0"/>
      <w:marBottom w:val="0"/>
      <w:divBdr>
        <w:top w:val="none" w:sz="0" w:space="0" w:color="auto"/>
        <w:left w:val="none" w:sz="0" w:space="0" w:color="auto"/>
        <w:bottom w:val="none" w:sz="0" w:space="0" w:color="auto"/>
        <w:right w:val="none" w:sz="0" w:space="0" w:color="auto"/>
      </w:divBdr>
      <w:divsChild>
        <w:div w:id="1691563686">
          <w:marLeft w:val="0"/>
          <w:marRight w:val="0"/>
          <w:marTop w:val="0"/>
          <w:marBottom w:val="0"/>
          <w:divBdr>
            <w:top w:val="none" w:sz="0" w:space="0" w:color="auto"/>
            <w:left w:val="none" w:sz="0" w:space="0" w:color="auto"/>
            <w:bottom w:val="none" w:sz="0" w:space="0" w:color="auto"/>
            <w:right w:val="none" w:sz="0" w:space="0" w:color="auto"/>
          </w:divBdr>
        </w:div>
      </w:divsChild>
    </w:div>
    <w:div w:id="470633853">
      <w:bodyDiv w:val="1"/>
      <w:marLeft w:val="0"/>
      <w:marRight w:val="0"/>
      <w:marTop w:val="0"/>
      <w:marBottom w:val="0"/>
      <w:divBdr>
        <w:top w:val="none" w:sz="0" w:space="0" w:color="auto"/>
        <w:left w:val="none" w:sz="0" w:space="0" w:color="auto"/>
        <w:bottom w:val="none" w:sz="0" w:space="0" w:color="auto"/>
        <w:right w:val="none" w:sz="0" w:space="0" w:color="auto"/>
      </w:divBdr>
    </w:div>
    <w:div w:id="487206293">
      <w:bodyDiv w:val="1"/>
      <w:marLeft w:val="0"/>
      <w:marRight w:val="0"/>
      <w:marTop w:val="0"/>
      <w:marBottom w:val="0"/>
      <w:divBdr>
        <w:top w:val="none" w:sz="0" w:space="0" w:color="auto"/>
        <w:left w:val="none" w:sz="0" w:space="0" w:color="auto"/>
        <w:bottom w:val="none" w:sz="0" w:space="0" w:color="auto"/>
        <w:right w:val="none" w:sz="0" w:space="0" w:color="auto"/>
      </w:divBdr>
    </w:div>
    <w:div w:id="514030137">
      <w:bodyDiv w:val="1"/>
      <w:marLeft w:val="0"/>
      <w:marRight w:val="0"/>
      <w:marTop w:val="0"/>
      <w:marBottom w:val="0"/>
      <w:divBdr>
        <w:top w:val="none" w:sz="0" w:space="0" w:color="auto"/>
        <w:left w:val="none" w:sz="0" w:space="0" w:color="auto"/>
        <w:bottom w:val="none" w:sz="0" w:space="0" w:color="auto"/>
        <w:right w:val="none" w:sz="0" w:space="0" w:color="auto"/>
      </w:divBdr>
      <w:divsChild>
        <w:div w:id="1265964124">
          <w:marLeft w:val="0"/>
          <w:marRight w:val="0"/>
          <w:marTop w:val="0"/>
          <w:marBottom w:val="0"/>
          <w:divBdr>
            <w:top w:val="none" w:sz="0" w:space="0" w:color="auto"/>
            <w:left w:val="none" w:sz="0" w:space="0" w:color="auto"/>
            <w:bottom w:val="dotted" w:sz="6" w:space="0" w:color="333333"/>
            <w:right w:val="none" w:sz="0" w:space="0" w:color="auto"/>
          </w:divBdr>
        </w:div>
        <w:div w:id="280036415">
          <w:marLeft w:val="0"/>
          <w:marRight w:val="0"/>
          <w:marTop w:val="0"/>
          <w:marBottom w:val="0"/>
          <w:divBdr>
            <w:top w:val="none" w:sz="0" w:space="0" w:color="auto"/>
            <w:left w:val="none" w:sz="0" w:space="0" w:color="auto"/>
            <w:bottom w:val="dotted" w:sz="6" w:space="0" w:color="333333"/>
            <w:right w:val="none" w:sz="0" w:space="0" w:color="auto"/>
          </w:divBdr>
        </w:div>
        <w:div w:id="1822850556">
          <w:marLeft w:val="0"/>
          <w:marRight w:val="0"/>
          <w:marTop w:val="0"/>
          <w:marBottom w:val="0"/>
          <w:divBdr>
            <w:top w:val="none" w:sz="0" w:space="0" w:color="auto"/>
            <w:left w:val="none" w:sz="0" w:space="0" w:color="auto"/>
            <w:bottom w:val="dotted" w:sz="6" w:space="0" w:color="333333"/>
            <w:right w:val="none" w:sz="0" w:space="0" w:color="auto"/>
          </w:divBdr>
        </w:div>
        <w:div w:id="1217349622">
          <w:marLeft w:val="0"/>
          <w:marRight w:val="0"/>
          <w:marTop w:val="0"/>
          <w:marBottom w:val="0"/>
          <w:divBdr>
            <w:top w:val="none" w:sz="0" w:space="0" w:color="auto"/>
            <w:left w:val="none" w:sz="0" w:space="0" w:color="auto"/>
            <w:bottom w:val="dotted" w:sz="6" w:space="0" w:color="333333"/>
            <w:right w:val="none" w:sz="0" w:space="0" w:color="auto"/>
          </w:divBdr>
        </w:div>
        <w:div w:id="1282423666">
          <w:marLeft w:val="0"/>
          <w:marRight w:val="0"/>
          <w:marTop w:val="0"/>
          <w:marBottom w:val="0"/>
          <w:divBdr>
            <w:top w:val="none" w:sz="0" w:space="0" w:color="auto"/>
            <w:left w:val="none" w:sz="0" w:space="0" w:color="auto"/>
            <w:bottom w:val="dotted" w:sz="6" w:space="0" w:color="333333"/>
            <w:right w:val="none" w:sz="0" w:space="0" w:color="auto"/>
          </w:divBdr>
        </w:div>
      </w:divsChild>
    </w:div>
    <w:div w:id="548492170">
      <w:bodyDiv w:val="1"/>
      <w:marLeft w:val="0"/>
      <w:marRight w:val="0"/>
      <w:marTop w:val="0"/>
      <w:marBottom w:val="0"/>
      <w:divBdr>
        <w:top w:val="none" w:sz="0" w:space="0" w:color="auto"/>
        <w:left w:val="none" w:sz="0" w:space="0" w:color="auto"/>
        <w:bottom w:val="none" w:sz="0" w:space="0" w:color="auto"/>
        <w:right w:val="none" w:sz="0" w:space="0" w:color="auto"/>
      </w:divBdr>
    </w:div>
    <w:div w:id="581526370">
      <w:bodyDiv w:val="1"/>
      <w:marLeft w:val="0"/>
      <w:marRight w:val="0"/>
      <w:marTop w:val="0"/>
      <w:marBottom w:val="0"/>
      <w:divBdr>
        <w:top w:val="none" w:sz="0" w:space="0" w:color="auto"/>
        <w:left w:val="none" w:sz="0" w:space="0" w:color="auto"/>
        <w:bottom w:val="none" w:sz="0" w:space="0" w:color="auto"/>
        <w:right w:val="none" w:sz="0" w:space="0" w:color="auto"/>
      </w:divBdr>
    </w:div>
    <w:div w:id="648242767">
      <w:bodyDiv w:val="1"/>
      <w:marLeft w:val="0"/>
      <w:marRight w:val="0"/>
      <w:marTop w:val="0"/>
      <w:marBottom w:val="0"/>
      <w:divBdr>
        <w:top w:val="none" w:sz="0" w:space="0" w:color="auto"/>
        <w:left w:val="none" w:sz="0" w:space="0" w:color="auto"/>
        <w:bottom w:val="none" w:sz="0" w:space="0" w:color="auto"/>
        <w:right w:val="none" w:sz="0" w:space="0" w:color="auto"/>
      </w:divBdr>
    </w:div>
    <w:div w:id="661204386">
      <w:bodyDiv w:val="1"/>
      <w:marLeft w:val="0"/>
      <w:marRight w:val="0"/>
      <w:marTop w:val="0"/>
      <w:marBottom w:val="0"/>
      <w:divBdr>
        <w:top w:val="none" w:sz="0" w:space="0" w:color="auto"/>
        <w:left w:val="none" w:sz="0" w:space="0" w:color="auto"/>
        <w:bottom w:val="none" w:sz="0" w:space="0" w:color="auto"/>
        <w:right w:val="none" w:sz="0" w:space="0" w:color="auto"/>
      </w:divBdr>
    </w:div>
    <w:div w:id="681973543">
      <w:bodyDiv w:val="1"/>
      <w:marLeft w:val="0"/>
      <w:marRight w:val="0"/>
      <w:marTop w:val="0"/>
      <w:marBottom w:val="0"/>
      <w:divBdr>
        <w:top w:val="none" w:sz="0" w:space="0" w:color="auto"/>
        <w:left w:val="none" w:sz="0" w:space="0" w:color="auto"/>
        <w:bottom w:val="none" w:sz="0" w:space="0" w:color="auto"/>
        <w:right w:val="none" w:sz="0" w:space="0" w:color="auto"/>
      </w:divBdr>
    </w:div>
    <w:div w:id="686516774">
      <w:bodyDiv w:val="1"/>
      <w:marLeft w:val="0"/>
      <w:marRight w:val="0"/>
      <w:marTop w:val="0"/>
      <w:marBottom w:val="0"/>
      <w:divBdr>
        <w:top w:val="none" w:sz="0" w:space="0" w:color="auto"/>
        <w:left w:val="none" w:sz="0" w:space="0" w:color="auto"/>
        <w:bottom w:val="none" w:sz="0" w:space="0" w:color="auto"/>
        <w:right w:val="none" w:sz="0" w:space="0" w:color="auto"/>
      </w:divBdr>
    </w:div>
    <w:div w:id="695278009">
      <w:bodyDiv w:val="1"/>
      <w:marLeft w:val="0"/>
      <w:marRight w:val="0"/>
      <w:marTop w:val="0"/>
      <w:marBottom w:val="0"/>
      <w:divBdr>
        <w:top w:val="none" w:sz="0" w:space="0" w:color="auto"/>
        <w:left w:val="none" w:sz="0" w:space="0" w:color="auto"/>
        <w:bottom w:val="none" w:sz="0" w:space="0" w:color="auto"/>
        <w:right w:val="none" w:sz="0" w:space="0" w:color="auto"/>
      </w:divBdr>
    </w:div>
    <w:div w:id="703748763">
      <w:bodyDiv w:val="1"/>
      <w:marLeft w:val="0"/>
      <w:marRight w:val="0"/>
      <w:marTop w:val="0"/>
      <w:marBottom w:val="0"/>
      <w:divBdr>
        <w:top w:val="none" w:sz="0" w:space="0" w:color="auto"/>
        <w:left w:val="none" w:sz="0" w:space="0" w:color="auto"/>
        <w:bottom w:val="none" w:sz="0" w:space="0" w:color="auto"/>
        <w:right w:val="none" w:sz="0" w:space="0" w:color="auto"/>
      </w:divBdr>
    </w:div>
    <w:div w:id="703947799">
      <w:bodyDiv w:val="1"/>
      <w:marLeft w:val="0"/>
      <w:marRight w:val="0"/>
      <w:marTop w:val="0"/>
      <w:marBottom w:val="0"/>
      <w:divBdr>
        <w:top w:val="none" w:sz="0" w:space="0" w:color="auto"/>
        <w:left w:val="none" w:sz="0" w:space="0" w:color="auto"/>
        <w:bottom w:val="none" w:sz="0" w:space="0" w:color="auto"/>
        <w:right w:val="none" w:sz="0" w:space="0" w:color="auto"/>
      </w:divBdr>
    </w:div>
    <w:div w:id="708602055">
      <w:bodyDiv w:val="1"/>
      <w:marLeft w:val="0"/>
      <w:marRight w:val="0"/>
      <w:marTop w:val="0"/>
      <w:marBottom w:val="0"/>
      <w:divBdr>
        <w:top w:val="none" w:sz="0" w:space="0" w:color="auto"/>
        <w:left w:val="none" w:sz="0" w:space="0" w:color="auto"/>
        <w:bottom w:val="none" w:sz="0" w:space="0" w:color="auto"/>
        <w:right w:val="none" w:sz="0" w:space="0" w:color="auto"/>
      </w:divBdr>
    </w:div>
    <w:div w:id="713381921">
      <w:bodyDiv w:val="1"/>
      <w:marLeft w:val="0"/>
      <w:marRight w:val="0"/>
      <w:marTop w:val="0"/>
      <w:marBottom w:val="0"/>
      <w:divBdr>
        <w:top w:val="none" w:sz="0" w:space="0" w:color="auto"/>
        <w:left w:val="none" w:sz="0" w:space="0" w:color="auto"/>
        <w:bottom w:val="none" w:sz="0" w:space="0" w:color="auto"/>
        <w:right w:val="none" w:sz="0" w:space="0" w:color="auto"/>
      </w:divBdr>
    </w:div>
    <w:div w:id="739715521">
      <w:bodyDiv w:val="1"/>
      <w:marLeft w:val="0"/>
      <w:marRight w:val="0"/>
      <w:marTop w:val="0"/>
      <w:marBottom w:val="0"/>
      <w:divBdr>
        <w:top w:val="none" w:sz="0" w:space="0" w:color="auto"/>
        <w:left w:val="none" w:sz="0" w:space="0" w:color="auto"/>
        <w:bottom w:val="none" w:sz="0" w:space="0" w:color="auto"/>
        <w:right w:val="none" w:sz="0" w:space="0" w:color="auto"/>
      </w:divBdr>
    </w:div>
    <w:div w:id="775098260">
      <w:marLeft w:val="0"/>
      <w:marRight w:val="0"/>
      <w:marTop w:val="0"/>
      <w:marBottom w:val="0"/>
      <w:divBdr>
        <w:top w:val="none" w:sz="0" w:space="0" w:color="auto"/>
        <w:left w:val="none" w:sz="0" w:space="0" w:color="auto"/>
        <w:bottom w:val="none" w:sz="0" w:space="0" w:color="auto"/>
        <w:right w:val="none" w:sz="0" w:space="0" w:color="auto"/>
      </w:divBdr>
    </w:div>
    <w:div w:id="781844775">
      <w:marLeft w:val="0"/>
      <w:marRight w:val="0"/>
      <w:marTop w:val="0"/>
      <w:marBottom w:val="0"/>
      <w:divBdr>
        <w:top w:val="none" w:sz="0" w:space="0" w:color="auto"/>
        <w:left w:val="none" w:sz="0" w:space="0" w:color="auto"/>
        <w:bottom w:val="none" w:sz="0" w:space="0" w:color="auto"/>
        <w:right w:val="none" w:sz="0" w:space="0" w:color="auto"/>
      </w:divBdr>
      <w:divsChild>
        <w:div w:id="571156087">
          <w:marLeft w:val="0"/>
          <w:marRight w:val="0"/>
          <w:marTop w:val="0"/>
          <w:marBottom w:val="0"/>
          <w:divBdr>
            <w:top w:val="none" w:sz="0" w:space="0" w:color="auto"/>
            <w:left w:val="none" w:sz="0" w:space="0" w:color="auto"/>
            <w:bottom w:val="none" w:sz="0" w:space="0" w:color="auto"/>
            <w:right w:val="none" w:sz="0" w:space="0" w:color="auto"/>
          </w:divBdr>
        </w:div>
      </w:divsChild>
    </w:div>
    <w:div w:id="833380888">
      <w:bodyDiv w:val="1"/>
      <w:marLeft w:val="0"/>
      <w:marRight w:val="0"/>
      <w:marTop w:val="0"/>
      <w:marBottom w:val="0"/>
      <w:divBdr>
        <w:top w:val="none" w:sz="0" w:space="0" w:color="auto"/>
        <w:left w:val="none" w:sz="0" w:space="0" w:color="auto"/>
        <w:bottom w:val="none" w:sz="0" w:space="0" w:color="auto"/>
        <w:right w:val="none" w:sz="0" w:space="0" w:color="auto"/>
      </w:divBdr>
    </w:div>
    <w:div w:id="840584697">
      <w:bodyDiv w:val="1"/>
      <w:marLeft w:val="0"/>
      <w:marRight w:val="0"/>
      <w:marTop w:val="0"/>
      <w:marBottom w:val="0"/>
      <w:divBdr>
        <w:top w:val="none" w:sz="0" w:space="0" w:color="auto"/>
        <w:left w:val="none" w:sz="0" w:space="0" w:color="auto"/>
        <w:bottom w:val="none" w:sz="0" w:space="0" w:color="auto"/>
        <w:right w:val="none" w:sz="0" w:space="0" w:color="auto"/>
      </w:divBdr>
    </w:div>
    <w:div w:id="872692019">
      <w:bodyDiv w:val="1"/>
      <w:marLeft w:val="0"/>
      <w:marRight w:val="0"/>
      <w:marTop w:val="0"/>
      <w:marBottom w:val="0"/>
      <w:divBdr>
        <w:top w:val="none" w:sz="0" w:space="0" w:color="auto"/>
        <w:left w:val="none" w:sz="0" w:space="0" w:color="auto"/>
        <w:bottom w:val="none" w:sz="0" w:space="0" w:color="auto"/>
        <w:right w:val="none" w:sz="0" w:space="0" w:color="auto"/>
      </w:divBdr>
    </w:div>
    <w:div w:id="949311783">
      <w:bodyDiv w:val="1"/>
      <w:marLeft w:val="0"/>
      <w:marRight w:val="0"/>
      <w:marTop w:val="0"/>
      <w:marBottom w:val="0"/>
      <w:divBdr>
        <w:top w:val="none" w:sz="0" w:space="0" w:color="auto"/>
        <w:left w:val="none" w:sz="0" w:space="0" w:color="auto"/>
        <w:bottom w:val="none" w:sz="0" w:space="0" w:color="auto"/>
        <w:right w:val="none" w:sz="0" w:space="0" w:color="auto"/>
      </w:divBdr>
    </w:div>
    <w:div w:id="970600834">
      <w:bodyDiv w:val="1"/>
      <w:marLeft w:val="0"/>
      <w:marRight w:val="0"/>
      <w:marTop w:val="0"/>
      <w:marBottom w:val="0"/>
      <w:divBdr>
        <w:top w:val="none" w:sz="0" w:space="0" w:color="auto"/>
        <w:left w:val="none" w:sz="0" w:space="0" w:color="auto"/>
        <w:bottom w:val="none" w:sz="0" w:space="0" w:color="auto"/>
        <w:right w:val="none" w:sz="0" w:space="0" w:color="auto"/>
      </w:divBdr>
    </w:div>
    <w:div w:id="992877547">
      <w:bodyDiv w:val="1"/>
      <w:marLeft w:val="0"/>
      <w:marRight w:val="0"/>
      <w:marTop w:val="0"/>
      <w:marBottom w:val="0"/>
      <w:divBdr>
        <w:top w:val="none" w:sz="0" w:space="0" w:color="auto"/>
        <w:left w:val="none" w:sz="0" w:space="0" w:color="auto"/>
        <w:bottom w:val="none" w:sz="0" w:space="0" w:color="auto"/>
        <w:right w:val="none" w:sz="0" w:space="0" w:color="auto"/>
      </w:divBdr>
    </w:div>
    <w:div w:id="1042486601">
      <w:marLeft w:val="0"/>
      <w:marRight w:val="0"/>
      <w:marTop w:val="0"/>
      <w:marBottom w:val="0"/>
      <w:divBdr>
        <w:top w:val="none" w:sz="0" w:space="0" w:color="auto"/>
        <w:left w:val="none" w:sz="0" w:space="0" w:color="auto"/>
        <w:bottom w:val="none" w:sz="0" w:space="0" w:color="auto"/>
        <w:right w:val="none" w:sz="0" w:space="0" w:color="auto"/>
      </w:divBdr>
    </w:div>
    <w:div w:id="1049498940">
      <w:bodyDiv w:val="1"/>
      <w:marLeft w:val="0"/>
      <w:marRight w:val="0"/>
      <w:marTop w:val="0"/>
      <w:marBottom w:val="0"/>
      <w:divBdr>
        <w:top w:val="none" w:sz="0" w:space="0" w:color="auto"/>
        <w:left w:val="none" w:sz="0" w:space="0" w:color="auto"/>
        <w:bottom w:val="none" w:sz="0" w:space="0" w:color="auto"/>
        <w:right w:val="none" w:sz="0" w:space="0" w:color="auto"/>
      </w:divBdr>
    </w:div>
    <w:div w:id="1098939310">
      <w:marLeft w:val="0"/>
      <w:marRight w:val="0"/>
      <w:marTop w:val="0"/>
      <w:marBottom w:val="0"/>
      <w:divBdr>
        <w:top w:val="none" w:sz="0" w:space="0" w:color="auto"/>
        <w:left w:val="none" w:sz="0" w:space="0" w:color="auto"/>
        <w:bottom w:val="none" w:sz="0" w:space="0" w:color="auto"/>
        <w:right w:val="none" w:sz="0" w:space="0" w:color="auto"/>
      </w:divBdr>
    </w:div>
    <w:div w:id="1127241855">
      <w:bodyDiv w:val="1"/>
      <w:marLeft w:val="0"/>
      <w:marRight w:val="0"/>
      <w:marTop w:val="0"/>
      <w:marBottom w:val="0"/>
      <w:divBdr>
        <w:top w:val="none" w:sz="0" w:space="0" w:color="auto"/>
        <w:left w:val="none" w:sz="0" w:space="0" w:color="auto"/>
        <w:bottom w:val="none" w:sz="0" w:space="0" w:color="auto"/>
        <w:right w:val="none" w:sz="0" w:space="0" w:color="auto"/>
      </w:divBdr>
    </w:div>
    <w:div w:id="1144349352">
      <w:bodyDiv w:val="1"/>
      <w:marLeft w:val="0"/>
      <w:marRight w:val="0"/>
      <w:marTop w:val="0"/>
      <w:marBottom w:val="0"/>
      <w:divBdr>
        <w:top w:val="none" w:sz="0" w:space="0" w:color="auto"/>
        <w:left w:val="none" w:sz="0" w:space="0" w:color="auto"/>
        <w:bottom w:val="none" w:sz="0" w:space="0" w:color="auto"/>
        <w:right w:val="none" w:sz="0" w:space="0" w:color="auto"/>
      </w:divBdr>
    </w:div>
    <w:div w:id="1161889555">
      <w:bodyDiv w:val="1"/>
      <w:marLeft w:val="0"/>
      <w:marRight w:val="0"/>
      <w:marTop w:val="0"/>
      <w:marBottom w:val="0"/>
      <w:divBdr>
        <w:top w:val="none" w:sz="0" w:space="0" w:color="auto"/>
        <w:left w:val="none" w:sz="0" w:space="0" w:color="auto"/>
        <w:bottom w:val="none" w:sz="0" w:space="0" w:color="auto"/>
        <w:right w:val="none" w:sz="0" w:space="0" w:color="auto"/>
      </w:divBdr>
    </w:div>
    <w:div w:id="1162428269">
      <w:bodyDiv w:val="1"/>
      <w:marLeft w:val="0"/>
      <w:marRight w:val="0"/>
      <w:marTop w:val="0"/>
      <w:marBottom w:val="0"/>
      <w:divBdr>
        <w:top w:val="none" w:sz="0" w:space="0" w:color="auto"/>
        <w:left w:val="none" w:sz="0" w:space="0" w:color="auto"/>
        <w:bottom w:val="none" w:sz="0" w:space="0" w:color="auto"/>
        <w:right w:val="none" w:sz="0" w:space="0" w:color="auto"/>
      </w:divBdr>
    </w:div>
    <w:div w:id="1167553384">
      <w:bodyDiv w:val="1"/>
      <w:marLeft w:val="0"/>
      <w:marRight w:val="0"/>
      <w:marTop w:val="0"/>
      <w:marBottom w:val="0"/>
      <w:divBdr>
        <w:top w:val="none" w:sz="0" w:space="0" w:color="auto"/>
        <w:left w:val="none" w:sz="0" w:space="0" w:color="auto"/>
        <w:bottom w:val="none" w:sz="0" w:space="0" w:color="auto"/>
        <w:right w:val="none" w:sz="0" w:space="0" w:color="auto"/>
      </w:divBdr>
    </w:div>
    <w:div w:id="1255089538">
      <w:bodyDiv w:val="1"/>
      <w:marLeft w:val="0"/>
      <w:marRight w:val="0"/>
      <w:marTop w:val="0"/>
      <w:marBottom w:val="0"/>
      <w:divBdr>
        <w:top w:val="none" w:sz="0" w:space="0" w:color="auto"/>
        <w:left w:val="none" w:sz="0" w:space="0" w:color="auto"/>
        <w:bottom w:val="none" w:sz="0" w:space="0" w:color="auto"/>
        <w:right w:val="none" w:sz="0" w:space="0" w:color="auto"/>
      </w:divBdr>
    </w:div>
    <w:div w:id="1277369833">
      <w:bodyDiv w:val="1"/>
      <w:marLeft w:val="0"/>
      <w:marRight w:val="0"/>
      <w:marTop w:val="0"/>
      <w:marBottom w:val="0"/>
      <w:divBdr>
        <w:top w:val="none" w:sz="0" w:space="0" w:color="auto"/>
        <w:left w:val="none" w:sz="0" w:space="0" w:color="auto"/>
        <w:bottom w:val="none" w:sz="0" w:space="0" w:color="auto"/>
        <w:right w:val="none" w:sz="0" w:space="0" w:color="auto"/>
      </w:divBdr>
    </w:div>
    <w:div w:id="1299143404">
      <w:bodyDiv w:val="1"/>
      <w:marLeft w:val="0"/>
      <w:marRight w:val="0"/>
      <w:marTop w:val="0"/>
      <w:marBottom w:val="0"/>
      <w:divBdr>
        <w:top w:val="none" w:sz="0" w:space="0" w:color="auto"/>
        <w:left w:val="none" w:sz="0" w:space="0" w:color="auto"/>
        <w:bottom w:val="none" w:sz="0" w:space="0" w:color="auto"/>
        <w:right w:val="none" w:sz="0" w:space="0" w:color="auto"/>
      </w:divBdr>
    </w:div>
    <w:div w:id="1346441621">
      <w:bodyDiv w:val="1"/>
      <w:marLeft w:val="0"/>
      <w:marRight w:val="0"/>
      <w:marTop w:val="0"/>
      <w:marBottom w:val="0"/>
      <w:divBdr>
        <w:top w:val="none" w:sz="0" w:space="0" w:color="auto"/>
        <w:left w:val="none" w:sz="0" w:space="0" w:color="auto"/>
        <w:bottom w:val="none" w:sz="0" w:space="0" w:color="auto"/>
        <w:right w:val="none" w:sz="0" w:space="0" w:color="auto"/>
      </w:divBdr>
    </w:div>
    <w:div w:id="1366559220">
      <w:bodyDiv w:val="1"/>
      <w:marLeft w:val="0"/>
      <w:marRight w:val="0"/>
      <w:marTop w:val="0"/>
      <w:marBottom w:val="0"/>
      <w:divBdr>
        <w:top w:val="none" w:sz="0" w:space="0" w:color="auto"/>
        <w:left w:val="none" w:sz="0" w:space="0" w:color="auto"/>
        <w:bottom w:val="none" w:sz="0" w:space="0" w:color="auto"/>
        <w:right w:val="none" w:sz="0" w:space="0" w:color="auto"/>
      </w:divBdr>
    </w:div>
    <w:div w:id="1366826199">
      <w:bodyDiv w:val="1"/>
      <w:marLeft w:val="0"/>
      <w:marRight w:val="0"/>
      <w:marTop w:val="0"/>
      <w:marBottom w:val="0"/>
      <w:divBdr>
        <w:top w:val="none" w:sz="0" w:space="0" w:color="auto"/>
        <w:left w:val="none" w:sz="0" w:space="0" w:color="auto"/>
        <w:bottom w:val="none" w:sz="0" w:space="0" w:color="auto"/>
        <w:right w:val="none" w:sz="0" w:space="0" w:color="auto"/>
      </w:divBdr>
      <w:divsChild>
        <w:div w:id="175073636">
          <w:marLeft w:val="0"/>
          <w:marRight w:val="0"/>
          <w:marTop w:val="0"/>
          <w:marBottom w:val="0"/>
          <w:divBdr>
            <w:top w:val="none" w:sz="0" w:space="0" w:color="auto"/>
            <w:left w:val="none" w:sz="0" w:space="0" w:color="auto"/>
            <w:bottom w:val="none" w:sz="0" w:space="0" w:color="auto"/>
            <w:right w:val="none" w:sz="0" w:space="0" w:color="auto"/>
          </w:divBdr>
          <w:divsChild>
            <w:div w:id="1559322170">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1384327723">
      <w:bodyDiv w:val="1"/>
      <w:marLeft w:val="0"/>
      <w:marRight w:val="0"/>
      <w:marTop w:val="0"/>
      <w:marBottom w:val="0"/>
      <w:divBdr>
        <w:top w:val="none" w:sz="0" w:space="0" w:color="auto"/>
        <w:left w:val="none" w:sz="0" w:space="0" w:color="auto"/>
        <w:bottom w:val="none" w:sz="0" w:space="0" w:color="auto"/>
        <w:right w:val="none" w:sz="0" w:space="0" w:color="auto"/>
      </w:divBdr>
    </w:div>
    <w:div w:id="1417095431">
      <w:bodyDiv w:val="1"/>
      <w:marLeft w:val="0"/>
      <w:marRight w:val="0"/>
      <w:marTop w:val="0"/>
      <w:marBottom w:val="0"/>
      <w:divBdr>
        <w:top w:val="none" w:sz="0" w:space="0" w:color="auto"/>
        <w:left w:val="none" w:sz="0" w:space="0" w:color="auto"/>
        <w:bottom w:val="none" w:sz="0" w:space="0" w:color="auto"/>
        <w:right w:val="none" w:sz="0" w:space="0" w:color="auto"/>
      </w:divBdr>
    </w:div>
    <w:div w:id="1433552093">
      <w:bodyDiv w:val="1"/>
      <w:marLeft w:val="0"/>
      <w:marRight w:val="0"/>
      <w:marTop w:val="0"/>
      <w:marBottom w:val="0"/>
      <w:divBdr>
        <w:top w:val="none" w:sz="0" w:space="0" w:color="auto"/>
        <w:left w:val="none" w:sz="0" w:space="0" w:color="auto"/>
        <w:bottom w:val="none" w:sz="0" w:space="0" w:color="auto"/>
        <w:right w:val="none" w:sz="0" w:space="0" w:color="auto"/>
      </w:divBdr>
    </w:div>
    <w:div w:id="1497577528">
      <w:bodyDiv w:val="1"/>
      <w:marLeft w:val="0"/>
      <w:marRight w:val="0"/>
      <w:marTop w:val="0"/>
      <w:marBottom w:val="0"/>
      <w:divBdr>
        <w:top w:val="none" w:sz="0" w:space="0" w:color="auto"/>
        <w:left w:val="none" w:sz="0" w:space="0" w:color="auto"/>
        <w:bottom w:val="none" w:sz="0" w:space="0" w:color="auto"/>
        <w:right w:val="none" w:sz="0" w:space="0" w:color="auto"/>
      </w:divBdr>
    </w:div>
    <w:div w:id="1502502552">
      <w:bodyDiv w:val="1"/>
      <w:marLeft w:val="0"/>
      <w:marRight w:val="0"/>
      <w:marTop w:val="0"/>
      <w:marBottom w:val="0"/>
      <w:divBdr>
        <w:top w:val="none" w:sz="0" w:space="0" w:color="auto"/>
        <w:left w:val="none" w:sz="0" w:space="0" w:color="auto"/>
        <w:bottom w:val="none" w:sz="0" w:space="0" w:color="auto"/>
        <w:right w:val="none" w:sz="0" w:space="0" w:color="auto"/>
      </w:divBdr>
    </w:div>
    <w:div w:id="1522009787">
      <w:bodyDiv w:val="1"/>
      <w:marLeft w:val="0"/>
      <w:marRight w:val="0"/>
      <w:marTop w:val="0"/>
      <w:marBottom w:val="0"/>
      <w:divBdr>
        <w:top w:val="none" w:sz="0" w:space="0" w:color="auto"/>
        <w:left w:val="none" w:sz="0" w:space="0" w:color="auto"/>
        <w:bottom w:val="none" w:sz="0" w:space="0" w:color="auto"/>
        <w:right w:val="none" w:sz="0" w:space="0" w:color="auto"/>
      </w:divBdr>
    </w:div>
    <w:div w:id="1547526046">
      <w:bodyDiv w:val="1"/>
      <w:marLeft w:val="0"/>
      <w:marRight w:val="0"/>
      <w:marTop w:val="0"/>
      <w:marBottom w:val="0"/>
      <w:divBdr>
        <w:top w:val="none" w:sz="0" w:space="0" w:color="auto"/>
        <w:left w:val="none" w:sz="0" w:space="0" w:color="auto"/>
        <w:bottom w:val="none" w:sz="0" w:space="0" w:color="auto"/>
        <w:right w:val="none" w:sz="0" w:space="0" w:color="auto"/>
      </w:divBdr>
    </w:div>
    <w:div w:id="1556431432">
      <w:bodyDiv w:val="1"/>
      <w:marLeft w:val="0"/>
      <w:marRight w:val="0"/>
      <w:marTop w:val="0"/>
      <w:marBottom w:val="0"/>
      <w:divBdr>
        <w:top w:val="none" w:sz="0" w:space="0" w:color="auto"/>
        <w:left w:val="none" w:sz="0" w:space="0" w:color="auto"/>
        <w:bottom w:val="none" w:sz="0" w:space="0" w:color="auto"/>
        <w:right w:val="none" w:sz="0" w:space="0" w:color="auto"/>
      </w:divBdr>
    </w:div>
    <w:div w:id="1565608298">
      <w:bodyDiv w:val="1"/>
      <w:marLeft w:val="0"/>
      <w:marRight w:val="0"/>
      <w:marTop w:val="0"/>
      <w:marBottom w:val="0"/>
      <w:divBdr>
        <w:top w:val="none" w:sz="0" w:space="0" w:color="auto"/>
        <w:left w:val="none" w:sz="0" w:space="0" w:color="auto"/>
        <w:bottom w:val="none" w:sz="0" w:space="0" w:color="auto"/>
        <w:right w:val="none" w:sz="0" w:space="0" w:color="auto"/>
      </w:divBdr>
    </w:div>
    <w:div w:id="1567642254">
      <w:bodyDiv w:val="1"/>
      <w:marLeft w:val="0"/>
      <w:marRight w:val="0"/>
      <w:marTop w:val="0"/>
      <w:marBottom w:val="0"/>
      <w:divBdr>
        <w:top w:val="none" w:sz="0" w:space="0" w:color="auto"/>
        <w:left w:val="none" w:sz="0" w:space="0" w:color="auto"/>
        <w:bottom w:val="none" w:sz="0" w:space="0" w:color="auto"/>
        <w:right w:val="none" w:sz="0" w:space="0" w:color="auto"/>
      </w:divBdr>
    </w:div>
    <w:div w:id="1630211120">
      <w:bodyDiv w:val="1"/>
      <w:marLeft w:val="0"/>
      <w:marRight w:val="0"/>
      <w:marTop w:val="0"/>
      <w:marBottom w:val="0"/>
      <w:divBdr>
        <w:top w:val="none" w:sz="0" w:space="0" w:color="auto"/>
        <w:left w:val="none" w:sz="0" w:space="0" w:color="auto"/>
        <w:bottom w:val="none" w:sz="0" w:space="0" w:color="auto"/>
        <w:right w:val="none" w:sz="0" w:space="0" w:color="auto"/>
      </w:divBdr>
    </w:div>
    <w:div w:id="1631590032">
      <w:bodyDiv w:val="1"/>
      <w:marLeft w:val="0"/>
      <w:marRight w:val="0"/>
      <w:marTop w:val="0"/>
      <w:marBottom w:val="0"/>
      <w:divBdr>
        <w:top w:val="none" w:sz="0" w:space="0" w:color="auto"/>
        <w:left w:val="none" w:sz="0" w:space="0" w:color="auto"/>
        <w:bottom w:val="none" w:sz="0" w:space="0" w:color="auto"/>
        <w:right w:val="none" w:sz="0" w:space="0" w:color="auto"/>
      </w:divBdr>
    </w:div>
    <w:div w:id="1636640854">
      <w:bodyDiv w:val="1"/>
      <w:marLeft w:val="0"/>
      <w:marRight w:val="0"/>
      <w:marTop w:val="0"/>
      <w:marBottom w:val="0"/>
      <w:divBdr>
        <w:top w:val="none" w:sz="0" w:space="0" w:color="auto"/>
        <w:left w:val="none" w:sz="0" w:space="0" w:color="auto"/>
        <w:bottom w:val="none" w:sz="0" w:space="0" w:color="auto"/>
        <w:right w:val="none" w:sz="0" w:space="0" w:color="auto"/>
      </w:divBdr>
    </w:div>
    <w:div w:id="1711492993">
      <w:bodyDiv w:val="1"/>
      <w:marLeft w:val="0"/>
      <w:marRight w:val="0"/>
      <w:marTop w:val="0"/>
      <w:marBottom w:val="0"/>
      <w:divBdr>
        <w:top w:val="none" w:sz="0" w:space="0" w:color="auto"/>
        <w:left w:val="none" w:sz="0" w:space="0" w:color="auto"/>
        <w:bottom w:val="none" w:sz="0" w:space="0" w:color="auto"/>
        <w:right w:val="none" w:sz="0" w:space="0" w:color="auto"/>
      </w:divBdr>
    </w:div>
    <w:div w:id="1789739283">
      <w:bodyDiv w:val="1"/>
      <w:marLeft w:val="0"/>
      <w:marRight w:val="0"/>
      <w:marTop w:val="0"/>
      <w:marBottom w:val="0"/>
      <w:divBdr>
        <w:top w:val="none" w:sz="0" w:space="0" w:color="auto"/>
        <w:left w:val="none" w:sz="0" w:space="0" w:color="auto"/>
        <w:bottom w:val="none" w:sz="0" w:space="0" w:color="auto"/>
        <w:right w:val="none" w:sz="0" w:space="0" w:color="auto"/>
      </w:divBdr>
    </w:div>
    <w:div w:id="1828741581">
      <w:bodyDiv w:val="1"/>
      <w:marLeft w:val="0"/>
      <w:marRight w:val="0"/>
      <w:marTop w:val="0"/>
      <w:marBottom w:val="0"/>
      <w:divBdr>
        <w:top w:val="none" w:sz="0" w:space="0" w:color="auto"/>
        <w:left w:val="none" w:sz="0" w:space="0" w:color="auto"/>
        <w:bottom w:val="none" w:sz="0" w:space="0" w:color="auto"/>
        <w:right w:val="none" w:sz="0" w:space="0" w:color="auto"/>
      </w:divBdr>
    </w:div>
    <w:div w:id="1831828213">
      <w:bodyDiv w:val="1"/>
      <w:marLeft w:val="0"/>
      <w:marRight w:val="0"/>
      <w:marTop w:val="0"/>
      <w:marBottom w:val="0"/>
      <w:divBdr>
        <w:top w:val="none" w:sz="0" w:space="0" w:color="auto"/>
        <w:left w:val="none" w:sz="0" w:space="0" w:color="auto"/>
        <w:bottom w:val="none" w:sz="0" w:space="0" w:color="auto"/>
        <w:right w:val="none" w:sz="0" w:space="0" w:color="auto"/>
      </w:divBdr>
    </w:div>
    <w:div w:id="1834642714">
      <w:bodyDiv w:val="1"/>
      <w:marLeft w:val="0"/>
      <w:marRight w:val="0"/>
      <w:marTop w:val="0"/>
      <w:marBottom w:val="0"/>
      <w:divBdr>
        <w:top w:val="none" w:sz="0" w:space="0" w:color="auto"/>
        <w:left w:val="none" w:sz="0" w:space="0" w:color="auto"/>
        <w:bottom w:val="none" w:sz="0" w:space="0" w:color="auto"/>
        <w:right w:val="none" w:sz="0" w:space="0" w:color="auto"/>
      </w:divBdr>
    </w:div>
    <w:div w:id="1905068654">
      <w:bodyDiv w:val="1"/>
      <w:marLeft w:val="0"/>
      <w:marRight w:val="0"/>
      <w:marTop w:val="0"/>
      <w:marBottom w:val="0"/>
      <w:divBdr>
        <w:top w:val="none" w:sz="0" w:space="0" w:color="auto"/>
        <w:left w:val="none" w:sz="0" w:space="0" w:color="auto"/>
        <w:bottom w:val="none" w:sz="0" w:space="0" w:color="auto"/>
        <w:right w:val="none" w:sz="0" w:space="0" w:color="auto"/>
      </w:divBdr>
    </w:div>
    <w:div w:id="1929269532">
      <w:bodyDiv w:val="1"/>
      <w:marLeft w:val="0"/>
      <w:marRight w:val="0"/>
      <w:marTop w:val="0"/>
      <w:marBottom w:val="0"/>
      <w:divBdr>
        <w:top w:val="none" w:sz="0" w:space="0" w:color="auto"/>
        <w:left w:val="none" w:sz="0" w:space="0" w:color="auto"/>
        <w:bottom w:val="none" w:sz="0" w:space="0" w:color="auto"/>
        <w:right w:val="none" w:sz="0" w:space="0" w:color="auto"/>
      </w:divBdr>
    </w:div>
    <w:div w:id="1941840025">
      <w:bodyDiv w:val="1"/>
      <w:marLeft w:val="0"/>
      <w:marRight w:val="0"/>
      <w:marTop w:val="0"/>
      <w:marBottom w:val="0"/>
      <w:divBdr>
        <w:top w:val="none" w:sz="0" w:space="0" w:color="auto"/>
        <w:left w:val="none" w:sz="0" w:space="0" w:color="auto"/>
        <w:bottom w:val="none" w:sz="0" w:space="0" w:color="auto"/>
        <w:right w:val="none" w:sz="0" w:space="0" w:color="auto"/>
      </w:divBdr>
    </w:div>
    <w:div w:id="1969581666">
      <w:bodyDiv w:val="1"/>
      <w:marLeft w:val="0"/>
      <w:marRight w:val="0"/>
      <w:marTop w:val="0"/>
      <w:marBottom w:val="0"/>
      <w:divBdr>
        <w:top w:val="none" w:sz="0" w:space="0" w:color="auto"/>
        <w:left w:val="none" w:sz="0" w:space="0" w:color="auto"/>
        <w:bottom w:val="none" w:sz="0" w:space="0" w:color="auto"/>
        <w:right w:val="none" w:sz="0" w:space="0" w:color="auto"/>
      </w:divBdr>
    </w:div>
    <w:div w:id="1991471325">
      <w:bodyDiv w:val="1"/>
      <w:marLeft w:val="0"/>
      <w:marRight w:val="0"/>
      <w:marTop w:val="0"/>
      <w:marBottom w:val="0"/>
      <w:divBdr>
        <w:top w:val="none" w:sz="0" w:space="0" w:color="auto"/>
        <w:left w:val="none" w:sz="0" w:space="0" w:color="auto"/>
        <w:bottom w:val="none" w:sz="0" w:space="0" w:color="auto"/>
        <w:right w:val="none" w:sz="0" w:space="0" w:color="auto"/>
      </w:divBdr>
    </w:div>
    <w:div w:id="2000578959">
      <w:bodyDiv w:val="1"/>
      <w:marLeft w:val="0"/>
      <w:marRight w:val="0"/>
      <w:marTop w:val="0"/>
      <w:marBottom w:val="0"/>
      <w:divBdr>
        <w:top w:val="none" w:sz="0" w:space="0" w:color="auto"/>
        <w:left w:val="none" w:sz="0" w:space="0" w:color="auto"/>
        <w:bottom w:val="none" w:sz="0" w:space="0" w:color="auto"/>
        <w:right w:val="none" w:sz="0" w:space="0" w:color="auto"/>
      </w:divBdr>
    </w:div>
    <w:div w:id="2010475467">
      <w:bodyDiv w:val="1"/>
      <w:marLeft w:val="0"/>
      <w:marRight w:val="0"/>
      <w:marTop w:val="0"/>
      <w:marBottom w:val="0"/>
      <w:divBdr>
        <w:top w:val="none" w:sz="0" w:space="0" w:color="auto"/>
        <w:left w:val="none" w:sz="0" w:space="0" w:color="auto"/>
        <w:bottom w:val="none" w:sz="0" w:space="0" w:color="auto"/>
        <w:right w:val="none" w:sz="0" w:space="0" w:color="auto"/>
      </w:divBdr>
    </w:div>
    <w:div w:id="2038508427">
      <w:bodyDiv w:val="1"/>
      <w:marLeft w:val="0"/>
      <w:marRight w:val="0"/>
      <w:marTop w:val="0"/>
      <w:marBottom w:val="0"/>
      <w:divBdr>
        <w:top w:val="none" w:sz="0" w:space="0" w:color="auto"/>
        <w:left w:val="none" w:sz="0" w:space="0" w:color="auto"/>
        <w:bottom w:val="none" w:sz="0" w:space="0" w:color="auto"/>
        <w:right w:val="none" w:sz="0" w:space="0" w:color="auto"/>
      </w:divBdr>
    </w:div>
    <w:div w:id="2084716611">
      <w:bodyDiv w:val="1"/>
      <w:marLeft w:val="0"/>
      <w:marRight w:val="0"/>
      <w:marTop w:val="0"/>
      <w:marBottom w:val="0"/>
      <w:divBdr>
        <w:top w:val="none" w:sz="0" w:space="0" w:color="auto"/>
        <w:left w:val="none" w:sz="0" w:space="0" w:color="auto"/>
        <w:bottom w:val="none" w:sz="0" w:space="0" w:color="auto"/>
        <w:right w:val="none" w:sz="0" w:space="0" w:color="auto"/>
      </w:divBdr>
    </w:div>
    <w:div w:id="2096199707">
      <w:bodyDiv w:val="1"/>
      <w:marLeft w:val="0"/>
      <w:marRight w:val="0"/>
      <w:marTop w:val="0"/>
      <w:marBottom w:val="0"/>
      <w:divBdr>
        <w:top w:val="none" w:sz="0" w:space="0" w:color="auto"/>
        <w:left w:val="none" w:sz="0" w:space="0" w:color="auto"/>
        <w:bottom w:val="none" w:sz="0" w:space="0" w:color="auto"/>
        <w:right w:val="none" w:sz="0" w:space="0" w:color="auto"/>
      </w:divBdr>
    </w:div>
    <w:div w:id="2124614815">
      <w:bodyDiv w:val="1"/>
      <w:marLeft w:val="0"/>
      <w:marRight w:val="0"/>
      <w:marTop w:val="0"/>
      <w:marBottom w:val="0"/>
      <w:divBdr>
        <w:top w:val="none" w:sz="0" w:space="0" w:color="auto"/>
        <w:left w:val="none" w:sz="0" w:space="0" w:color="auto"/>
        <w:bottom w:val="none" w:sz="0" w:space="0" w:color="auto"/>
        <w:right w:val="none" w:sz="0" w:space="0" w:color="auto"/>
      </w:divBdr>
    </w:div>
    <w:div w:id="2141068421">
      <w:bodyDiv w:val="1"/>
      <w:marLeft w:val="0"/>
      <w:marRight w:val="0"/>
      <w:marTop w:val="0"/>
      <w:marBottom w:val="0"/>
      <w:divBdr>
        <w:top w:val="none" w:sz="0" w:space="0" w:color="auto"/>
        <w:left w:val="none" w:sz="0" w:space="0" w:color="auto"/>
        <w:bottom w:val="none" w:sz="0" w:space="0" w:color="auto"/>
        <w:right w:val="none" w:sz="0" w:space="0" w:color="auto"/>
      </w:divBdr>
    </w:div>
    <w:div w:id="2144040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1.tm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C4540-2D87-46BA-8DDC-38491BBCB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24</Pages>
  <Words>94244</Words>
  <Characters>537194</Characters>
  <Application>Microsoft Office Word</Application>
  <DocSecurity>0</DocSecurity>
  <Lines>4476</Lines>
  <Paragraphs>1260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Abimbola Olaniran</dc:creator>
  <cp:keywords/>
  <dc:description/>
  <cp:lastModifiedBy>Abimbola Olaniran</cp:lastModifiedBy>
  <cp:revision>4</cp:revision>
  <dcterms:created xsi:type="dcterms:W3CDTF">2021-07-06T09:56:00Z</dcterms:created>
  <dcterms:modified xsi:type="dcterms:W3CDTF">2021-07-06T10:08:00Z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5382d029-8f7a-3516-9222-71be7abc478a</vt:lpwstr>
  </property>
  <property fmtid="{D5CDD505-2E9C-101B-9397-08002B2CF9AE}" pid="24" name="Mendeley Citation Style_1">
    <vt:lpwstr>http://www.zotero.org/styles/vancouver</vt:lpwstr>
  </property>
</Properties>
</file>