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7B336" w14:textId="77777777" w:rsidR="00164BD9" w:rsidRDefault="00164BD9" w:rsidP="00164BD9">
      <w:pPr>
        <w:spacing w:line="480" w:lineRule="auto"/>
        <w:jc w:val="left"/>
        <w:rPr>
          <w:rFonts w:ascii="Times New Roman" w:hAnsi="Times New Roman"/>
          <w:b/>
          <w:bCs/>
          <w:sz w:val="26"/>
          <w:szCs w:val="26"/>
        </w:rPr>
      </w:pPr>
      <w:r>
        <w:rPr>
          <w:rFonts w:ascii="Times New Roman" w:hAnsi="Times New Roman"/>
          <w:b/>
          <w:bCs/>
          <w:sz w:val="26"/>
          <w:szCs w:val="26"/>
        </w:rPr>
        <w:t>Supplementary Figures</w:t>
      </w:r>
    </w:p>
    <w:p w14:paraId="05830F77" w14:textId="77777777" w:rsidR="00164BD9" w:rsidRDefault="00164BD9" w:rsidP="00164BD9">
      <w:pPr>
        <w:spacing w:line="480" w:lineRule="auto"/>
        <w:jc w:val="left"/>
        <w:rPr>
          <w:rFonts w:ascii="Times New Roman" w:hAnsi="Times New Roman"/>
          <w:b/>
          <w:bCs/>
          <w:sz w:val="26"/>
          <w:szCs w:val="26"/>
        </w:rPr>
      </w:pPr>
      <w:r>
        <w:rPr>
          <w:rFonts w:ascii="Times New Roman" w:hAnsi="Times New Roman"/>
          <w:b/>
          <w:bCs/>
          <w:sz w:val="26"/>
          <w:szCs w:val="26"/>
        </w:rPr>
        <w:t xml:space="preserve">Supplementary Figure 1. </w:t>
      </w:r>
      <w:r>
        <w:rPr>
          <w:rFonts w:ascii="Times New Roman" w:hAnsi="Times New Roman"/>
          <w:sz w:val="26"/>
          <w:szCs w:val="26"/>
        </w:rPr>
        <w:t>Amino acid-class DEM heatmap. Blue/red boxes indicate decreased/increased metabolites at 24h IRI.</w:t>
      </w:r>
    </w:p>
    <w:p w14:paraId="0FF4EAA0" w14:textId="77777777" w:rsidR="00164BD9" w:rsidRDefault="00164BD9" w:rsidP="00164BD9">
      <w:pPr>
        <w:spacing w:line="480" w:lineRule="auto"/>
        <w:jc w:val="left"/>
        <w:rPr>
          <w:rFonts w:ascii="Times New Roman" w:hAnsi="Times New Roman"/>
          <w:b/>
          <w:bCs/>
          <w:sz w:val="26"/>
          <w:szCs w:val="26"/>
        </w:rPr>
      </w:pPr>
      <w:r>
        <w:rPr>
          <w:rFonts w:ascii="Times New Roman" w:hAnsi="Times New Roman"/>
          <w:b/>
          <w:bCs/>
          <w:sz w:val="26"/>
          <w:szCs w:val="26"/>
        </w:rPr>
        <w:t xml:space="preserve">Supplementary Figure 2. </w:t>
      </w:r>
      <w:r>
        <w:rPr>
          <w:rFonts w:ascii="Times New Roman" w:hAnsi="Times New Roman"/>
          <w:sz w:val="26"/>
          <w:szCs w:val="26"/>
        </w:rPr>
        <w:t>Lipid-class DEM heatmap. Blue box indicates decreased metabolites at 24h IRI.</w:t>
      </w:r>
    </w:p>
    <w:p w14:paraId="41D9BDEA" w14:textId="77777777" w:rsidR="00164BD9" w:rsidRDefault="00164BD9" w:rsidP="00164BD9">
      <w:pPr>
        <w:spacing w:line="480" w:lineRule="auto"/>
        <w:jc w:val="left"/>
        <w:rPr>
          <w:rFonts w:ascii="Times New Roman" w:hAnsi="Times New Roman"/>
          <w:b/>
          <w:bCs/>
          <w:sz w:val="26"/>
          <w:szCs w:val="26"/>
        </w:rPr>
      </w:pPr>
      <w:r>
        <w:rPr>
          <w:rFonts w:ascii="Times New Roman" w:hAnsi="Times New Roman"/>
          <w:b/>
          <w:bCs/>
          <w:sz w:val="26"/>
          <w:szCs w:val="26"/>
        </w:rPr>
        <w:t xml:space="preserve">Supplementary Figure 3. </w:t>
      </w:r>
      <w:r>
        <w:rPr>
          <w:rFonts w:ascii="Times New Roman" w:hAnsi="Times New Roman"/>
          <w:sz w:val="26"/>
          <w:szCs w:val="26"/>
        </w:rPr>
        <w:t>Temporal GO-BP and KEGG analysis of DEGs (2h, 6h, 7d).</w:t>
      </w:r>
    </w:p>
    <w:p w14:paraId="59577FEA" w14:textId="77777777" w:rsidR="00164BD9" w:rsidRDefault="00164BD9" w:rsidP="00164BD9">
      <w:pPr>
        <w:spacing w:line="480" w:lineRule="auto"/>
        <w:jc w:val="left"/>
        <w:rPr>
          <w:rFonts w:ascii="Times New Roman" w:hAnsi="Times New Roman"/>
          <w:b/>
          <w:bCs/>
          <w:sz w:val="26"/>
          <w:szCs w:val="26"/>
        </w:rPr>
      </w:pPr>
      <w:r>
        <w:rPr>
          <w:rFonts w:ascii="Times New Roman" w:hAnsi="Times New Roman"/>
          <w:sz w:val="26"/>
          <w:szCs w:val="26"/>
        </w:rPr>
        <w:t>(A) Gene ontology biological process analysis of DEGs at 2h. (B) Gene ontology biological process analysis of DEGs at 6h. (C) Gene ontology biological process analysis of DEGs at 7d. (D) KEGG pathway analysis of DEGs at 2h. (E) KEGG pathway analysis of DEGs at 6h. (F) KEGG pathway analysis of DEGs at 7d.</w:t>
      </w:r>
    </w:p>
    <w:p w14:paraId="0CD31FE8" w14:textId="77777777" w:rsidR="00164BD9" w:rsidRDefault="00164BD9" w:rsidP="00164BD9">
      <w:pPr>
        <w:spacing w:line="480" w:lineRule="auto"/>
        <w:jc w:val="left"/>
        <w:rPr>
          <w:rFonts w:ascii="Times New Roman" w:hAnsi="Times New Roman"/>
          <w:b/>
          <w:bCs/>
          <w:sz w:val="26"/>
          <w:szCs w:val="26"/>
        </w:rPr>
      </w:pPr>
      <w:r>
        <w:rPr>
          <w:rFonts w:ascii="Times New Roman" w:hAnsi="Times New Roman"/>
          <w:b/>
          <w:bCs/>
          <w:sz w:val="26"/>
          <w:szCs w:val="26"/>
        </w:rPr>
        <w:t>Supplementary Figure 4. Venn of DEPs and KEGG analysis of DEPs.</w:t>
      </w:r>
    </w:p>
    <w:p w14:paraId="1A7BD057" w14:textId="77777777" w:rsidR="00164BD9" w:rsidRDefault="00164BD9" w:rsidP="00164BD9">
      <w:pPr>
        <w:numPr>
          <w:ilvl w:val="0"/>
          <w:numId w:val="1"/>
        </w:numPr>
        <w:spacing w:line="480" w:lineRule="auto"/>
        <w:jc w:val="left"/>
        <w:rPr>
          <w:rFonts w:ascii="Times New Roman" w:hAnsi="Times New Roman"/>
          <w:sz w:val="26"/>
          <w:szCs w:val="26"/>
        </w:rPr>
      </w:pPr>
      <w:r>
        <w:rPr>
          <w:rFonts w:ascii="Times New Roman" w:hAnsi="Times New Roman"/>
          <w:sz w:val="26"/>
          <w:szCs w:val="26"/>
        </w:rPr>
        <w:t>Venn diagrams of DEPs upregulated (left) or downregulated (right) at acute phase of IRI (2h, 6h and 24h). (B) KEGG pathway analysis of decreased (green column) and increased (red columns) DEPs at 2h. (C) KEGG pathway analysis of decreased (green column) and increased (red columns) DEPs at 6h. (D) KEGG pathway analysis of decreased (green column) and increased (red columns) DEPs at 7d.</w:t>
      </w:r>
    </w:p>
    <w:p w14:paraId="1AF450E8" w14:textId="77777777" w:rsidR="00164BD9" w:rsidRDefault="00164BD9" w:rsidP="00164BD9">
      <w:pPr>
        <w:pStyle w:val="p1"/>
        <w:widowControl/>
        <w:spacing w:line="480" w:lineRule="auto"/>
        <w:rPr>
          <w:rFonts w:ascii="Times New Roman" w:hAnsi="Times New Roman"/>
          <w:b/>
          <w:bCs/>
          <w:kern w:val="2"/>
        </w:rPr>
      </w:pPr>
      <w:r>
        <w:rPr>
          <w:rFonts w:ascii="Times New Roman" w:hAnsi="Times New Roman"/>
          <w:b/>
          <w:bCs/>
          <w:kern w:val="2"/>
        </w:rPr>
        <w:t>Supplementary Figure 5</w:t>
      </w:r>
      <w:r>
        <w:rPr>
          <w:rFonts w:ascii="Times New Roman" w:hAnsi="Times New Roman"/>
          <w:b/>
          <w:bCs/>
        </w:rPr>
        <w:t>.</w:t>
      </w:r>
      <w:r>
        <w:rPr>
          <w:rFonts w:ascii="Times New Roman" w:hAnsi="Times New Roman"/>
          <w:b/>
          <w:bCs/>
          <w:kern w:val="2"/>
        </w:rPr>
        <w:t xml:space="preserve"> Multi-omics analysis of renal IRI and integrated ferroptosis pathway at 24h.</w:t>
      </w:r>
    </w:p>
    <w:p w14:paraId="29D089B5" w14:textId="77777777" w:rsidR="00164BD9" w:rsidRDefault="00164BD9" w:rsidP="00164BD9">
      <w:pPr>
        <w:pStyle w:val="p1"/>
        <w:widowControl/>
        <w:spacing w:line="480" w:lineRule="auto"/>
        <w:rPr>
          <w:rFonts w:ascii="Times New Roman" w:hAnsi="Times New Roman"/>
        </w:rPr>
      </w:pPr>
      <w:r>
        <w:rPr>
          <w:rFonts w:ascii="Times New Roman" w:hAnsi="Times New Roman"/>
          <w:kern w:val="2"/>
        </w:rPr>
        <w:lastRenderedPageBreak/>
        <w:t>The four-quadrant diagram of mRNA and proteins change at 2h (A), 6h (B), 24h (C) and 7d (D). The first quadrant represents mRNA and protein both increase, and the third quadrant represents mRNA and protein both decrease, while the second and fourth quadrants indicate mRNA and protein variation at opposite directions. (E). Integrative gene, protein and metabolites metabolism of ferroptosis in kidney IRI 24h.</w:t>
      </w:r>
      <w:r>
        <w:rPr>
          <w:rFonts w:ascii="Times New Roman" w:hAnsi="Times New Roman" w:hint="eastAsia"/>
        </w:rPr>
        <w:t xml:space="preserve"> Re</w:t>
      </w:r>
      <w:r>
        <w:rPr>
          <w:rFonts w:ascii="Times New Roman" w:hAnsi="Times New Roman"/>
        </w:rPr>
        <w:t xml:space="preserve">d filled box (upregulated enzymes), </w:t>
      </w:r>
      <w:r>
        <w:rPr>
          <w:rFonts w:ascii="Times New Roman" w:hAnsi="Times New Roman" w:hint="eastAsia"/>
        </w:rPr>
        <w:t>yell</w:t>
      </w:r>
      <w:r>
        <w:rPr>
          <w:rFonts w:ascii="Times New Roman" w:hAnsi="Times New Roman"/>
        </w:rPr>
        <w:t>ow circle (increased metabolites), blue circle (decreased metabolites).</w:t>
      </w:r>
    </w:p>
    <w:p w14:paraId="403FABC9" w14:textId="77777777" w:rsidR="00164BD9" w:rsidRDefault="00164BD9" w:rsidP="00164BD9">
      <w:pPr>
        <w:pStyle w:val="p1"/>
        <w:widowControl/>
        <w:spacing w:line="480" w:lineRule="auto"/>
        <w:rPr>
          <w:rFonts w:ascii="Times New Roman" w:hAnsi="Times New Roman"/>
          <w:b/>
          <w:bCs/>
          <w:kern w:val="2"/>
        </w:rPr>
      </w:pPr>
      <w:r>
        <w:rPr>
          <w:rFonts w:ascii="Times New Roman" w:hAnsi="Times New Roman"/>
          <w:b/>
          <w:bCs/>
          <w:kern w:val="2"/>
        </w:rPr>
        <w:t xml:space="preserve">Supplementary Figure 6. Renal histology (H&amp;E) and KIM-1 immunohistochemistry at 24h IRI. </w:t>
      </w:r>
    </w:p>
    <w:p w14:paraId="65AE1F59" w14:textId="77777777" w:rsidR="00164BD9" w:rsidRDefault="00164BD9" w:rsidP="00164BD9">
      <w:pPr>
        <w:pStyle w:val="p1"/>
        <w:widowControl/>
        <w:spacing w:line="480" w:lineRule="auto"/>
        <w:rPr>
          <w:rFonts w:ascii="Times New Roman" w:hAnsi="Times New Roman"/>
        </w:rPr>
      </w:pPr>
      <w:r>
        <w:rPr>
          <w:rFonts w:ascii="Times New Roman" w:hAnsi="Times New Roman"/>
          <w:kern w:val="2"/>
        </w:rPr>
        <w:t>C57BL/6 mice underwent bilateral ischemia for 28 min followed by reperfusion for 24h, control mice were subjected to sham operation. (A) H&amp;E staining of renal histology. (B) Immunohistochemistry staining of KIM-1.</w:t>
      </w:r>
      <w:r>
        <w:rPr>
          <w:rFonts w:ascii="Times New Roman" w:hAnsi="Times New Roman"/>
        </w:rPr>
        <w:t xml:space="preserve"> </w:t>
      </w:r>
    </w:p>
    <w:p w14:paraId="63F597A9" w14:textId="77777777" w:rsidR="00164BD9" w:rsidRDefault="00164BD9" w:rsidP="00164BD9">
      <w:pPr>
        <w:pStyle w:val="p1"/>
        <w:widowControl/>
        <w:spacing w:line="480" w:lineRule="auto"/>
        <w:rPr>
          <w:rFonts w:ascii="Times New Roman" w:hAnsi="Times New Roman"/>
          <w:b/>
          <w:bCs/>
          <w:kern w:val="2"/>
        </w:rPr>
      </w:pPr>
      <w:r>
        <w:rPr>
          <w:rFonts w:ascii="Times New Roman" w:hAnsi="Times New Roman"/>
          <w:b/>
          <w:bCs/>
          <w:kern w:val="2"/>
        </w:rPr>
        <w:t xml:space="preserve">Supplementary Figure 7. DCA-mediated PDK4 inhibition protects against renal IRI. </w:t>
      </w:r>
    </w:p>
    <w:p w14:paraId="5FC811AC" w14:textId="77777777" w:rsidR="00164BD9" w:rsidRDefault="00164BD9" w:rsidP="00164BD9">
      <w:pPr>
        <w:pStyle w:val="p1"/>
        <w:widowControl/>
        <w:spacing w:line="480" w:lineRule="auto"/>
        <w:rPr>
          <w:rFonts w:ascii="Times New Roman" w:hAnsi="Times New Roman"/>
          <w:b/>
          <w:bCs/>
          <w:kern w:val="2"/>
        </w:rPr>
      </w:pPr>
      <w:r>
        <w:rPr>
          <w:rFonts w:ascii="Times New Roman" w:hAnsi="Times New Roman"/>
          <w:kern w:val="2"/>
        </w:rPr>
        <w:t>DCA or saline were fed to C57BL/6 mice for 5 consecutive days before ischemia for 28 min and reperfusion for 24 h, sham operated mice were used as control. (A) Illustration of experimental procedure. (B) Western blot of PDK4, p-PDHA1</w:t>
      </w:r>
      <w:r>
        <w:rPr>
          <w:rFonts w:ascii="Times New Roman" w:eastAsia="SimSun" w:hAnsi="Times New Roman"/>
        </w:rPr>
        <w:t>(S</w:t>
      </w:r>
      <w:r>
        <w:rPr>
          <w:rFonts w:ascii="Times New Roman" w:eastAsia="SimSun" w:hAnsi="Times New Roman" w:hint="eastAsia"/>
        </w:rPr>
        <w:t>er</w:t>
      </w:r>
      <w:r>
        <w:rPr>
          <w:rFonts w:ascii="Times New Roman" w:eastAsia="SimSun" w:hAnsi="Times New Roman"/>
        </w:rPr>
        <w:t>232)</w:t>
      </w:r>
      <w:r>
        <w:rPr>
          <w:rFonts w:ascii="Times New Roman" w:hAnsi="Times New Roman"/>
          <w:kern w:val="2"/>
        </w:rPr>
        <w:t>, PDHA1, Cyclophilin B as loading control. (C) Serum creatinine measurement. (D) BUN measurement. (E) H&amp;E staining of renal histology. (F) Tubular injury score. (G) Immunohistochemistry staining of KIM-1. (H) The percentage of KIM-1 positive tubules. (I) Immunohistochemistry staining of p-PDHA1</w:t>
      </w:r>
      <w:r>
        <w:rPr>
          <w:rFonts w:ascii="Times New Roman" w:eastAsia="SimSun" w:hAnsi="Times New Roman"/>
        </w:rPr>
        <w:t>(S</w:t>
      </w:r>
      <w:r>
        <w:rPr>
          <w:rFonts w:ascii="Times New Roman" w:eastAsia="SimSun" w:hAnsi="Times New Roman" w:hint="eastAsia"/>
        </w:rPr>
        <w:t>er</w:t>
      </w:r>
      <w:r>
        <w:rPr>
          <w:rFonts w:ascii="Times New Roman" w:eastAsia="SimSun" w:hAnsi="Times New Roman"/>
        </w:rPr>
        <w:t>232)</w:t>
      </w:r>
      <w:r>
        <w:rPr>
          <w:rFonts w:ascii="Times New Roman" w:hAnsi="Times New Roman"/>
          <w:kern w:val="2"/>
        </w:rPr>
        <w:t xml:space="preserve">. Scale bar: 50 µm, the </w:t>
      </w:r>
      <w:r>
        <w:rPr>
          <w:rFonts w:ascii="Times New Roman" w:hAnsi="Times New Roman"/>
          <w:kern w:val="2"/>
        </w:rPr>
        <w:lastRenderedPageBreak/>
        <w:t xml:space="preserve">boxed areas were enlarged and presented at bottom panels. </w:t>
      </w:r>
      <w:r>
        <w:rPr>
          <w:rFonts w:ascii="Times New Roman" w:hAnsi="Times New Roman"/>
          <w:kern w:val="2"/>
          <w:vertAlign w:val="superscript"/>
        </w:rPr>
        <w:t>*</w:t>
      </w:r>
      <w:r>
        <w:rPr>
          <w:rFonts w:ascii="Times New Roman" w:hAnsi="Times New Roman"/>
          <w:i/>
          <w:iCs/>
          <w:kern w:val="2"/>
        </w:rPr>
        <w:t>P</w:t>
      </w:r>
      <w:r>
        <w:rPr>
          <w:rFonts w:ascii="Times New Roman" w:hAnsi="Times New Roman"/>
          <w:kern w:val="2"/>
        </w:rPr>
        <w:t xml:space="preserve">&lt;0.05 vs sham. </w:t>
      </w:r>
      <w:r>
        <w:rPr>
          <w:rFonts w:ascii="Times New Roman" w:hAnsi="Times New Roman"/>
          <w:kern w:val="2"/>
          <w:vertAlign w:val="superscript"/>
        </w:rPr>
        <w:t>#</w:t>
      </w:r>
      <w:r>
        <w:rPr>
          <w:rFonts w:ascii="Times New Roman" w:hAnsi="Times New Roman"/>
          <w:i/>
          <w:iCs/>
          <w:kern w:val="2"/>
        </w:rPr>
        <w:t>P</w:t>
      </w:r>
      <w:r>
        <w:rPr>
          <w:rFonts w:ascii="Times New Roman" w:hAnsi="Times New Roman"/>
          <w:kern w:val="2"/>
        </w:rPr>
        <w:t>&lt;0.05 vs saline pre-treated IRI.</w:t>
      </w:r>
    </w:p>
    <w:p w14:paraId="195AE72D" w14:textId="77777777" w:rsidR="00164BD9" w:rsidRDefault="00164BD9" w:rsidP="00164BD9">
      <w:pPr>
        <w:pStyle w:val="p1"/>
        <w:widowControl/>
        <w:spacing w:line="480" w:lineRule="auto"/>
        <w:rPr>
          <w:rFonts w:ascii="Times New Roman" w:hAnsi="Times New Roman"/>
          <w:b/>
          <w:bCs/>
          <w:kern w:val="2"/>
        </w:rPr>
      </w:pPr>
      <w:r>
        <w:rPr>
          <w:rFonts w:ascii="Times New Roman" w:hAnsi="Times New Roman"/>
          <w:b/>
          <w:bCs/>
          <w:kern w:val="2"/>
        </w:rPr>
        <w:t xml:space="preserve">Supplementary Figure 8. DCA protects RPTCs from CCCP-induced injury </w:t>
      </w:r>
      <w:r>
        <w:rPr>
          <w:rFonts w:ascii="Times New Roman" w:hAnsi="Times New Roman"/>
          <w:b/>
          <w:bCs/>
          <w:i/>
          <w:iCs/>
          <w:kern w:val="2"/>
        </w:rPr>
        <w:t>in vitro</w:t>
      </w:r>
      <w:r>
        <w:rPr>
          <w:rFonts w:ascii="Times New Roman" w:hAnsi="Times New Roman"/>
          <w:b/>
          <w:bCs/>
          <w:kern w:val="2"/>
        </w:rPr>
        <w:t>.</w:t>
      </w:r>
    </w:p>
    <w:p w14:paraId="4F636E35" w14:textId="77777777" w:rsidR="00164BD9" w:rsidRDefault="00164BD9" w:rsidP="00164BD9">
      <w:pPr>
        <w:pStyle w:val="p1"/>
        <w:widowControl/>
        <w:spacing w:line="480" w:lineRule="auto"/>
        <w:rPr>
          <w:rFonts w:ascii="Times New Roman" w:hAnsi="Times New Roman"/>
          <w:b/>
          <w:bCs/>
        </w:rPr>
      </w:pPr>
      <w:r>
        <w:rPr>
          <w:rFonts w:ascii="Times New Roman" w:hAnsi="Times New Roman"/>
          <w:kern w:val="2"/>
        </w:rPr>
        <w:t>Rat kidney proximal tubular cells (RPTCs) were incubated with CCCP at 10 µM for 3 h followed by reperfusion at full culture medium for 2h with or without DCA treatment, cells without CCCP-R treatment were used as control. (A) Phase contrast of cells. (B)Percentage of cell death quantified by counting the cells with typical death morphology. (C) TUNEL staining of RPTCs. (D) Quantification of TUNEL staining. (E) DHE staining of RPTCs.</w:t>
      </w:r>
      <w:r>
        <w:rPr>
          <w:rFonts w:ascii="Times New Roman" w:hAnsi="Times New Roman"/>
          <w:kern w:val="2"/>
          <w:vertAlign w:val="superscript"/>
        </w:rPr>
        <w:t xml:space="preserve"> *</w:t>
      </w:r>
      <w:r>
        <w:rPr>
          <w:rFonts w:ascii="Times New Roman" w:hAnsi="Times New Roman"/>
          <w:i/>
          <w:iCs/>
          <w:kern w:val="2"/>
        </w:rPr>
        <w:t>P</w:t>
      </w:r>
      <w:r>
        <w:rPr>
          <w:rFonts w:ascii="Times New Roman" w:hAnsi="Times New Roman"/>
          <w:kern w:val="2"/>
        </w:rPr>
        <w:t xml:space="preserve">&lt;0.05 vs control. </w:t>
      </w:r>
      <w:r>
        <w:rPr>
          <w:rFonts w:ascii="Times New Roman" w:hAnsi="Times New Roman"/>
          <w:kern w:val="2"/>
          <w:vertAlign w:val="superscript"/>
        </w:rPr>
        <w:t>#</w:t>
      </w:r>
      <w:r>
        <w:rPr>
          <w:rFonts w:ascii="Times New Roman" w:hAnsi="Times New Roman"/>
          <w:i/>
          <w:iCs/>
          <w:kern w:val="2"/>
        </w:rPr>
        <w:t>P</w:t>
      </w:r>
      <w:r>
        <w:rPr>
          <w:rFonts w:ascii="Times New Roman" w:hAnsi="Times New Roman"/>
          <w:kern w:val="2"/>
        </w:rPr>
        <w:t>&lt;0.05 vs. vehicle treated CCCP-R group.</w:t>
      </w:r>
    </w:p>
    <w:p w14:paraId="0EF81192" w14:textId="77777777" w:rsidR="00755780" w:rsidRDefault="00755780"/>
    <w:sectPr w:rsidR="00755780" w:rsidSect="00164BD9">
      <w:footerReference w:type="default" r:id="rId5"/>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492C3" w14:textId="77777777" w:rsidR="00000000" w:rsidRDefault="00000000">
    <w:pPr>
      <w:pStyle w:val="Footer"/>
    </w:pPr>
    <w:r>
      <w:rPr>
        <w:noProof/>
      </w:rPr>
      <mc:AlternateContent>
        <mc:Choice Requires="wps">
          <w:drawing>
            <wp:anchor distT="0" distB="0" distL="114300" distR="114300" simplePos="0" relativeHeight="251659264" behindDoc="0" locked="0" layoutInCell="1" allowOverlap="1" wp14:anchorId="1B9A7AA4" wp14:editId="105FACB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87BE52" w14:textId="77777777" w:rsidR="00000000" w:rsidRDefault="00000000">
                          <w:pPr>
                            <w:pStyle w:val="Heading1Cha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B9A7AA4"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487BE52" w14:textId="77777777" w:rsidR="00000000" w:rsidRDefault="00000000">
                    <w:pPr>
                      <w:pStyle w:val="Heading1Cha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DC4DDC"/>
    <w:multiLevelType w:val="multilevel"/>
    <w:tmpl w:val="2FDC4DDC"/>
    <w:lvl w:ilvl="0">
      <w:start w:val="1"/>
      <w:numFmt w:val="upperLetter"/>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2577592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BD9"/>
    <w:rsid w:val="00011C58"/>
    <w:rsid w:val="0006021D"/>
    <w:rsid w:val="00164BD9"/>
    <w:rsid w:val="00331A6B"/>
    <w:rsid w:val="00755780"/>
    <w:rsid w:val="00857596"/>
    <w:rsid w:val="00B9286C"/>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769A7"/>
  <w15:chartTrackingRefBased/>
  <w15:docId w15:val="{7CF63D1B-31AA-4E10-842D-4F5959D80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BD9"/>
    <w:pPr>
      <w:widowControl w:val="0"/>
      <w:spacing w:after="0" w:line="240" w:lineRule="auto"/>
      <w:jc w:val="both"/>
    </w:pPr>
    <w:rPr>
      <w:rFonts w:ascii="Calibri" w:eastAsia="SimSun" w:hAnsi="Calibri" w:cs="Times New Roman"/>
      <w:sz w:val="21"/>
      <w:szCs w:val="21"/>
      <w:lang w:eastAsia="zh-CN"/>
      <w14:ligatures w14:val="none"/>
    </w:rPr>
  </w:style>
  <w:style w:type="paragraph" w:styleId="Heading1">
    <w:name w:val="heading 1"/>
    <w:basedOn w:val="Normal"/>
    <w:next w:val="Normal"/>
    <w:link w:val="Heading1Char"/>
    <w:uiPriority w:val="9"/>
    <w:qFormat/>
    <w:rsid w:val="00164B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4B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4B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4B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4B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4B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4B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4B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4B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B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4B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4B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4B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4B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4B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4B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4B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4BD9"/>
    <w:rPr>
      <w:rFonts w:eastAsiaTheme="majorEastAsia" w:cstheme="majorBidi"/>
      <w:color w:val="272727" w:themeColor="text1" w:themeTint="D8"/>
    </w:rPr>
  </w:style>
  <w:style w:type="paragraph" w:styleId="Title">
    <w:name w:val="Title"/>
    <w:basedOn w:val="Normal"/>
    <w:next w:val="Normal"/>
    <w:link w:val="TitleChar"/>
    <w:uiPriority w:val="10"/>
    <w:qFormat/>
    <w:rsid w:val="00164B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4B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4B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4B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4BD9"/>
    <w:pPr>
      <w:spacing w:before="160"/>
      <w:jc w:val="center"/>
    </w:pPr>
    <w:rPr>
      <w:i/>
      <w:iCs/>
      <w:color w:val="404040" w:themeColor="text1" w:themeTint="BF"/>
    </w:rPr>
  </w:style>
  <w:style w:type="character" w:customStyle="1" w:styleId="QuoteChar">
    <w:name w:val="Quote Char"/>
    <w:basedOn w:val="DefaultParagraphFont"/>
    <w:link w:val="Quote"/>
    <w:uiPriority w:val="29"/>
    <w:rsid w:val="00164BD9"/>
    <w:rPr>
      <w:i/>
      <w:iCs/>
      <w:color w:val="404040" w:themeColor="text1" w:themeTint="BF"/>
    </w:rPr>
  </w:style>
  <w:style w:type="paragraph" w:styleId="ListParagraph">
    <w:name w:val="List Paragraph"/>
    <w:basedOn w:val="Normal"/>
    <w:uiPriority w:val="34"/>
    <w:qFormat/>
    <w:rsid w:val="00164BD9"/>
    <w:pPr>
      <w:ind w:left="720"/>
      <w:contextualSpacing/>
    </w:pPr>
  </w:style>
  <w:style w:type="character" w:styleId="IntenseEmphasis">
    <w:name w:val="Intense Emphasis"/>
    <w:basedOn w:val="DefaultParagraphFont"/>
    <w:uiPriority w:val="21"/>
    <w:qFormat/>
    <w:rsid w:val="00164BD9"/>
    <w:rPr>
      <w:i/>
      <w:iCs/>
      <w:color w:val="0F4761" w:themeColor="accent1" w:themeShade="BF"/>
    </w:rPr>
  </w:style>
  <w:style w:type="paragraph" w:styleId="IntenseQuote">
    <w:name w:val="Intense Quote"/>
    <w:basedOn w:val="Normal"/>
    <w:next w:val="Normal"/>
    <w:link w:val="IntenseQuoteChar"/>
    <w:uiPriority w:val="30"/>
    <w:qFormat/>
    <w:rsid w:val="00164B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4BD9"/>
    <w:rPr>
      <w:i/>
      <w:iCs/>
      <w:color w:val="0F4761" w:themeColor="accent1" w:themeShade="BF"/>
    </w:rPr>
  </w:style>
  <w:style w:type="character" w:styleId="IntenseReference">
    <w:name w:val="Intense Reference"/>
    <w:basedOn w:val="DefaultParagraphFont"/>
    <w:uiPriority w:val="32"/>
    <w:qFormat/>
    <w:rsid w:val="00164BD9"/>
    <w:rPr>
      <w:b/>
      <w:bCs/>
      <w:smallCaps/>
      <w:color w:val="0F4761" w:themeColor="accent1" w:themeShade="BF"/>
      <w:spacing w:val="5"/>
    </w:rPr>
  </w:style>
  <w:style w:type="paragraph" w:styleId="Footer">
    <w:name w:val="footer"/>
    <w:basedOn w:val="Normal"/>
    <w:link w:val="FooterChar"/>
    <w:qFormat/>
    <w:rsid w:val="00164BD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FooterChar">
    <w:name w:val="Footer Char"/>
    <w:basedOn w:val="DefaultParagraphFont"/>
    <w:link w:val="Footer"/>
    <w:qFormat/>
    <w:rsid w:val="00164BD9"/>
    <w:rPr>
      <w:rFonts w:eastAsiaTheme="minorEastAsia"/>
      <w:sz w:val="18"/>
      <w:szCs w:val="18"/>
      <w:lang w:eastAsia="zh-CN"/>
      <w14:ligatures w14:val="none"/>
    </w:rPr>
  </w:style>
  <w:style w:type="paragraph" w:customStyle="1" w:styleId="p1">
    <w:name w:val="p1"/>
    <w:basedOn w:val="Normal"/>
    <w:link w:val="p10"/>
    <w:qFormat/>
    <w:rsid w:val="00164BD9"/>
    <w:pPr>
      <w:jc w:val="left"/>
    </w:pPr>
    <w:rPr>
      <w:rFonts w:ascii="Helvetica Neue" w:eastAsia="Helvetica Neue" w:hAnsi="Helvetica Neue"/>
      <w:kern w:val="0"/>
      <w:sz w:val="26"/>
      <w:szCs w:val="26"/>
    </w:rPr>
  </w:style>
  <w:style w:type="character" w:customStyle="1" w:styleId="p10">
    <w:name w:val="p1 字符"/>
    <w:basedOn w:val="DefaultParagraphFont"/>
    <w:link w:val="p1"/>
    <w:qFormat/>
    <w:rsid w:val="00164BD9"/>
    <w:rPr>
      <w:rFonts w:ascii="Helvetica Neue" w:eastAsia="Helvetica Neue" w:hAnsi="Helvetica Neue" w:cs="Times New Roman"/>
      <w:kern w:val="0"/>
      <w:sz w:val="26"/>
      <w:szCs w:val="26"/>
      <w:lang w:eastAsia="zh-CN"/>
      <w14:ligatures w14:val="none"/>
    </w:rPr>
  </w:style>
  <w:style w:type="character" w:styleId="LineNumber">
    <w:name w:val="line number"/>
    <w:basedOn w:val="DefaultParagraphFont"/>
    <w:uiPriority w:val="99"/>
    <w:semiHidden/>
    <w:unhideWhenUsed/>
    <w:rsid w:val="00164B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500</Words>
  <Characters>2852</Characters>
  <Application>Microsoft Office Word</Application>
  <DocSecurity>0</DocSecurity>
  <Lines>23</Lines>
  <Paragraphs>6</Paragraphs>
  <ScaleCrop>false</ScaleCrop>
  <Company>Springer Nature</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2025-07-09T16:38:00Z</dcterms:created>
  <dcterms:modified xsi:type="dcterms:W3CDTF">2025-07-09T16:39:00Z</dcterms:modified>
</cp:coreProperties>
</file>