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4BBBC" w14:textId="77777777" w:rsidR="00CC2034" w:rsidRDefault="00000000">
      <w:pPr>
        <w:pStyle w:val="NoSpacing"/>
        <w:spacing w:line="480" w:lineRule="auto"/>
        <w:rPr>
          <w:rFonts w:ascii="Malgun Gothic" w:eastAsia="Malgun Gothic" w:hAnsi="Malgun Gothic" w:cs="Malgun Gothic"/>
        </w:rPr>
      </w:pPr>
      <w:r>
        <w:rPr>
          <w:rFonts w:ascii="Malgun Gothic" w:eastAsia="Malgun Gothic" w:hAnsi="Malgun Gothic" w:cs="Malgun Gothic"/>
        </w:rPr>
        <w:t>Supplement Table 1. Surgical outcomes without outlier.</w:t>
      </w:r>
    </w:p>
    <w:tbl>
      <w:tblPr>
        <w:tblW w:w="863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947"/>
        <w:gridCol w:w="1134"/>
        <w:gridCol w:w="2551"/>
      </w:tblGrid>
      <w:tr w:rsidR="00CC2034" w14:paraId="121638D8" w14:textId="77777777">
        <w:tblPrEx>
          <w:tblCellMar>
            <w:top w:w="0" w:type="dxa"/>
            <w:bottom w:w="0" w:type="dxa"/>
          </w:tblCellMar>
        </w:tblPrEx>
        <w:trPr>
          <w:trHeight w:val="345"/>
        </w:trPr>
        <w:tc>
          <w:tcPr>
            <w:tcW w:w="4947" w:type="dxa"/>
            <w:tcBorders>
              <w:top w:val="single" w:sz="12" w:space="0" w:color="000000"/>
              <w:left w:val="single" w:sz="12" w:space="0" w:color="000000"/>
            </w:tcBorders>
            <w:shd w:val="clear" w:color="auto" w:fill="D9D9D9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</w:tcPr>
          <w:p w14:paraId="6682F968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 xml:space="preserve">　</w:t>
            </w:r>
          </w:p>
        </w:tc>
        <w:tc>
          <w:tcPr>
            <w:tcW w:w="1134" w:type="dxa"/>
            <w:tcBorders>
              <w:top w:val="single" w:sz="12" w:space="0" w:color="000000"/>
            </w:tcBorders>
            <w:shd w:val="clear" w:color="auto" w:fill="D9D9D9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</w:tcPr>
          <w:p w14:paraId="49A6EA04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 xml:space="preserve">　</w:t>
            </w:r>
          </w:p>
        </w:tc>
        <w:tc>
          <w:tcPr>
            <w:tcW w:w="2551" w:type="dxa"/>
            <w:tcBorders>
              <w:top w:val="single" w:sz="12" w:space="0" w:color="000000"/>
              <w:right w:val="single" w:sz="12" w:space="0" w:color="000000"/>
            </w:tcBorders>
            <w:shd w:val="clear" w:color="auto" w:fill="D9D9D9"/>
            <w:tcMar>
              <w:top w:w="0" w:type="dxa"/>
              <w:left w:w="99" w:type="dxa"/>
              <w:bottom w:w="0" w:type="dxa"/>
              <w:right w:w="99" w:type="dxa"/>
            </w:tcMar>
            <w:vAlign w:val="bottom"/>
          </w:tcPr>
          <w:p w14:paraId="236C7020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Partial Nephrectomy</w:t>
            </w:r>
          </w:p>
        </w:tc>
      </w:tr>
      <w:tr w:rsidR="00CC2034" w14:paraId="0F5476C5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8F794D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Number of patients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02D8014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C97318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24</w:t>
            </w:r>
          </w:p>
        </w:tc>
      </w:tr>
      <w:tr w:rsidR="00CC2034" w14:paraId="33594867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5D0BC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Age at surgery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A9AA612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9E1B7EA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60.5 ± 12.1</w:t>
            </w:r>
          </w:p>
        </w:tc>
      </w:tr>
      <w:tr w:rsidR="00CC2034" w14:paraId="57003AD8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 w:val="restart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33B5A55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 xml:space="preserve">Sex　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7052A3A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Male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C31A127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17</w:t>
            </w:r>
          </w:p>
        </w:tc>
      </w:tr>
      <w:tr w:rsidR="00CC2034" w14:paraId="62E969C8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EDE5CF7" w14:textId="77777777" w:rsidR="00CC2034" w:rsidRDefault="00CC2034">
            <w:pPr>
              <w:spacing w:line="480" w:lineRule="auto"/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3A14A2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Female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A736A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7</w:t>
            </w:r>
          </w:p>
        </w:tc>
      </w:tr>
      <w:tr w:rsidR="00CC2034" w14:paraId="791B8779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F8BFCD1" w14:textId="77777777" w:rsidR="00CC2034" w:rsidRDefault="00000000">
            <w:pPr>
              <w:pStyle w:val="NoSpacing"/>
              <w:spacing w:line="480" w:lineRule="auto"/>
            </w:pPr>
            <w:r>
              <w:rPr>
                <w:rFonts w:ascii="Malgun Gothic" w:eastAsia="Malgun Gothic" w:hAnsi="Malgun Gothic" w:cs="Malgun Gothic"/>
              </w:rPr>
              <w:t>BMI (kg/m</w:t>
            </w:r>
            <w:r>
              <w:rPr>
                <w:rFonts w:ascii="Malgun Gothic" w:eastAsia="Malgun Gothic" w:hAnsi="Malgun Gothic" w:cs="Malgun Gothic"/>
                <w:vertAlign w:val="superscript"/>
              </w:rPr>
              <w:t>2</w:t>
            </w:r>
            <w:r>
              <w:rPr>
                <w:rFonts w:ascii="Malgun Gothic" w:eastAsia="Malgun Gothic" w:hAnsi="Malgun Gothic" w:cs="Malgun Gothic"/>
              </w:rPr>
              <w:t>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86EABA1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8BB00D4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25.0 ± 3.5</w:t>
            </w:r>
          </w:p>
        </w:tc>
      </w:tr>
      <w:tr w:rsidR="00CC2034" w14:paraId="36317525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0293195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Preoperative GFR (ml/min)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5FE816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5576E5A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88.7 ± 12.1</w:t>
            </w:r>
          </w:p>
        </w:tc>
      </w:tr>
      <w:tr w:rsidR="00CC2034" w14:paraId="6DD333BE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67EF6C" w14:textId="77777777" w:rsidR="00CC2034" w:rsidRDefault="00000000">
            <w:pPr>
              <w:pStyle w:val="NoSpacing"/>
              <w:spacing w:line="480" w:lineRule="auto"/>
            </w:pPr>
            <w:r>
              <w:rPr>
                <w:rFonts w:ascii="Malgun Gothic" w:eastAsia="Malgun Gothic" w:hAnsi="Malgun Gothic" w:cs="Malgun Gothic"/>
              </w:rPr>
              <w:t>Change in eGFR</w:t>
            </w:r>
            <w:r>
              <w:rPr>
                <w:rFonts w:ascii="Malgun Gothic" w:eastAsia="Malgun Gothic" w:hAnsi="Malgun Gothic" w:cs="Malgun Gothic"/>
              </w:rPr>
              <w:br/>
              <w:t>(immediate postoperative, mL/min)</w:t>
            </w:r>
            <w:r>
              <w:rPr>
                <w:rFonts w:ascii="Malgun Gothic" w:eastAsia="Malgun Gothic" w:hAnsi="Malgun Gothic" w:cs="Malgun Gothic"/>
                <w:vertAlign w:val="superscript"/>
              </w:rPr>
              <w:t>1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858DA0E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3B1FA11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-9.4 ± 11.7</w:t>
            </w:r>
          </w:p>
        </w:tc>
      </w:tr>
      <w:tr w:rsidR="00CC2034" w14:paraId="1C451BD3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A74EA7F" w14:textId="77777777" w:rsidR="00CC2034" w:rsidRDefault="00000000">
            <w:pPr>
              <w:pStyle w:val="NoSpacing"/>
              <w:spacing w:line="480" w:lineRule="auto"/>
            </w:pPr>
            <w:r>
              <w:rPr>
                <w:rFonts w:ascii="Malgun Gothic" w:eastAsia="Malgun Gothic" w:hAnsi="Malgun Gothic" w:cs="Malgun Gothic"/>
              </w:rPr>
              <w:t>Change in eGFR (postoperative, mL/min)</w:t>
            </w:r>
            <w:r>
              <w:rPr>
                <w:rFonts w:ascii="Malgun Gothic" w:eastAsia="Malgun Gothic" w:hAnsi="Malgun Gothic" w:cs="Malgun Gothic"/>
                <w:vertAlign w:val="superscript"/>
              </w:rPr>
              <w:t>2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254E852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E6177F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-5.3 ± 13.7</w:t>
            </w:r>
          </w:p>
        </w:tc>
      </w:tr>
      <w:tr w:rsidR="00CC2034" w14:paraId="3AEDF49E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492B3F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Preoperative Hb (g/dl)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C0CCF33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275C406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13.9 ± 1.3</w:t>
            </w:r>
          </w:p>
        </w:tc>
      </w:tr>
      <w:tr w:rsidR="00CC2034" w14:paraId="29ED44BC" w14:textId="77777777">
        <w:tblPrEx>
          <w:tblCellMar>
            <w:top w:w="0" w:type="dxa"/>
            <w:bottom w:w="0" w:type="dxa"/>
          </w:tblCellMar>
        </w:tblPrEx>
        <w:trPr>
          <w:trHeight w:val="158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5CE3474" w14:textId="77777777" w:rsidR="00CC2034" w:rsidRDefault="00000000">
            <w:pPr>
              <w:pStyle w:val="NoSpacing"/>
              <w:spacing w:line="480" w:lineRule="auto"/>
            </w:pPr>
            <w:r>
              <w:rPr>
                <w:rFonts w:ascii="Malgun Gothic" w:eastAsia="Malgun Gothic" w:hAnsi="Malgun Gothic" w:cs="Malgun Gothic"/>
              </w:rPr>
              <w:t>Change in Hb (postoperative, g/dL)</w:t>
            </w:r>
            <w:r>
              <w:rPr>
                <w:rFonts w:ascii="Malgun Gothic" w:eastAsia="Malgun Gothic" w:hAnsi="Malgun Gothic" w:cs="Malgun Gothic"/>
                <w:vertAlign w:val="superscript"/>
              </w:rPr>
              <w:t>3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2BF24EC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9F86952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-1.9 ± 0.5</w:t>
            </w:r>
          </w:p>
        </w:tc>
      </w:tr>
      <w:tr w:rsidR="00CC2034" w14:paraId="7739A1F3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E72A0E3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Ischemia time (min)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E92EDF8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5C02433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21.3 ± 10.7</w:t>
            </w:r>
          </w:p>
        </w:tc>
      </w:tr>
      <w:tr w:rsidR="00CC2034" w14:paraId="2A374FD8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06D6E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Operative time (min)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6FE817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E27716D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197.3 ± 79.5</w:t>
            </w:r>
          </w:p>
        </w:tc>
      </w:tr>
      <w:tr w:rsidR="00CC2034" w14:paraId="4B779AB4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6FEE4D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Console time (min)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9ED27F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6FE0E4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134.1 ± 74.8</w:t>
            </w:r>
          </w:p>
        </w:tc>
      </w:tr>
      <w:tr w:rsidR="00CC2034" w14:paraId="4EB2C480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676D976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EBL (ml)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8815730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4FAA5AD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319.4 ± 257.3</w:t>
            </w:r>
          </w:p>
        </w:tc>
      </w:tr>
      <w:tr w:rsidR="00CC2034" w14:paraId="0A2C91E5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B2936A5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Intraoperative transfusion, n (%)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22311B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5C2B87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0 (0)</w:t>
            </w:r>
          </w:p>
        </w:tc>
      </w:tr>
      <w:tr w:rsidR="00CC2034" w14:paraId="3FCF6321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AE5A2A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LOS (day)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69ED8A9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6EA9128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7.1 ± 1.4</w:t>
            </w:r>
          </w:p>
        </w:tc>
      </w:tr>
      <w:tr w:rsidR="00CC2034" w14:paraId="25A8F2A1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21ABA4A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lastRenderedPageBreak/>
              <w:t>Postoperative pain (NRS)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6695F6F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37EE1C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2.4 ± 0.7</w:t>
            </w:r>
          </w:p>
        </w:tc>
      </w:tr>
      <w:tr w:rsidR="00CC2034" w14:paraId="09469391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D70C1B5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Postoperative complications, n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9C437F0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7A2BD58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0</w:t>
            </w:r>
          </w:p>
        </w:tc>
      </w:tr>
      <w:tr w:rsidR="00CC2034" w14:paraId="025EC1D4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397D6CC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Gas out (postoperative day)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31847FF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58ECD16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1.8 ± 0.7</w:t>
            </w:r>
          </w:p>
        </w:tc>
      </w:tr>
      <w:tr w:rsidR="00CC2034" w14:paraId="000F4B9C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top w:val="single" w:sz="4" w:space="0" w:color="000000"/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83E86CF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Positive surgical margins, n (%)</w:t>
            </w:r>
          </w:p>
        </w:tc>
        <w:tc>
          <w:tcPr>
            <w:tcW w:w="113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1C66DCB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46EF73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0</w:t>
            </w:r>
          </w:p>
        </w:tc>
      </w:tr>
      <w:tr w:rsidR="00CC2034" w14:paraId="5558396D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 w:val="restart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5D4437C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 xml:space="preserve">Tumor histopathology type, n (%)　　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B2DE582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Clear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ACA7E33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17 (70.8%)</w:t>
            </w:r>
          </w:p>
        </w:tc>
      </w:tr>
      <w:tr w:rsidR="00CC2034" w14:paraId="13EB1DB8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49FEEB4" w14:textId="77777777" w:rsidR="00CC2034" w:rsidRDefault="00CC2034">
            <w:pPr>
              <w:spacing w:line="480" w:lineRule="auto"/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6953CA4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Papillary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64443D5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4 (16.7%)</w:t>
            </w:r>
          </w:p>
        </w:tc>
      </w:tr>
      <w:tr w:rsidR="00CC2034" w14:paraId="6331B3CB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DDFDF6E" w14:textId="77777777" w:rsidR="00CC2034" w:rsidRDefault="00CC2034">
            <w:pPr>
              <w:spacing w:line="480" w:lineRule="auto"/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08B52A8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AML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BEECCC1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2 (8.3%)</w:t>
            </w:r>
          </w:p>
        </w:tc>
      </w:tr>
      <w:tr w:rsidR="00CC2034" w14:paraId="5370B799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4CB6EFB" w14:textId="77777777" w:rsidR="00CC2034" w:rsidRDefault="00CC2034">
            <w:pPr>
              <w:spacing w:line="480" w:lineRule="auto"/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B6D4CCF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Others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B284875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 (4.2%)</w:t>
            </w:r>
          </w:p>
        </w:tc>
      </w:tr>
      <w:tr w:rsidR="00CC2034" w14:paraId="64A71B9E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640559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Tumor size (cm)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D20D9CD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05053A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3.6 ± 1.9</w:t>
            </w:r>
          </w:p>
        </w:tc>
      </w:tr>
      <w:tr w:rsidR="00CC2034" w14:paraId="6367A065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 w:val="restart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9DB5B54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 xml:space="preserve">Tumor location　　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F4BAB09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UP</w:t>
            </w:r>
          </w:p>
        </w:tc>
        <w:tc>
          <w:tcPr>
            <w:tcW w:w="2551" w:type="dxa"/>
            <w:tcBorders>
              <w:top w:val="single" w:sz="4" w:space="0" w:color="000000"/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44ED6C7C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7 (29.2%)</w:t>
            </w:r>
          </w:p>
        </w:tc>
      </w:tr>
      <w:tr w:rsidR="00CC2034" w14:paraId="73A25F5C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19812A3F" w14:textId="77777777" w:rsidR="00CC2034" w:rsidRDefault="00CC2034">
            <w:pPr>
              <w:spacing w:line="480" w:lineRule="auto"/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B3E676A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MP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4120DA5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10 (41.7%)</w:t>
            </w:r>
          </w:p>
        </w:tc>
      </w:tr>
      <w:tr w:rsidR="00CC2034" w14:paraId="6F1CD3BB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vMerge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7314655" w14:textId="77777777" w:rsidR="00CC2034" w:rsidRDefault="00CC2034">
            <w:pPr>
              <w:spacing w:line="480" w:lineRule="auto"/>
            </w:pP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7863F2B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LP</w:t>
            </w: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D63F78E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7 (29.2%)</w:t>
            </w:r>
          </w:p>
        </w:tc>
      </w:tr>
      <w:tr w:rsidR="00CC2034" w14:paraId="4B5F5BAA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3FF3A246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Clinical stage cT1a–b, n (%)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0A51C4B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93B19F3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24</w:t>
            </w:r>
          </w:p>
        </w:tc>
      </w:tr>
      <w:tr w:rsidR="00CC2034" w14:paraId="62BFABC2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44C6CA4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Nephrometry score (median)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22F087ED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009B595B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7</w:t>
            </w:r>
          </w:p>
        </w:tc>
      </w:tr>
      <w:tr w:rsidR="00CC2034" w14:paraId="666E27CB" w14:textId="77777777">
        <w:tblPrEx>
          <w:tblCellMar>
            <w:top w:w="0" w:type="dxa"/>
            <w:bottom w:w="0" w:type="dxa"/>
          </w:tblCellMar>
        </w:tblPrEx>
        <w:trPr>
          <w:trHeight w:val="330"/>
        </w:trPr>
        <w:tc>
          <w:tcPr>
            <w:tcW w:w="4947" w:type="dxa"/>
            <w:tcBorders>
              <w:left w:val="single" w:sz="12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6E2D180D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Nephrometry score H, n (%)</w:t>
            </w:r>
          </w:p>
        </w:tc>
        <w:tc>
          <w:tcPr>
            <w:tcW w:w="1134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300A993" w14:textId="77777777" w:rsidR="00CC2034" w:rsidRDefault="00CC2034">
            <w:pPr>
              <w:pStyle w:val="NoSpacing"/>
              <w:spacing w:line="480" w:lineRule="auto"/>
            </w:pPr>
          </w:p>
        </w:tc>
        <w:tc>
          <w:tcPr>
            <w:tcW w:w="2551" w:type="dxa"/>
            <w:tcBorders>
              <w:bottom w:val="single" w:sz="4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99" w:type="dxa"/>
              <w:bottom w:w="0" w:type="dxa"/>
              <w:right w:w="99" w:type="dxa"/>
            </w:tcMar>
            <w:vAlign w:val="center"/>
          </w:tcPr>
          <w:p w14:paraId="5B765A2C" w14:textId="77777777" w:rsidR="00CC2034" w:rsidRDefault="00000000">
            <w:pPr>
              <w:pStyle w:val="NoSpacing"/>
              <w:spacing w:line="480" w:lineRule="auto"/>
              <w:rPr>
                <w:rFonts w:ascii="Malgun Gothic" w:eastAsia="Malgun Gothic" w:hAnsi="Malgun Gothic" w:cs="Malgun Gothic"/>
              </w:rPr>
            </w:pPr>
            <w:r>
              <w:rPr>
                <w:rFonts w:ascii="Malgun Gothic" w:eastAsia="Malgun Gothic" w:hAnsi="Malgun Gothic" w:cs="Malgun Gothic"/>
              </w:rPr>
              <w:t>4</w:t>
            </w:r>
          </w:p>
        </w:tc>
      </w:tr>
    </w:tbl>
    <w:p w14:paraId="2AF98079" w14:textId="77777777" w:rsidR="00CC2034" w:rsidRDefault="00000000">
      <w:pPr>
        <w:pStyle w:val="NoSpacing"/>
        <w:spacing w:line="480" w:lineRule="auto"/>
      </w:pPr>
      <w:r>
        <w:rPr>
          <w:rFonts w:ascii="Malgun Gothic" w:eastAsia="Malgun Gothic" w:hAnsi="Malgun Gothic" w:cs="Malgun Gothic"/>
        </w:rPr>
        <w:t xml:space="preserve">BMI, body mass index; eGFR, estimated glomerular filtration rate; EBL, estimated blood loss; LOS, length of stay; </w:t>
      </w:r>
      <w:r>
        <w:rPr>
          <w:rFonts w:ascii="Segoe UI" w:eastAsia="Segoe UI" w:hAnsi="Segoe UI" w:cs="Segoe UI"/>
        </w:rPr>
        <w:t>Hb, hemoglobin</w:t>
      </w:r>
      <w:r>
        <w:rPr>
          <w:rFonts w:ascii="Malgun Gothic" w:eastAsia="Malgun Gothic" w:hAnsi="Malgun Gothic" w:cs="Malgun Gothic"/>
        </w:rPr>
        <w:t>; AML, angiomyolipoma; UP upper pole; MP, mid-pole; LP, lower pole of the kidney; H (hilum), tumors contacting the main renal artery or vein.</w:t>
      </w:r>
    </w:p>
    <w:p w14:paraId="40C260BF" w14:textId="77777777" w:rsidR="00CC2034" w:rsidRDefault="00000000">
      <w:pPr>
        <w:pStyle w:val="NoSpacing"/>
        <w:spacing w:line="480" w:lineRule="auto"/>
        <w:ind w:left="100" w:hanging="100"/>
      </w:pPr>
      <w:r>
        <w:rPr>
          <w:rFonts w:ascii="Malgun Gothic" w:eastAsia="Malgun Gothic" w:hAnsi="Malgun Gothic" w:cs="Malgun Gothic"/>
          <w:vertAlign w:val="superscript"/>
        </w:rPr>
        <w:t>1</w:t>
      </w:r>
      <w:r>
        <w:rPr>
          <w:rFonts w:ascii="Malgun Gothic" w:eastAsia="Malgun Gothic" w:hAnsi="Malgun Gothic" w:cs="Malgun Gothic"/>
        </w:rPr>
        <w:t>Change in eGFR (immediate postoperative) was calculated as: eGFR at post-anesthesia care unit(PACU) minus preoperative eGFR</w:t>
      </w:r>
    </w:p>
    <w:p w14:paraId="7C066177" w14:textId="77777777" w:rsidR="00CC2034" w:rsidRDefault="00000000">
      <w:pPr>
        <w:pStyle w:val="NoSpacing"/>
        <w:spacing w:line="480" w:lineRule="auto"/>
      </w:pPr>
      <w:r>
        <w:rPr>
          <w:rFonts w:ascii="Malgun Gothic" w:eastAsia="Malgun Gothic" w:hAnsi="Malgun Gothic" w:cs="Malgun Gothic"/>
          <w:vertAlign w:val="superscript"/>
        </w:rPr>
        <w:lastRenderedPageBreak/>
        <w:t>2</w:t>
      </w:r>
      <w:r>
        <w:rPr>
          <w:rFonts w:ascii="Malgun Gothic" w:eastAsia="Malgun Gothic" w:hAnsi="Malgun Gothic" w:cs="Malgun Gothic"/>
        </w:rPr>
        <w:t>Change in eGFR (postoperative) was defined as: eGFR at discharge minus preoperative eGFR</w:t>
      </w:r>
    </w:p>
    <w:p w14:paraId="1BD60985" w14:textId="77777777" w:rsidR="00CC2034" w:rsidRDefault="00000000">
      <w:pPr>
        <w:pStyle w:val="NoSpacing"/>
        <w:spacing w:line="480" w:lineRule="auto"/>
      </w:pPr>
      <w:r>
        <w:rPr>
          <w:rFonts w:ascii="Malgun Gothic" w:eastAsia="Malgun Gothic" w:hAnsi="Malgun Gothic" w:cs="Malgun Gothic"/>
          <w:vertAlign w:val="superscript"/>
        </w:rPr>
        <w:t>3</w:t>
      </w:r>
      <w:r>
        <w:rPr>
          <w:rFonts w:ascii="Malgun Gothic" w:eastAsia="Malgun Gothic" w:hAnsi="Malgun Gothic" w:cs="Malgun Gothic"/>
        </w:rPr>
        <w:t>Change in Hb was calculated as: Postoperative hemoglobin minus preoperative hemoglobin</w:t>
      </w:r>
    </w:p>
    <w:p w14:paraId="7D37ED62" w14:textId="77777777" w:rsidR="00CC2034" w:rsidRDefault="00CC2034"/>
    <w:sectPr w:rsidR="00CC2034">
      <w:pgSz w:w="11906" w:h="16838"/>
      <w:pgMar w:top="1440" w:right="1080" w:bottom="1440" w:left="1080" w:header="720" w:footer="720" w:gutter="0"/>
      <w:lnNumType w:countBy="1" w:distance="180" w:restart="continuous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E7E57A7" w14:textId="77777777" w:rsidR="008B1AA5" w:rsidRDefault="008B1AA5">
      <w:pPr>
        <w:spacing w:after="0" w:line="240" w:lineRule="auto"/>
      </w:pPr>
      <w:r>
        <w:separator/>
      </w:r>
    </w:p>
  </w:endnote>
  <w:endnote w:type="continuationSeparator" w:id="0">
    <w:p w14:paraId="206EAE06" w14:textId="77777777" w:rsidR="008B1AA5" w:rsidRDefault="008B1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51E79" w14:textId="77777777" w:rsidR="008B1AA5" w:rsidRDefault="008B1AA5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5DBD0E5D" w14:textId="77777777" w:rsidR="008B1AA5" w:rsidRDefault="008B1AA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CC2034"/>
    <w:rsid w:val="00125921"/>
    <w:rsid w:val="007C78AD"/>
    <w:rsid w:val="008B1AA5"/>
    <w:rsid w:val="00CC20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4D569D"/>
  <w15:docId w15:val="{15F50AA4-50D1-4CEB-A21C-D84A8A46EC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Aptos" w:hAnsi="Aptos" w:cs="Times New Roman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uppressAutoHyphens/>
      <w:spacing w:line="256" w:lineRule="auto"/>
      <w:jc w:val="both"/>
    </w:pPr>
    <w:rPr>
      <w:rFonts w:eastAsia="Times New Roman"/>
      <w:sz w:val="20"/>
      <w:szCs w:val="22"/>
      <w:lang w:eastAsia="ko-KR"/>
    </w:rPr>
  </w:style>
  <w:style w:type="paragraph" w:styleId="Heading1">
    <w:name w:val="heading 1"/>
    <w:basedOn w:val="Normal"/>
    <w:next w:val="Normal"/>
    <w:uiPriority w:val="9"/>
    <w:qFormat/>
    <w:pPr>
      <w:keepNext/>
      <w:keepLines/>
      <w:widowControl/>
      <w:spacing w:before="360" w:after="80" w:line="276" w:lineRule="auto"/>
      <w:jc w:val="left"/>
      <w:outlineLvl w:val="0"/>
    </w:pPr>
    <w:rPr>
      <w:rFonts w:ascii="Aptos Display" w:hAnsi="Aptos Display"/>
      <w:color w:val="0F4761"/>
      <w:sz w:val="40"/>
      <w:szCs w:val="40"/>
      <w:lang w:eastAsia="en-US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1"/>
    </w:pPr>
    <w:rPr>
      <w:rFonts w:ascii="Aptos Display" w:hAnsi="Aptos Display"/>
      <w:color w:val="0F4761"/>
      <w:sz w:val="32"/>
      <w:szCs w:val="32"/>
      <w:lang w:eastAsia="en-US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widowControl/>
      <w:spacing w:before="160" w:after="80" w:line="276" w:lineRule="auto"/>
      <w:jc w:val="left"/>
      <w:outlineLvl w:val="2"/>
    </w:pPr>
    <w:rPr>
      <w:color w:val="0F4761"/>
      <w:sz w:val="28"/>
      <w:szCs w:val="28"/>
      <w:lang w:eastAsia="en-US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3"/>
    </w:pPr>
    <w:rPr>
      <w:i/>
      <w:iCs/>
      <w:color w:val="0F4761"/>
      <w:sz w:val="24"/>
      <w:szCs w:val="24"/>
      <w:lang w:eastAsia="en-US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widowControl/>
      <w:spacing w:before="80" w:after="40" w:line="276" w:lineRule="auto"/>
      <w:jc w:val="left"/>
      <w:outlineLvl w:val="4"/>
    </w:pPr>
    <w:rPr>
      <w:color w:val="0F4761"/>
      <w:sz w:val="24"/>
      <w:szCs w:val="24"/>
      <w:lang w:eastAsia="en-US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widowControl/>
      <w:spacing w:before="40" w:after="0" w:line="276" w:lineRule="auto"/>
      <w:jc w:val="left"/>
      <w:outlineLvl w:val="5"/>
    </w:pPr>
    <w:rPr>
      <w:i/>
      <w:iCs/>
      <w:color w:val="595959"/>
      <w:sz w:val="24"/>
      <w:szCs w:val="24"/>
      <w:lang w:eastAsia="en-US"/>
    </w:rPr>
  </w:style>
  <w:style w:type="paragraph" w:styleId="Heading7">
    <w:name w:val="heading 7"/>
    <w:basedOn w:val="Normal"/>
    <w:next w:val="Normal"/>
    <w:pPr>
      <w:keepNext/>
      <w:keepLines/>
      <w:widowControl/>
      <w:spacing w:before="40" w:after="0" w:line="276" w:lineRule="auto"/>
      <w:jc w:val="left"/>
      <w:outlineLvl w:val="6"/>
    </w:pPr>
    <w:rPr>
      <w:color w:val="595959"/>
      <w:sz w:val="24"/>
      <w:szCs w:val="24"/>
      <w:lang w:eastAsia="en-US"/>
    </w:rPr>
  </w:style>
  <w:style w:type="paragraph" w:styleId="Heading8">
    <w:name w:val="heading 8"/>
    <w:basedOn w:val="Normal"/>
    <w:next w:val="Normal"/>
    <w:pPr>
      <w:keepNext/>
      <w:keepLines/>
      <w:widowControl/>
      <w:spacing w:after="0" w:line="276" w:lineRule="auto"/>
      <w:jc w:val="left"/>
      <w:outlineLvl w:val="7"/>
    </w:pPr>
    <w:rPr>
      <w:i/>
      <w:iCs/>
      <w:color w:val="272727"/>
      <w:sz w:val="24"/>
      <w:szCs w:val="24"/>
      <w:lang w:eastAsia="en-US"/>
    </w:rPr>
  </w:style>
  <w:style w:type="paragraph" w:styleId="Heading9">
    <w:name w:val="heading 9"/>
    <w:basedOn w:val="Normal"/>
    <w:next w:val="Normal"/>
    <w:pPr>
      <w:keepNext/>
      <w:keepLines/>
      <w:widowControl/>
      <w:spacing w:after="0" w:line="276" w:lineRule="auto"/>
      <w:jc w:val="left"/>
      <w:outlineLvl w:val="8"/>
    </w:pPr>
    <w:rPr>
      <w:color w:val="272727"/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rPr>
      <w:rFonts w:ascii="Aptos Display" w:eastAsia="Times New Roman" w:hAnsi="Aptos Display" w:cs="Times New Roman"/>
      <w:color w:val="0F4761"/>
      <w:sz w:val="40"/>
      <w:szCs w:val="40"/>
    </w:rPr>
  </w:style>
  <w:style w:type="character" w:customStyle="1" w:styleId="Heading2Char">
    <w:name w:val="Heading 2 Char"/>
    <w:basedOn w:val="DefaultParagraphFont"/>
    <w:rPr>
      <w:rFonts w:ascii="Aptos Display" w:eastAsia="Times New Roman" w:hAnsi="Aptos Display" w:cs="Times New Roman"/>
      <w:color w:val="0F4761"/>
      <w:sz w:val="32"/>
      <w:szCs w:val="32"/>
    </w:rPr>
  </w:style>
  <w:style w:type="character" w:customStyle="1" w:styleId="Heading3Char">
    <w:name w:val="Heading 3 Char"/>
    <w:basedOn w:val="DefaultParagraphFont"/>
    <w:rPr>
      <w:rFonts w:eastAsia="Times New Roman" w:cs="Times New Roman"/>
      <w:color w:val="0F4761"/>
      <w:sz w:val="28"/>
      <w:szCs w:val="28"/>
    </w:rPr>
  </w:style>
  <w:style w:type="character" w:customStyle="1" w:styleId="Heading4Char">
    <w:name w:val="Heading 4 Char"/>
    <w:basedOn w:val="DefaultParagraphFont"/>
    <w:rPr>
      <w:rFonts w:eastAsia="Times New Roman" w:cs="Times New Roman"/>
      <w:i/>
      <w:iCs/>
      <w:color w:val="0F4761"/>
    </w:rPr>
  </w:style>
  <w:style w:type="character" w:customStyle="1" w:styleId="Heading5Char">
    <w:name w:val="Heading 5 Char"/>
    <w:basedOn w:val="DefaultParagraphFont"/>
    <w:rPr>
      <w:rFonts w:eastAsia="Times New Roman" w:cs="Times New Roman"/>
      <w:color w:val="0F4761"/>
    </w:rPr>
  </w:style>
  <w:style w:type="character" w:customStyle="1" w:styleId="Heading6Char">
    <w:name w:val="Heading 6 Char"/>
    <w:basedOn w:val="DefaultParagraphFont"/>
    <w:rPr>
      <w:rFonts w:eastAsia="Times New Roman" w:cs="Times New Roman"/>
      <w:i/>
      <w:iCs/>
      <w:color w:val="595959"/>
    </w:rPr>
  </w:style>
  <w:style w:type="character" w:customStyle="1" w:styleId="Heading7Char">
    <w:name w:val="Heading 7 Char"/>
    <w:basedOn w:val="DefaultParagraphFont"/>
    <w:rPr>
      <w:rFonts w:eastAsia="Times New Roman" w:cs="Times New Roman"/>
      <w:color w:val="595959"/>
    </w:rPr>
  </w:style>
  <w:style w:type="character" w:customStyle="1" w:styleId="Heading8Char">
    <w:name w:val="Heading 8 Char"/>
    <w:basedOn w:val="DefaultParagraphFont"/>
    <w:rPr>
      <w:rFonts w:eastAsia="Times New Roman" w:cs="Times New Roman"/>
      <w:i/>
      <w:iCs/>
      <w:color w:val="272727"/>
    </w:rPr>
  </w:style>
  <w:style w:type="character" w:customStyle="1" w:styleId="Heading9Char">
    <w:name w:val="Heading 9 Char"/>
    <w:basedOn w:val="DefaultParagraphFont"/>
    <w:rPr>
      <w:rFonts w:eastAsia="Times New Roman" w:cs="Times New Roman"/>
      <w:color w:val="272727"/>
    </w:rPr>
  </w:style>
  <w:style w:type="paragraph" w:styleId="Title">
    <w:name w:val="Title"/>
    <w:basedOn w:val="Normal"/>
    <w:next w:val="Normal"/>
    <w:uiPriority w:val="10"/>
    <w:qFormat/>
    <w:pPr>
      <w:widowControl/>
      <w:spacing w:after="80" w:line="240" w:lineRule="auto"/>
      <w:contextualSpacing/>
      <w:jc w:val="left"/>
    </w:pPr>
    <w:rPr>
      <w:rFonts w:ascii="Aptos Display" w:hAnsi="Aptos Display"/>
      <w:spacing w:val="-10"/>
      <w:sz w:val="56"/>
      <w:szCs w:val="56"/>
      <w:lang w:eastAsia="en-US"/>
    </w:rPr>
  </w:style>
  <w:style w:type="character" w:customStyle="1" w:styleId="TitleChar">
    <w:name w:val="Title Char"/>
    <w:basedOn w:val="DefaultParagraphFont"/>
    <w:rPr>
      <w:rFonts w:ascii="Aptos Display" w:eastAsia="Times New Roman" w:hAnsi="Aptos Display" w:cs="Times New Roman"/>
      <w:spacing w:val="-10"/>
      <w:kern w:val="3"/>
      <w:sz w:val="56"/>
      <w:szCs w:val="56"/>
    </w:rPr>
  </w:style>
  <w:style w:type="paragraph" w:styleId="Subtitle">
    <w:name w:val="Subtitle"/>
    <w:basedOn w:val="Normal"/>
    <w:next w:val="Normal"/>
    <w:uiPriority w:val="11"/>
    <w:qFormat/>
    <w:pPr>
      <w:widowControl/>
      <w:spacing w:line="276" w:lineRule="auto"/>
      <w:jc w:val="left"/>
    </w:pPr>
    <w:rPr>
      <w:color w:val="595959"/>
      <w:spacing w:val="15"/>
      <w:sz w:val="28"/>
      <w:szCs w:val="28"/>
      <w:lang w:eastAsia="en-US"/>
    </w:rPr>
  </w:style>
  <w:style w:type="character" w:customStyle="1" w:styleId="SubtitleChar">
    <w:name w:val="Subtitle Char"/>
    <w:basedOn w:val="DefaultParagraphFont"/>
    <w:rPr>
      <w:rFonts w:eastAsia="Times New Roman" w:cs="Times New Roman"/>
      <w:color w:val="595959"/>
      <w:spacing w:val="15"/>
      <w:sz w:val="28"/>
      <w:szCs w:val="28"/>
    </w:rPr>
  </w:style>
  <w:style w:type="paragraph" w:styleId="Quote">
    <w:name w:val="Quote"/>
    <w:basedOn w:val="Normal"/>
    <w:next w:val="Normal"/>
    <w:pPr>
      <w:widowControl/>
      <w:spacing w:before="160" w:line="276" w:lineRule="auto"/>
      <w:jc w:val="center"/>
    </w:pPr>
    <w:rPr>
      <w:rFonts w:eastAsia="Aptos"/>
      <w:i/>
      <w:iCs/>
      <w:color w:val="404040"/>
      <w:sz w:val="24"/>
      <w:szCs w:val="24"/>
      <w:lang w:eastAsia="en-US"/>
    </w:rPr>
  </w:style>
  <w:style w:type="character" w:customStyle="1" w:styleId="QuoteChar">
    <w:name w:val="Quote Char"/>
    <w:basedOn w:val="DefaultParagraphFont"/>
    <w:rPr>
      <w:i/>
      <w:iCs/>
      <w:color w:val="404040"/>
    </w:rPr>
  </w:style>
  <w:style w:type="paragraph" w:styleId="ListParagraph">
    <w:name w:val="List Paragraph"/>
    <w:basedOn w:val="Normal"/>
    <w:pPr>
      <w:widowControl/>
      <w:spacing w:line="276" w:lineRule="auto"/>
      <w:ind w:left="720"/>
      <w:contextualSpacing/>
      <w:jc w:val="left"/>
    </w:pPr>
    <w:rPr>
      <w:rFonts w:eastAsia="Aptos"/>
      <w:sz w:val="24"/>
      <w:szCs w:val="24"/>
      <w:lang w:eastAsia="en-US"/>
    </w:rPr>
  </w:style>
  <w:style w:type="character" w:styleId="IntenseEmphasis">
    <w:name w:val="Intense Emphasis"/>
    <w:basedOn w:val="DefaultParagraphFont"/>
    <w:rPr>
      <w:i/>
      <w:iCs/>
      <w:color w:val="0F4761"/>
    </w:rPr>
  </w:style>
  <w:style w:type="paragraph" w:styleId="IntenseQuote">
    <w:name w:val="Intense Quote"/>
    <w:basedOn w:val="Normal"/>
    <w:next w:val="Normal"/>
    <w:pPr>
      <w:widowControl/>
      <w:pBdr>
        <w:top w:val="single" w:sz="4" w:space="10" w:color="0F4761"/>
        <w:bottom w:val="single" w:sz="4" w:space="10" w:color="0F4761"/>
      </w:pBdr>
      <w:spacing w:before="360" w:after="360" w:line="276" w:lineRule="auto"/>
      <w:ind w:left="864" w:right="864"/>
      <w:jc w:val="center"/>
    </w:pPr>
    <w:rPr>
      <w:rFonts w:eastAsia="Aptos"/>
      <w:i/>
      <w:iCs/>
      <w:color w:val="0F4761"/>
      <w:sz w:val="24"/>
      <w:szCs w:val="24"/>
      <w:lang w:eastAsia="en-US"/>
    </w:rPr>
  </w:style>
  <w:style w:type="character" w:customStyle="1" w:styleId="IntenseQuoteChar">
    <w:name w:val="Intense Quote Char"/>
    <w:basedOn w:val="DefaultParagraphFont"/>
    <w:rPr>
      <w:i/>
      <w:iCs/>
      <w:color w:val="0F4761"/>
    </w:rPr>
  </w:style>
  <w:style w:type="character" w:styleId="IntenseReference">
    <w:name w:val="Intense Reference"/>
    <w:basedOn w:val="DefaultParagraphFont"/>
    <w:rPr>
      <w:b/>
      <w:bCs/>
      <w:smallCaps/>
      <w:color w:val="0F4761"/>
      <w:spacing w:val="5"/>
    </w:rPr>
  </w:style>
  <w:style w:type="paragraph" w:styleId="NoSpacing">
    <w:name w:val="No Spacing"/>
    <w:pPr>
      <w:widowControl w:val="0"/>
      <w:suppressAutoHyphens/>
      <w:spacing w:after="0" w:line="240" w:lineRule="auto"/>
      <w:jc w:val="both"/>
    </w:pPr>
    <w:rPr>
      <w:rFonts w:eastAsia="Times New Roman"/>
      <w:sz w:val="20"/>
      <w:szCs w:val="22"/>
      <w:lang w:eastAsia="ko-KR"/>
    </w:rPr>
  </w:style>
  <w:style w:type="character" w:styleId="LineNumber">
    <w:name w:val="lin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244</Words>
  <Characters>1392</Characters>
  <Application>Microsoft Office Word</Application>
  <DocSecurity>0</DocSecurity>
  <Lines>11</Lines>
  <Paragraphs>3</Paragraphs>
  <ScaleCrop>false</ScaleCrop>
  <Company>Springer Nature</Company>
  <LinksUpToDate>false</LinksUpToDate>
  <CharactersWithSpaces>1633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dc:description/>
  <cp:lastModifiedBy>Rizwan Khan</cp:lastModifiedBy>
  <cp:revision>2</cp:revision>
  <dcterms:created xsi:type="dcterms:W3CDTF">2025-07-07T06:41:00Z</dcterms:created>
  <dcterms:modified xsi:type="dcterms:W3CDTF">2025-07-07T06:41:00Z</dcterms:modified>
</cp:coreProperties>
</file>