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14CBC" w14:textId="7D1D8E9A" w:rsidR="00C628B6" w:rsidRDefault="00C628B6" w:rsidP="00C628B6">
      <w:pPr>
        <w:jc w:val="both"/>
        <w:rPr>
          <w:rFonts w:ascii="Times New Roman" w:hAnsi="Times New Roman" w:cs="Times New Roman"/>
          <w:b/>
          <w:bCs/>
          <w:sz w:val="24"/>
          <w:szCs w:val="24"/>
        </w:rPr>
      </w:pPr>
      <w:bookmarkStart w:id="0" w:name="_Hlk191031535"/>
      <w:bookmarkEnd w:id="0"/>
      <w:r w:rsidRPr="004708E1">
        <w:rPr>
          <w:rFonts w:ascii="Times New Roman" w:hAnsi="Times New Roman" w:cs="Times New Roman"/>
          <w:b/>
          <w:bCs/>
          <w:sz w:val="24"/>
          <w:szCs w:val="24"/>
        </w:rPr>
        <w:t>Extended Data</w:t>
      </w:r>
      <w:r w:rsidR="004D7027">
        <w:rPr>
          <w:rFonts w:ascii="Times New Roman" w:hAnsi="Times New Roman" w:cs="Times New Roman"/>
          <w:b/>
          <w:bCs/>
          <w:sz w:val="24"/>
          <w:szCs w:val="24"/>
        </w:rPr>
        <w:t>, Figures</w:t>
      </w:r>
      <w:r w:rsidRPr="004708E1">
        <w:rPr>
          <w:rFonts w:ascii="Times New Roman" w:hAnsi="Times New Roman" w:cs="Times New Roman"/>
          <w:b/>
          <w:bCs/>
          <w:sz w:val="24"/>
          <w:szCs w:val="24"/>
        </w:rPr>
        <w:t xml:space="preserve"> and Supporting Information</w:t>
      </w:r>
    </w:p>
    <w:p w14:paraId="71F4B682" w14:textId="77777777" w:rsidR="003C5531" w:rsidRPr="004708E1" w:rsidRDefault="003C5531" w:rsidP="00C628B6">
      <w:pPr>
        <w:jc w:val="both"/>
        <w:rPr>
          <w:rFonts w:ascii="Times New Roman" w:hAnsi="Times New Roman" w:cs="Times New Roman"/>
          <w:b/>
          <w:bCs/>
          <w:sz w:val="24"/>
          <w:szCs w:val="24"/>
        </w:rPr>
      </w:pPr>
    </w:p>
    <w:p w14:paraId="436CD616" w14:textId="1B8D5886" w:rsidR="00D201CF" w:rsidRPr="00BB2F78" w:rsidRDefault="00D201CF" w:rsidP="000E095E">
      <w:pPr>
        <w:pStyle w:val="Caption"/>
        <w:jc w:val="both"/>
        <w:rPr>
          <w:color w:val="000000" w:themeColor="text1"/>
        </w:rPr>
      </w:pPr>
      <w:bookmarkStart w:id="1" w:name="_Ref190332214"/>
      <w:r w:rsidRPr="00BB2F78">
        <w:rPr>
          <w:color w:val="000000" w:themeColor="text1"/>
        </w:rPr>
        <w:t xml:space="preserve">Table </w:t>
      </w:r>
      <w:r w:rsidRPr="00BB2F78">
        <w:rPr>
          <w:color w:val="000000" w:themeColor="text1"/>
        </w:rPr>
        <w:fldChar w:fldCharType="begin"/>
      </w:r>
      <w:r w:rsidRPr="00BB2F78">
        <w:rPr>
          <w:color w:val="000000" w:themeColor="text1"/>
        </w:rPr>
        <w:instrText xml:space="preserve"> SEQ Table \* ARABIC </w:instrText>
      </w:r>
      <w:r w:rsidRPr="00BB2F78">
        <w:rPr>
          <w:color w:val="000000" w:themeColor="text1"/>
        </w:rPr>
        <w:fldChar w:fldCharType="separate"/>
      </w:r>
      <w:r w:rsidRPr="00BB2F78">
        <w:rPr>
          <w:color w:val="000000" w:themeColor="text1"/>
        </w:rPr>
        <w:t>1</w:t>
      </w:r>
      <w:r w:rsidRPr="00BB2F78">
        <w:rPr>
          <w:color w:val="000000" w:themeColor="text1"/>
        </w:rPr>
        <w:fldChar w:fldCharType="end"/>
      </w:r>
      <w:bookmarkEnd w:id="1"/>
      <w:r w:rsidRPr="00BB2F78">
        <w:rPr>
          <w:color w:val="000000" w:themeColor="text1"/>
        </w:rPr>
        <w:t>: Low ratio and high ratio SAF output for each conversion pathway.</w:t>
      </w:r>
    </w:p>
    <w:tbl>
      <w:tblPr>
        <w:tblStyle w:val="ListTable2"/>
        <w:tblW w:w="0" w:type="auto"/>
        <w:tblLook w:val="0620" w:firstRow="1" w:lastRow="0" w:firstColumn="0" w:lastColumn="0" w:noHBand="1" w:noVBand="1"/>
      </w:tblPr>
      <w:tblGrid>
        <w:gridCol w:w="3685"/>
        <w:gridCol w:w="1890"/>
        <w:gridCol w:w="1350"/>
        <w:gridCol w:w="2137"/>
      </w:tblGrid>
      <w:tr w:rsidR="00D201CF" w:rsidRPr="004708E1" w14:paraId="5D5B695A" w14:textId="77777777" w:rsidTr="00AD1775">
        <w:trPr>
          <w:cnfStyle w:val="100000000000" w:firstRow="1" w:lastRow="0" w:firstColumn="0" w:lastColumn="0" w:oddVBand="0" w:evenVBand="0" w:oddHBand="0" w:evenHBand="0" w:firstRowFirstColumn="0" w:firstRowLastColumn="0" w:lastRowFirstColumn="0" w:lastRowLastColumn="0"/>
        </w:trPr>
        <w:tc>
          <w:tcPr>
            <w:tcW w:w="3685" w:type="dxa"/>
          </w:tcPr>
          <w:p w14:paraId="47F52ED4" w14:textId="1D7F360F"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Conversion pathway</w:t>
            </w:r>
          </w:p>
        </w:tc>
        <w:tc>
          <w:tcPr>
            <w:tcW w:w="1890" w:type="dxa"/>
          </w:tcPr>
          <w:p w14:paraId="2412480B" w14:textId="453685D0"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Low ratio</w:t>
            </w:r>
          </w:p>
        </w:tc>
        <w:tc>
          <w:tcPr>
            <w:tcW w:w="1350" w:type="dxa"/>
          </w:tcPr>
          <w:p w14:paraId="6C629D58"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High ratio</w:t>
            </w:r>
          </w:p>
        </w:tc>
        <w:tc>
          <w:tcPr>
            <w:tcW w:w="2137" w:type="dxa"/>
          </w:tcPr>
          <w:p w14:paraId="1E3B2086"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Source</w:t>
            </w:r>
          </w:p>
        </w:tc>
      </w:tr>
      <w:tr w:rsidR="00D201CF" w:rsidRPr="004708E1" w14:paraId="650CFC09" w14:textId="77777777" w:rsidTr="00AD1775">
        <w:trPr>
          <w:trHeight w:val="400"/>
        </w:trPr>
        <w:tc>
          <w:tcPr>
            <w:tcW w:w="3685" w:type="dxa"/>
          </w:tcPr>
          <w:p w14:paraId="16E59623"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HEFA</w:t>
            </w:r>
          </w:p>
        </w:tc>
        <w:tc>
          <w:tcPr>
            <w:tcW w:w="1890" w:type="dxa"/>
          </w:tcPr>
          <w:p w14:paraId="00BD7A89"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0.14</w:t>
            </w:r>
          </w:p>
        </w:tc>
        <w:tc>
          <w:tcPr>
            <w:tcW w:w="1350" w:type="dxa"/>
          </w:tcPr>
          <w:p w14:paraId="001287A1"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0.80</w:t>
            </w:r>
          </w:p>
        </w:tc>
        <w:tc>
          <w:tcPr>
            <w:tcW w:w="2137" w:type="dxa"/>
          </w:tcPr>
          <w:p w14:paraId="61E9E542" w14:textId="49688A12"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fldChar w:fldCharType="begin">
                <w:fldData xml:space="preserve">PEVuZE5vdGU+PENpdGU+PEF1dGhvcj5UYW56aWw8L0F1dGhvcj48WWVhcj4yMDIxPC9ZZWFyPjxS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</w:fldData>
              </w:fldChar>
            </w:r>
            <w:r w:rsidRPr="00DC63B7">
              <w:rPr>
                <w:rFonts w:ascii="Times New Roman" w:hAnsi="Times New Roman" w:cs="Times New Roman"/>
                <w:color w:val="000000" w:themeColor="text1"/>
                <w:sz w:val="20"/>
                <w:szCs w:val="20"/>
              </w:rPr>
              <w:instrText xml:space="preserve"> ADDIN EN.CITE </w:instrText>
            </w:r>
            <w:r w:rsidRPr="00DC63B7">
              <w:rPr>
                <w:rFonts w:ascii="Times New Roman" w:hAnsi="Times New Roman" w:cs="Times New Roman"/>
                <w:color w:val="000000" w:themeColor="text1"/>
                <w:sz w:val="20"/>
                <w:szCs w:val="20"/>
              </w:rPr>
              <w:fldChar w:fldCharType="begin">
                <w:fldData xml:space="preserve">PEVuZE5vdGU+PENpdGU+PEF1dGhvcj5UYW56aWw8L0F1dGhvcj48WWVhcj4yMDIxPC9ZZWFyPjxS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</w:fldData>
              </w:fldChar>
            </w:r>
            <w:r w:rsidRPr="00DC63B7">
              <w:rPr>
                <w:rFonts w:ascii="Times New Roman" w:hAnsi="Times New Roman" w:cs="Times New Roman"/>
                <w:color w:val="000000" w:themeColor="text1"/>
                <w:sz w:val="20"/>
                <w:szCs w:val="20"/>
              </w:rPr>
              <w:instrText xml:space="preserve"> ADDIN EN.CITE.DATA </w:instrText>
            </w:r>
            <w:r w:rsidRPr="00DC63B7">
              <w:rPr>
                <w:rFonts w:ascii="Times New Roman" w:hAnsi="Times New Roman" w:cs="Times New Roman"/>
                <w:color w:val="000000" w:themeColor="text1"/>
                <w:sz w:val="20"/>
                <w:szCs w:val="20"/>
              </w:rPr>
            </w:r>
            <w:r w:rsidRPr="00DC63B7">
              <w:rPr>
                <w:rFonts w:ascii="Times New Roman" w:hAnsi="Times New Roman" w:cs="Times New Roman"/>
                <w:color w:val="000000" w:themeColor="text1"/>
                <w:sz w:val="20"/>
                <w:szCs w:val="20"/>
              </w:rPr>
              <w:fldChar w:fldCharType="end"/>
            </w:r>
            <w:r w:rsidRPr="00DC63B7">
              <w:rPr>
                <w:rFonts w:ascii="Times New Roman" w:hAnsi="Times New Roman" w:cs="Times New Roman"/>
                <w:color w:val="000000" w:themeColor="text1"/>
                <w:sz w:val="20"/>
                <w:szCs w:val="20"/>
              </w:rPr>
            </w:r>
            <w:r w:rsidRPr="00DC63B7">
              <w:rPr>
                <w:rFonts w:ascii="Times New Roman" w:hAnsi="Times New Roman" w:cs="Times New Roman"/>
                <w:color w:val="000000" w:themeColor="text1"/>
                <w:sz w:val="20"/>
                <w:szCs w:val="20"/>
              </w:rPr>
              <w:fldChar w:fldCharType="separate"/>
            </w:r>
            <w:r w:rsidRPr="00DC63B7">
              <w:rPr>
                <w:rFonts w:ascii="Times New Roman" w:hAnsi="Times New Roman" w:cs="Times New Roman"/>
                <w:noProof/>
                <w:color w:val="000000" w:themeColor="text1"/>
                <w:sz w:val="20"/>
                <w:szCs w:val="20"/>
              </w:rPr>
              <w:t>[1-3]</w:t>
            </w:r>
            <w:r w:rsidRPr="00DC63B7">
              <w:rPr>
                <w:rFonts w:ascii="Times New Roman" w:hAnsi="Times New Roman" w:cs="Times New Roman"/>
                <w:color w:val="000000" w:themeColor="text1"/>
                <w:sz w:val="20"/>
                <w:szCs w:val="20"/>
              </w:rPr>
              <w:fldChar w:fldCharType="end"/>
            </w:r>
          </w:p>
        </w:tc>
      </w:tr>
      <w:tr w:rsidR="00D201CF" w:rsidRPr="004708E1" w14:paraId="014B68B8" w14:textId="77777777" w:rsidTr="00AD1775">
        <w:tc>
          <w:tcPr>
            <w:tcW w:w="3685" w:type="dxa"/>
          </w:tcPr>
          <w:p w14:paraId="3E2DDDE8"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Co-processing</w:t>
            </w:r>
          </w:p>
        </w:tc>
        <w:tc>
          <w:tcPr>
            <w:tcW w:w="1890" w:type="dxa"/>
          </w:tcPr>
          <w:p w14:paraId="00A6D1B2"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0.1</w:t>
            </w:r>
          </w:p>
        </w:tc>
        <w:tc>
          <w:tcPr>
            <w:tcW w:w="1350" w:type="dxa"/>
          </w:tcPr>
          <w:p w14:paraId="1AC746EC"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0.1</w:t>
            </w:r>
          </w:p>
        </w:tc>
        <w:tc>
          <w:tcPr>
            <w:tcW w:w="2137" w:type="dxa"/>
          </w:tcPr>
          <w:p w14:paraId="69F89A7C" w14:textId="233F293C"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fldChar w:fldCharType="begin"/>
            </w:r>
            <w:r w:rsidRPr="00DC63B7">
              <w:rPr>
                <w:rFonts w:ascii="Times New Roman" w:hAnsi="Times New Roman" w:cs="Times New Roman"/>
                <w:color w:val="000000" w:themeColor="text1"/>
                <w:sz w:val="20"/>
                <w:szCs w:val="20"/>
              </w:rPr>
              <w:instrText xml:space="preserve"> ADDIN EN.CITE &lt;EndNote&gt;&lt;Cite&gt;&lt;Author&gt;Airlines for America&lt;/Author&gt;&lt;Year&gt;2018&lt;/Year&gt;&lt;RecNum&gt;370&lt;/RecNum&gt;&lt;DisplayText&gt;[4]&lt;/DisplayText&gt;&lt;record&gt;&lt;rec-number&gt;370&lt;/rec-number&gt;&lt;foreign-keys&gt;&lt;key app="EN" db-id="stxeestaswddrqewfrpvpwdaprxpv55rprf9" timestamp="1736002129"&gt;370&lt;/key&gt;&lt;/foreign-keys&gt;&lt;ref-type name="Report"&gt;27&lt;/ref-type&gt;&lt;contributors&gt;&lt;authors&gt;&lt;author&gt;Airlines for America,&lt;/author&gt;&lt;/authors&gt;&lt;/contributors&gt;&lt;titles&gt;&lt;title&gt;Jet fuel: From Well to Wing&lt;/title&gt;&lt;/titles&gt;&lt;dates&gt;&lt;year&gt;2018&lt;/year&gt;&lt;/dates&gt;&lt;urls&gt;&lt;related-urls&gt;&lt;url&gt;https://www.airlines.org/wp-content/uploads/2018/01/jet-fuel-1.pdf&lt;/url&gt;&lt;/related-urls&gt;&lt;/urls&gt;&lt;/record&gt;&lt;/Cite&gt;&lt;/EndNote&gt;</w:instrText>
            </w:r>
            <w:r w:rsidRPr="00DC63B7">
              <w:rPr>
                <w:rFonts w:ascii="Times New Roman" w:hAnsi="Times New Roman" w:cs="Times New Roman"/>
                <w:color w:val="000000" w:themeColor="text1"/>
                <w:sz w:val="20"/>
                <w:szCs w:val="20"/>
              </w:rPr>
              <w:fldChar w:fldCharType="separate"/>
            </w:r>
            <w:r w:rsidRPr="00DC63B7">
              <w:rPr>
                <w:rFonts w:ascii="Times New Roman" w:hAnsi="Times New Roman" w:cs="Times New Roman"/>
                <w:noProof/>
                <w:color w:val="000000" w:themeColor="text1"/>
                <w:sz w:val="20"/>
                <w:szCs w:val="20"/>
              </w:rPr>
              <w:t>[4]</w:t>
            </w:r>
            <w:r w:rsidRPr="00DC63B7">
              <w:rPr>
                <w:rFonts w:ascii="Times New Roman" w:hAnsi="Times New Roman" w:cs="Times New Roman"/>
                <w:color w:val="000000" w:themeColor="text1"/>
                <w:sz w:val="20"/>
                <w:szCs w:val="20"/>
              </w:rPr>
              <w:fldChar w:fldCharType="end"/>
            </w:r>
          </w:p>
        </w:tc>
      </w:tr>
      <w:tr w:rsidR="00D201CF" w:rsidRPr="004708E1" w14:paraId="5B188877" w14:textId="77777777" w:rsidTr="00AD1775">
        <w:tc>
          <w:tcPr>
            <w:tcW w:w="3685" w:type="dxa"/>
          </w:tcPr>
          <w:p w14:paraId="44FD1896"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Alcohol-to-Jet</w:t>
            </w:r>
          </w:p>
        </w:tc>
        <w:tc>
          <w:tcPr>
            <w:tcW w:w="1890" w:type="dxa"/>
          </w:tcPr>
          <w:p w14:paraId="3CA4FFBF"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0.5</w:t>
            </w:r>
          </w:p>
        </w:tc>
        <w:tc>
          <w:tcPr>
            <w:tcW w:w="1350" w:type="dxa"/>
          </w:tcPr>
          <w:p w14:paraId="20F40BBE"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0.9</w:t>
            </w:r>
          </w:p>
        </w:tc>
        <w:tc>
          <w:tcPr>
            <w:tcW w:w="2137" w:type="dxa"/>
          </w:tcPr>
          <w:p w14:paraId="4D734B31" w14:textId="7D88AD36" w:rsidR="00D201CF" w:rsidRPr="00DC63B7" w:rsidRDefault="00D201CF" w:rsidP="00AD1775">
            <w:pPr>
              <w:spacing w:after="160" w:line="259" w:lineRule="auto"/>
              <w:jc w:val="both"/>
              <w:rPr>
                <w:rFonts w:ascii="Times New Roman" w:hAnsi="Times New Roman" w:cs="Times New Roman"/>
                <w:color w:val="000000" w:themeColor="text1"/>
                <w:sz w:val="20"/>
                <w:szCs w:val="20"/>
                <w:lang w:val="es-ES"/>
              </w:rPr>
            </w:pPr>
            <w:r w:rsidRPr="00DC63B7">
              <w:rPr>
                <w:rFonts w:ascii="Times New Roman" w:hAnsi="Times New Roman" w:cs="Times New Roman"/>
                <w:color w:val="000000" w:themeColor="text1"/>
                <w:sz w:val="20"/>
                <w:szCs w:val="20"/>
                <w:lang w:val="es-ES"/>
              </w:rPr>
              <w:fldChar w:fldCharType="begin">
                <w:fldData xml:space="preserve">PEVuZE5vdGU+PENpdGU+PEF1dGhvcj5UYW56aWw8L0F1dGhvcj48WWVhcj4yMDIxPC9ZZWFyPjxS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</w:fldData>
              </w:fldChar>
            </w:r>
            <w:r w:rsidRPr="00DC63B7">
              <w:rPr>
                <w:rFonts w:ascii="Times New Roman" w:hAnsi="Times New Roman" w:cs="Times New Roman"/>
                <w:color w:val="000000" w:themeColor="text1"/>
                <w:sz w:val="20"/>
                <w:szCs w:val="20"/>
                <w:lang w:val="es-ES"/>
              </w:rPr>
              <w:instrText xml:space="preserve"> ADDIN EN.CITE </w:instrText>
            </w:r>
            <w:r w:rsidRPr="00DC63B7">
              <w:rPr>
                <w:rFonts w:ascii="Times New Roman" w:hAnsi="Times New Roman" w:cs="Times New Roman"/>
                <w:color w:val="000000" w:themeColor="text1"/>
                <w:sz w:val="20"/>
                <w:szCs w:val="20"/>
                <w:lang w:val="es-ES"/>
              </w:rPr>
              <w:fldChar w:fldCharType="begin">
                <w:fldData xml:space="preserve">PEVuZE5vdGU+PENpdGU+PEF1dGhvcj5UYW56aWw8L0F1dGhvcj48WWVhcj4yMDIxPC9ZZWFyPjxS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</w:fldData>
              </w:fldChar>
            </w:r>
            <w:r w:rsidRPr="00DC63B7">
              <w:rPr>
                <w:rFonts w:ascii="Times New Roman" w:hAnsi="Times New Roman" w:cs="Times New Roman"/>
                <w:color w:val="000000" w:themeColor="text1"/>
                <w:sz w:val="20"/>
                <w:szCs w:val="20"/>
                <w:lang w:val="es-ES"/>
              </w:rPr>
              <w:instrText xml:space="preserve"> ADDIN EN.CITE.DATA </w:instrText>
            </w:r>
            <w:r w:rsidRPr="00DC63B7">
              <w:rPr>
                <w:rFonts w:ascii="Times New Roman" w:hAnsi="Times New Roman" w:cs="Times New Roman"/>
                <w:color w:val="000000" w:themeColor="text1"/>
                <w:sz w:val="20"/>
                <w:szCs w:val="20"/>
                <w:lang w:val="es-ES"/>
              </w:rPr>
            </w:r>
            <w:r w:rsidRPr="00DC63B7">
              <w:rPr>
                <w:rFonts w:ascii="Times New Roman" w:hAnsi="Times New Roman" w:cs="Times New Roman"/>
                <w:color w:val="000000" w:themeColor="text1"/>
                <w:sz w:val="20"/>
                <w:szCs w:val="20"/>
                <w:lang w:val="es-ES"/>
              </w:rPr>
              <w:fldChar w:fldCharType="end"/>
            </w:r>
            <w:r w:rsidRPr="00DC63B7">
              <w:rPr>
                <w:rFonts w:ascii="Times New Roman" w:hAnsi="Times New Roman" w:cs="Times New Roman"/>
                <w:color w:val="000000" w:themeColor="text1"/>
                <w:sz w:val="20"/>
                <w:szCs w:val="20"/>
                <w:lang w:val="es-ES"/>
              </w:rPr>
            </w:r>
            <w:r w:rsidRPr="00DC63B7">
              <w:rPr>
                <w:rFonts w:ascii="Times New Roman" w:hAnsi="Times New Roman" w:cs="Times New Roman"/>
                <w:color w:val="000000" w:themeColor="text1"/>
                <w:sz w:val="20"/>
                <w:szCs w:val="20"/>
                <w:lang w:val="es-ES"/>
              </w:rPr>
              <w:fldChar w:fldCharType="separate"/>
            </w:r>
            <w:r w:rsidRPr="00DC63B7">
              <w:rPr>
                <w:rFonts w:ascii="Times New Roman" w:hAnsi="Times New Roman" w:cs="Times New Roman"/>
                <w:noProof/>
                <w:color w:val="000000" w:themeColor="text1"/>
                <w:sz w:val="20"/>
                <w:szCs w:val="20"/>
                <w:lang w:val="es-ES"/>
              </w:rPr>
              <w:t>[1, 5-7]</w:t>
            </w:r>
            <w:r w:rsidRPr="00DC63B7">
              <w:rPr>
                <w:rFonts w:ascii="Times New Roman" w:hAnsi="Times New Roman" w:cs="Times New Roman"/>
                <w:color w:val="000000" w:themeColor="text1"/>
                <w:sz w:val="20"/>
                <w:szCs w:val="20"/>
              </w:rPr>
              <w:fldChar w:fldCharType="end"/>
            </w:r>
          </w:p>
        </w:tc>
      </w:tr>
      <w:tr w:rsidR="00D201CF" w:rsidRPr="004708E1" w14:paraId="4833C915" w14:textId="77777777" w:rsidTr="00AD1775">
        <w:tc>
          <w:tcPr>
            <w:tcW w:w="3685" w:type="dxa"/>
          </w:tcPr>
          <w:p w14:paraId="57382C20"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Fischer-Tropsch</w:t>
            </w:r>
          </w:p>
        </w:tc>
        <w:tc>
          <w:tcPr>
            <w:tcW w:w="1890" w:type="dxa"/>
          </w:tcPr>
          <w:p w14:paraId="21019ADF" w14:textId="69269500"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0.4</w:t>
            </w:r>
          </w:p>
        </w:tc>
        <w:tc>
          <w:tcPr>
            <w:tcW w:w="1350" w:type="dxa"/>
          </w:tcPr>
          <w:p w14:paraId="559F2F48"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0.73</w:t>
            </w:r>
          </w:p>
        </w:tc>
        <w:tc>
          <w:tcPr>
            <w:tcW w:w="2137" w:type="dxa"/>
          </w:tcPr>
          <w:p w14:paraId="56E5C7EE" w14:textId="122CB5FF"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fldChar w:fldCharType="begin">
                <w:fldData xml:space="preserve">PEVuZE5vdGU+PENpdGU+PEF1dGhvcj5UYW56aWw8L0F1dGhvcj48WWVhcj4yMDIxPC9ZZWFyPjxS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</w:fldData>
              </w:fldChar>
            </w:r>
            <w:r w:rsidRPr="00DC63B7">
              <w:rPr>
                <w:rFonts w:ascii="Times New Roman" w:hAnsi="Times New Roman" w:cs="Times New Roman"/>
                <w:color w:val="000000" w:themeColor="text1"/>
                <w:sz w:val="20"/>
                <w:szCs w:val="20"/>
              </w:rPr>
              <w:instrText xml:space="preserve"> ADDIN EN.CITE </w:instrText>
            </w:r>
            <w:r w:rsidRPr="00DC63B7">
              <w:rPr>
                <w:rFonts w:ascii="Times New Roman" w:hAnsi="Times New Roman" w:cs="Times New Roman"/>
                <w:color w:val="000000" w:themeColor="text1"/>
                <w:sz w:val="20"/>
                <w:szCs w:val="20"/>
              </w:rPr>
              <w:fldChar w:fldCharType="begin">
                <w:fldData xml:space="preserve">PEVuZE5vdGU+PENpdGU+PEF1dGhvcj5UYW56aWw8L0F1dGhvcj48WWVhcj4yMDIxPC9ZZWFyPjxS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</w:fldData>
              </w:fldChar>
            </w:r>
            <w:r w:rsidRPr="00DC63B7">
              <w:rPr>
                <w:rFonts w:ascii="Times New Roman" w:hAnsi="Times New Roman" w:cs="Times New Roman"/>
                <w:color w:val="000000" w:themeColor="text1"/>
                <w:sz w:val="20"/>
                <w:szCs w:val="20"/>
              </w:rPr>
              <w:instrText xml:space="preserve"> ADDIN EN.CITE.DATA </w:instrText>
            </w:r>
            <w:r w:rsidRPr="00DC63B7">
              <w:rPr>
                <w:rFonts w:ascii="Times New Roman" w:hAnsi="Times New Roman" w:cs="Times New Roman"/>
                <w:color w:val="000000" w:themeColor="text1"/>
                <w:sz w:val="20"/>
                <w:szCs w:val="20"/>
              </w:rPr>
            </w:r>
            <w:r w:rsidRPr="00DC63B7">
              <w:rPr>
                <w:rFonts w:ascii="Times New Roman" w:hAnsi="Times New Roman" w:cs="Times New Roman"/>
                <w:color w:val="000000" w:themeColor="text1"/>
                <w:sz w:val="20"/>
                <w:szCs w:val="20"/>
              </w:rPr>
              <w:fldChar w:fldCharType="end"/>
            </w:r>
            <w:r w:rsidRPr="00DC63B7">
              <w:rPr>
                <w:rFonts w:ascii="Times New Roman" w:hAnsi="Times New Roman" w:cs="Times New Roman"/>
                <w:color w:val="000000" w:themeColor="text1"/>
                <w:sz w:val="20"/>
                <w:szCs w:val="20"/>
              </w:rPr>
            </w:r>
            <w:r w:rsidRPr="00DC63B7">
              <w:rPr>
                <w:rFonts w:ascii="Times New Roman" w:hAnsi="Times New Roman" w:cs="Times New Roman"/>
                <w:color w:val="000000" w:themeColor="text1"/>
                <w:sz w:val="20"/>
                <w:szCs w:val="20"/>
              </w:rPr>
              <w:fldChar w:fldCharType="separate"/>
            </w:r>
            <w:r w:rsidRPr="00DC63B7">
              <w:rPr>
                <w:rFonts w:ascii="Times New Roman" w:hAnsi="Times New Roman" w:cs="Times New Roman"/>
                <w:noProof/>
                <w:color w:val="000000" w:themeColor="text1"/>
                <w:sz w:val="20"/>
                <w:szCs w:val="20"/>
              </w:rPr>
              <w:t>[1, 8]</w:t>
            </w:r>
            <w:r w:rsidRPr="00DC63B7">
              <w:rPr>
                <w:rFonts w:ascii="Times New Roman" w:hAnsi="Times New Roman" w:cs="Times New Roman"/>
                <w:color w:val="000000" w:themeColor="text1"/>
                <w:sz w:val="20"/>
                <w:szCs w:val="20"/>
              </w:rPr>
              <w:fldChar w:fldCharType="end"/>
            </w:r>
          </w:p>
        </w:tc>
      </w:tr>
      <w:tr w:rsidR="00D201CF" w:rsidRPr="004708E1" w14:paraId="3BBDBA0E" w14:textId="77777777" w:rsidTr="00AD1775">
        <w:tc>
          <w:tcPr>
            <w:tcW w:w="3685" w:type="dxa"/>
          </w:tcPr>
          <w:p w14:paraId="05B5F962"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Power-to-Liquid</w:t>
            </w:r>
          </w:p>
        </w:tc>
        <w:tc>
          <w:tcPr>
            <w:tcW w:w="1890" w:type="dxa"/>
          </w:tcPr>
          <w:p w14:paraId="312CD468"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0.2</w:t>
            </w:r>
          </w:p>
        </w:tc>
        <w:tc>
          <w:tcPr>
            <w:tcW w:w="1350" w:type="dxa"/>
          </w:tcPr>
          <w:p w14:paraId="1FDD6F47"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0.73</w:t>
            </w:r>
          </w:p>
        </w:tc>
        <w:tc>
          <w:tcPr>
            <w:tcW w:w="2137" w:type="dxa"/>
          </w:tcPr>
          <w:p w14:paraId="0D02B3F0" w14:textId="2CC28C4F"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fldChar w:fldCharType="begin">
                <w:fldData xml:space="preserve">PEVuZE5vdGU+PENpdGU+PEF1dGhvcj5UYW56aWw8L0F1dGhvcj48WWVhcj4yMDIxPC9ZZWFyPjxS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</w:fldData>
              </w:fldChar>
            </w:r>
            <w:r w:rsidRPr="00DC63B7">
              <w:rPr>
                <w:rFonts w:ascii="Times New Roman" w:hAnsi="Times New Roman" w:cs="Times New Roman"/>
                <w:color w:val="000000" w:themeColor="text1"/>
                <w:sz w:val="20"/>
                <w:szCs w:val="20"/>
              </w:rPr>
              <w:instrText xml:space="preserve"> ADDIN EN.CITE </w:instrText>
            </w:r>
            <w:r w:rsidRPr="00DC63B7">
              <w:rPr>
                <w:rFonts w:ascii="Times New Roman" w:hAnsi="Times New Roman" w:cs="Times New Roman"/>
                <w:color w:val="000000" w:themeColor="text1"/>
                <w:sz w:val="20"/>
                <w:szCs w:val="20"/>
              </w:rPr>
              <w:fldChar w:fldCharType="begin">
                <w:fldData xml:space="preserve">PEVuZE5vdGU+PENpdGU+PEF1dGhvcj5UYW56aWw8L0F1dGhvcj48WWVhcj4yMDIxPC9ZZWFyPjxS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</w:fldData>
              </w:fldChar>
            </w:r>
            <w:r w:rsidRPr="00DC63B7">
              <w:rPr>
                <w:rFonts w:ascii="Times New Roman" w:hAnsi="Times New Roman" w:cs="Times New Roman"/>
                <w:color w:val="000000" w:themeColor="text1"/>
                <w:sz w:val="20"/>
                <w:szCs w:val="20"/>
              </w:rPr>
              <w:instrText xml:space="preserve"> ADDIN EN.CITE.DATA </w:instrText>
            </w:r>
            <w:r w:rsidRPr="00DC63B7">
              <w:rPr>
                <w:rFonts w:ascii="Times New Roman" w:hAnsi="Times New Roman" w:cs="Times New Roman"/>
                <w:color w:val="000000" w:themeColor="text1"/>
                <w:sz w:val="20"/>
                <w:szCs w:val="20"/>
              </w:rPr>
            </w:r>
            <w:r w:rsidRPr="00DC63B7">
              <w:rPr>
                <w:rFonts w:ascii="Times New Roman" w:hAnsi="Times New Roman" w:cs="Times New Roman"/>
                <w:color w:val="000000" w:themeColor="text1"/>
                <w:sz w:val="20"/>
                <w:szCs w:val="20"/>
              </w:rPr>
              <w:fldChar w:fldCharType="end"/>
            </w:r>
            <w:r w:rsidRPr="00DC63B7">
              <w:rPr>
                <w:rFonts w:ascii="Times New Roman" w:hAnsi="Times New Roman" w:cs="Times New Roman"/>
                <w:color w:val="000000" w:themeColor="text1"/>
                <w:sz w:val="20"/>
                <w:szCs w:val="20"/>
              </w:rPr>
            </w:r>
            <w:r w:rsidRPr="00DC63B7">
              <w:rPr>
                <w:rFonts w:ascii="Times New Roman" w:hAnsi="Times New Roman" w:cs="Times New Roman"/>
                <w:color w:val="000000" w:themeColor="text1"/>
                <w:sz w:val="20"/>
                <w:szCs w:val="20"/>
              </w:rPr>
              <w:fldChar w:fldCharType="separate"/>
            </w:r>
            <w:r w:rsidRPr="00DC63B7">
              <w:rPr>
                <w:rFonts w:ascii="Times New Roman" w:hAnsi="Times New Roman" w:cs="Times New Roman"/>
                <w:noProof/>
                <w:color w:val="000000" w:themeColor="text1"/>
                <w:sz w:val="20"/>
                <w:szCs w:val="20"/>
              </w:rPr>
              <w:t>[1, 8]</w:t>
            </w:r>
            <w:r w:rsidRPr="00DC63B7">
              <w:rPr>
                <w:rFonts w:ascii="Times New Roman" w:hAnsi="Times New Roman" w:cs="Times New Roman"/>
                <w:color w:val="000000" w:themeColor="text1"/>
                <w:sz w:val="20"/>
                <w:szCs w:val="20"/>
              </w:rPr>
              <w:fldChar w:fldCharType="end"/>
            </w:r>
          </w:p>
        </w:tc>
      </w:tr>
      <w:tr w:rsidR="00D201CF" w:rsidRPr="004708E1" w14:paraId="0101F6CE" w14:textId="77777777" w:rsidTr="00AD1775">
        <w:tc>
          <w:tcPr>
            <w:tcW w:w="3685" w:type="dxa"/>
          </w:tcPr>
          <w:p w14:paraId="789789F1"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Catalytic Hydrothermolysis (CH)</w:t>
            </w:r>
          </w:p>
        </w:tc>
        <w:tc>
          <w:tcPr>
            <w:tcW w:w="1890" w:type="dxa"/>
          </w:tcPr>
          <w:p w14:paraId="6893E11A" w14:textId="094DFA55"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0.32</w:t>
            </w:r>
          </w:p>
        </w:tc>
        <w:tc>
          <w:tcPr>
            <w:tcW w:w="1350" w:type="dxa"/>
          </w:tcPr>
          <w:p w14:paraId="0C2F9AB5"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0.48</w:t>
            </w:r>
          </w:p>
        </w:tc>
        <w:tc>
          <w:tcPr>
            <w:tcW w:w="2137" w:type="dxa"/>
          </w:tcPr>
          <w:p w14:paraId="194ED9B0" w14:textId="5D0F92B7" w:rsidR="00D201CF" w:rsidRPr="00DC63B7" w:rsidRDefault="00D201CF" w:rsidP="00AD1775">
            <w:pPr>
              <w:spacing w:after="160" w:line="259" w:lineRule="auto"/>
              <w:jc w:val="both"/>
              <w:rPr>
                <w:rFonts w:ascii="Times New Roman" w:hAnsi="Times New Roman" w:cs="Times New Roman"/>
                <w:color w:val="000000" w:themeColor="text1"/>
                <w:sz w:val="20"/>
                <w:szCs w:val="20"/>
                <w:lang w:val="es-ES"/>
              </w:rPr>
            </w:pPr>
            <w:r w:rsidRPr="00DC63B7">
              <w:rPr>
                <w:rFonts w:ascii="Times New Roman" w:hAnsi="Times New Roman" w:cs="Times New Roman"/>
                <w:color w:val="000000" w:themeColor="text1"/>
                <w:sz w:val="20"/>
                <w:szCs w:val="20"/>
                <w:lang w:val="es-ES"/>
              </w:rPr>
              <w:fldChar w:fldCharType="begin"/>
            </w:r>
            <w:r w:rsidRPr="00DC63B7">
              <w:rPr>
                <w:rFonts w:ascii="Times New Roman" w:hAnsi="Times New Roman" w:cs="Times New Roman"/>
                <w:color w:val="000000" w:themeColor="text1"/>
                <w:sz w:val="20"/>
                <w:szCs w:val="20"/>
                <w:lang w:val="es-ES"/>
              </w:rPr>
              <w:instrText xml:space="preserve"> ADDIN EN.CITE &lt;EndNote&gt;&lt;Cite&gt;&lt;Author&gt;Li&lt;/Author&gt;&lt;Year&gt;2010&lt;/Year&gt;&lt;RecNum&gt;375&lt;/RecNum&gt;&lt;DisplayText&gt;[9, 10]&lt;/DisplayText&gt;&lt;record&gt;&lt;rec-number&gt;375&lt;/rec-number&gt;&lt;foreign-keys&gt;&lt;key app="EN" db-id="stxeestaswddrqewfrpvpwdaprxpv55rprf9" timestamp="1736003160"&gt;375&lt;/key&gt;&lt;/foreign-keys&gt;&lt;ref-type name="Journal Article"&gt;17&lt;/ref-type&gt;&lt;contributors&gt;&lt;authors&gt;&lt;author&gt;Li, Lixiong&lt;/author&gt;&lt;author&gt;Coppola, Edward&lt;/author&gt;&lt;author&gt;Rine, Jeffrey&lt;/author&gt;&lt;author&gt;Miller, Jonathan L.&lt;/author&gt;&lt;author&gt;Walker, Devin&lt;/author&gt;&lt;/authors&gt;&lt;/contributors&gt;&lt;titles&gt;&lt;title&gt;Catalytic Hydrothermal Conversion of Triglycerides to Non-ester Biofuels&lt;/title&gt;&lt;secondary-title&gt;Energy &amp;amp; Fuels&lt;/secondary-title&gt;&lt;/titles&gt;&lt;periodical&gt;&lt;full-title&gt;Energy &amp;amp; Fuels&lt;/full-title&gt;&lt;/periodical&gt;&lt;pages&gt;1305-1315&lt;/pages&gt;&lt;volume&gt;24&lt;/volume&gt;&lt;number&gt;2&lt;/number&gt;&lt;dates&gt;&lt;year&gt;2010&lt;/year&gt;&lt;pub-dates&gt;&lt;date&gt;2010/02/18&lt;/date&gt;&lt;/pub-dates&gt;&lt;/dates&gt;&lt;publisher&gt;American Chemical Society&lt;/publisher&gt;&lt;isbn&gt;0887-0624&lt;/isbn&gt;&lt;urls&gt;&lt;related-urls&gt;&lt;url&gt;https://doi.org/10.1021/ef901163a&lt;/url&gt;&lt;/related-urls&gt;&lt;/urls&gt;&lt;electronic-resource-num&gt;10.1021/ef901163a&lt;/electronic-resource-num&gt;&lt;/record&gt;&lt;/Cite&gt;&lt;Cite&gt;&lt;Author&gt;Brandt&lt;/Author&gt;&lt;Year&gt;2022&lt;/Year&gt;&lt;RecNum&gt;376&lt;/RecNum&gt;&lt;record&gt;&lt;rec-number&gt;376&lt;/rec-number&gt;&lt;foreign-keys&gt;&lt;key app="EN" db-id="stxeestaswddrqewfrpvpwdaprxpv55rprf9" timestamp="1736003170"&gt;376&lt;/key&gt;&lt;/foreign-keys&gt;&lt;ref-type name="Dataset"&gt;59&lt;/ref-type&gt;&lt;contributors&gt;&lt;authors&gt;&lt;author&gt;Brandt, Kristin&lt;/author&gt;&lt;author&gt;Eswaran, Sudha&lt;/author&gt;&lt;author&gt;Subramaniam, Senthil&lt;/author&gt;&lt;author&gt;Zhang, Xiao&lt;/author&gt;&lt;author&gt;Wolcott, Michael P.&lt;/author&gt;&lt;/authors&gt;&lt;/contributors&gt;&lt;titles&gt;&lt;title&gt;Catalytic Hydrothermolysis techno-economic analysis, v. 2.2&lt;/title&gt;&lt;/titles&gt;&lt;keywords&gt;&lt;keyword&gt;Aviation Technology&lt;/keyword&gt;&lt;/keywords&gt;&lt;dates&gt;&lt;year&gt;2022&lt;/year&gt;&lt;/dates&gt;&lt;publisher&gt;Washington State University&lt;/publisher&gt;&lt;urls&gt;&lt;/urls&gt;&lt;electronic-resource-num&gt;10.7273/000002564&lt;/electronic-resource-num&gt;&lt;language&gt;eng&lt;/language&gt;&lt;/record&gt;&lt;/Cite&gt;&lt;/EndNote&gt;</w:instrText>
            </w:r>
            <w:r w:rsidRPr="00DC63B7">
              <w:rPr>
                <w:rFonts w:ascii="Times New Roman" w:hAnsi="Times New Roman" w:cs="Times New Roman"/>
                <w:color w:val="000000" w:themeColor="text1"/>
                <w:sz w:val="20"/>
                <w:szCs w:val="20"/>
                <w:lang w:val="es-ES"/>
              </w:rPr>
              <w:fldChar w:fldCharType="separate"/>
            </w:r>
            <w:r w:rsidRPr="00DC63B7">
              <w:rPr>
                <w:rFonts w:ascii="Times New Roman" w:hAnsi="Times New Roman" w:cs="Times New Roman"/>
                <w:noProof/>
                <w:color w:val="000000" w:themeColor="text1"/>
                <w:sz w:val="20"/>
                <w:szCs w:val="20"/>
                <w:lang w:val="es-ES"/>
              </w:rPr>
              <w:t>[9, 10]</w:t>
            </w:r>
            <w:r w:rsidRPr="00DC63B7">
              <w:rPr>
                <w:rFonts w:ascii="Times New Roman" w:hAnsi="Times New Roman" w:cs="Times New Roman"/>
                <w:color w:val="000000" w:themeColor="text1"/>
                <w:sz w:val="20"/>
                <w:szCs w:val="20"/>
              </w:rPr>
              <w:fldChar w:fldCharType="end"/>
            </w:r>
          </w:p>
        </w:tc>
      </w:tr>
      <w:tr w:rsidR="00D201CF" w:rsidRPr="004708E1" w14:paraId="49A16E72" w14:textId="77777777" w:rsidTr="00AD1775">
        <w:tc>
          <w:tcPr>
            <w:tcW w:w="3685" w:type="dxa"/>
          </w:tcPr>
          <w:p w14:paraId="4365E359" w14:textId="02A49548"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Pyrolysis</w:t>
            </w:r>
          </w:p>
        </w:tc>
        <w:tc>
          <w:tcPr>
            <w:tcW w:w="1890" w:type="dxa"/>
          </w:tcPr>
          <w:p w14:paraId="36CFB51C" w14:textId="2290CF39"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0.25</w:t>
            </w:r>
          </w:p>
        </w:tc>
        <w:tc>
          <w:tcPr>
            <w:tcW w:w="1350" w:type="dxa"/>
          </w:tcPr>
          <w:p w14:paraId="5963C810" w14:textId="77777777" w:rsidR="00D201CF" w:rsidRPr="00DC63B7" w:rsidRDefault="00D201CF" w:rsidP="00AD1775">
            <w:pPr>
              <w:spacing w:after="160" w:line="259" w:lineRule="auto"/>
              <w:jc w:val="both"/>
              <w:rPr>
                <w:rFonts w:ascii="Times New Roman" w:hAnsi="Times New Roman" w:cs="Times New Roman"/>
                <w:color w:val="000000" w:themeColor="text1"/>
                <w:sz w:val="20"/>
                <w:szCs w:val="20"/>
              </w:rPr>
            </w:pPr>
            <w:r w:rsidRPr="00DC63B7">
              <w:rPr>
                <w:rFonts w:ascii="Times New Roman" w:hAnsi="Times New Roman" w:cs="Times New Roman"/>
                <w:color w:val="000000" w:themeColor="text1"/>
                <w:sz w:val="20"/>
                <w:szCs w:val="20"/>
              </w:rPr>
              <w:t>0.52</w:t>
            </w:r>
          </w:p>
        </w:tc>
        <w:tc>
          <w:tcPr>
            <w:tcW w:w="2137" w:type="dxa"/>
          </w:tcPr>
          <w:p w14:paraId="63FF064C" w14:textId="33A76972" w:rsidR="00D201CF" w:rsidRPr="00DC63B7" w:rsidRDefault="00D201CF" w:rsidP="00AD1775">
            <w:pPr>
              <w:spacing w:after="160" w:line="259" w:lineRule="auto"/>
              <w:jc w:val="both"/>
              <w:rPr>
                <w:rFonts w:ascii="Times New Roman" w:hAnsi="Times New Roman" w:cs="Times New Roman"/>
                <w:color w:val="000000" w:themeColor="text1"/>
                <w:sz w:val="20"/>
                <w:szCs w:val="20"/>
                <w:lang w:val="es-ES"/>
              </w:rPr>
            </w:pPr>
            <w:r w:rsidRPr="00DC63B7">
              <w:rPr>
                <w:rFonts w:ascii="Times New Roman" w:hAnsi="Times New Roman" w:cs="Times New Roman"/>
                <w:color w:val="000000" w:themeColor="text1"/>
                <w:sz w:val="20"/>
                <w:szCs w:val="20"/>
                <w:lang w:val="es-ES"/>
              </w:rPr>
              <w:fldChar w:fldCharType="begin">
                <w:fldData xml:space="preserve">PEVuZE5vdGU+PENpdGU+PEF1dGhvcj5CcmFuZHQ8L0F1dGhvcj48WWVhcj4yMDIyPC9ZZWFyPjxS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</w:fldData>
              </w:fldChar>
            </w:r>
            <w:r w:rsidRPr="00DC63B7">
              <w:rPr>
                <w:rFonts w:ascii="Times New Roman" w:hAnsi="Times New Roman" w:cs="Times New Roman"/>
                <w:color w:val="000000" w:themeColor="text1"/>
                <w:sz w:val="20"/>
                <w:szCs w:val="20"/>
                <w:lang w:val="es-ES"/>
              </w:rPr>
              <w:instrText xml:space="preserve"> ADDIN EN.CITE </w:instrText>
            </w:r>
            <w:r w:rsidRPr="00DC63B7">
              <w:rPr>
                <w:rFonts w:ascii="Times New Roman" w:hAnsi="Times New Roman" w:cs="Times New Roman"/>
                <w:color w:val="000000" w:themeColor="text1"/>
                <w:sz w:val="20"/>
                <w:szCs w:val="20"/>
                <w:lang w:val="es-ES"/>
              </w:rPr>
              <w:fldChar w:fldCharType="begin">
                <w:fldData xml:space="preserve">PEVuZE5vdGU+PENpdGU+PEF1dGhvcj5CcmFuZHQ8L0F1dGhvcj48WWVhcj4yMDIyPC9ZZWFyPjxS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</w:fldData>
              </w:fldChar>
            </w:r>
            <w:r w:rsidRPr="00DC63B7">
              <w:rPr>
                <w:rFonts w:ascii="Times New Roman" w:hAnsi="Times New Roman" w:cs="Times New Roman"/>
                <w:color w:val="000000" w:themeColor="text1"/>
                <w:sz w:val="20"/>
                <w:szCs w:val="20"/>
                <w:lang w:val="es-ES"/>
              </w:rPr>
              <w:instrText xml:space="preserve"> ADDIN EN.CITE.DATA </w:instrText>
            </w:r>
            <w:r w:rsidRPr="00DC63B7">
              <w:rPr>
                <w:rFonts w:ascii="Times New Roman" w:hAnsi="Times New Roman" w:cs="Times New Roman"/>
                <w:color w:val="000000" w:themeColor="text1"/>
                <w:sz w:val="20"/>
                <w:szCs w:val="20"/>
                <w:lang w:val="es-ES"/>
              </w:rPr>
            </w:r>
            <w:r w:rsidRPr="00DC63B7">
              <w:rPr>
                <w:rFonts w:ascii="Times New Roman" w:hAnsi="Times New Roman" w:cs="Times New Roman"/>
                <w:color w:val="000000" w:themeColor="text1"/>
                <w:sz w:val="20"/>
                <w:szCs w:val="20"/>
                <w:lang w:val="es-ES"/>
              </w:rPr>
              <w:fldChar w:fldCharType="end"/>
            </w:r>
            <w:r w:rsidRPr="00DC63B7">
              <w:rPr>
                <w:rFonts w:ascii="Times New Roman" w:hAnsi="Times New Roman" w:cs="Times New Roman"/>
                <w:color w:val="000000" w:themeColor="text1"/>
                <w:sz w:val="20"/>
                <w:szCs w:val="20"/>
                <w:lang w:val="es-ES"/>
              </w:rPr>
            </w:r>
            <w:r w:rsidRPr="00DC63B7">
              <w:rPr>
                <w:rFonts w:ascii="Times New Roman" w:hAnsi="Times New Roman" w:cs="Times New Roman"/>
                <w:color w:val="000000" w:themeColor="text1"/>
                <w:sz w:val="20"/>
                <w:szCs w:val="20"/>
                <w:lang w:val="es-ES"/>
              </w:rPr>
              <w:fldChar w:fldCharType="separate"/>
            </w:r>
            <w:r w:rsidRPr="00DC63B7">
              <w:rPr>
                <w:rFonts w:ascii="Times New Roman" w:hAnsi="Times New Roman" w:cs="Times New Roman"/>
                <w:noProof/>
                <w:color w:val="000000" w:themeColor="text1"/>
                <w:sz w:val="20"/>
                <w:szCs w:val="20"/>
                <w:lang w:val="es-ES"/>
              </w:rPr>
              <w:t>[1, 11]</w:t>
            </w:r>
            <w:r w:rsidRPr="00DC63B7">
              <w:rPr>
                <w:rFonts w:ascii="Times New Roman" w:hAnsi="Times New Roman" w:cs="Times New Roman"/>
                <w:color w:val="000000" w:themeColor="text1"/>
                <w:sz w:val="20"/>
                <w:szCs w:val="20"/>
              </w:rPr>
              <w:fldChar w:fldCharType="end"/>
            </w:r>
          </w:p>
        </w:tc>
      </w:tr>
    </w:tbl>
    <w:p w14:paraId="7D449776" w14:textId="56FDAEA4" w:rsidR="00D201CF" w:rsidRPr="004708E1" w:rsidRDefault="00D201CF" w:rsidP="00D201CF">
      <w:pPr>
        <w:jc w:val="both"/>
        <w:rPr>
          <w:rFonts w:ascii="Times New Roman" w:hAnsi="Times New Roman" w:cs="Times New Roman"/>
          <w:color w:val="000000" w:themeColor="text1"/>
        </w:rPr>
      </w:pPr>
    </w:p>
    <w:p w14:paraId="699BE25A" w14:textId="4E433615" w:rsidR="00D201CF" w:rsidRPr="004708E1" w:rsidRDefault="00AD49E4" w:rsidP="00D201CF">
      <w:pPr>
        <w:jc w:val="both"/>
        <w:rPr>
          <w:rFonts w:ascii="Times New Roman" w:hAnsi="Times New Roman" w:cs="Times New Roman"/>
          <w:color w:val="000000" w:themeColor="text1"/>
        </w:rPr>
      </w:pPr>
      <w:r w:rsidRPr="004708E1">
        <w:rPr>
          <w:rFonts w:ascii="Times New Roman" w:hAnsi="Times New Roman" w:cs="Times New Roman"/>
          <w:noProof/>
        </w:rPr>
        <w:drawing>
          <wp:anchor distT="0" distB="0" distL="114300" distR="114300" simplePos="0" relativeHeight="251658240" behindDoc="0" locked="0" layoutInCell="1" allowOverlap="1" wp14:anchorId="7FB396E9" wp14:editId="049089B3">
            <wp:simplePos x="0" y="0"/>
            <wp:positionH relativeFrom="margin">
              <wp:align>left</wp:align>
            </wp:positionH>
            <wp:positionV relativeFrom="paragraph">
              <wp:posOffset>1574800</wp:posOffset>
            </wp:positionV>
            <wp:extent cx="5760720" cy="37433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960"/>
                    <a:stretch/>
                  </pic:blipFill>
                  <pic:spPr bwMode="auto">
                    <a:xfrm>
                      <a:off x="0" y="0"/>
                      <a:ext cx="5760720" cy="3743325"/>
                    </a:xfrm>
                    <a:prstGeom prst="rect">
                      <a:avLst/>
                    </a:prstGeom>
                    <a:noFill/>
                    <a:ln>
                      <a:noFill/>
                    </a:ln>
                    <a:extLst>
                      <a:ext uri="{53640926-AAD7-44D8-BBD7-CCE9431645EC}">
                        <a14:shadowObscured xmlns:a14="http://schemas.microsoft.com/office/drawing/2010/main"/>
                      </a:ext>
                    </a:extLst>
                  </pic:spPr>
                </pic:pic>
              </a:graphicData>
            </a:graphic>
          </wp:anchor>
        </w:drawing>
      </w:r>
      <w:r w:rsidR="00D201CF" w:rsidRPr="004708E1">
        <w:rPr>
          <w:rFonts w:ascii="Times New Roman" w:hAnsi="Times New Roman" w:cs="Times New Roman"/>
          <w:color w:val="000000" w:themeColor="text1"/>
        </w:rPr>
        <w:t>SAF production involves co-products as part of the facility’s output (e.g., renewable diesel, naphtha, etc.)</w:t>
      </w:r>
      <w:r w:rsidR="00B26E67">
        <w:rPr>
          <w:rFonts w:ascii="Times New Roman" w:hAnsi="Times New Roman" w:cs="Times New Roman"/>
          <w:color w:val="000000" w:themeColor="text1"/>
        </w:rPr>
        <w:t xml:space="preserve"> and,</w:t>
      </w:r>
      <w:r w:rsidR="00D201CF" w:rsidRPr="004708E1">
        <w:rPr>
          <w:rFonts w:ascii="Times New Roman" w:hAnsi="Times New Roman" w:cs="Times New Roman"/>
          <w:color w:val="000000" w:themeColor="text1"/>
        </w:rPr>
        <w:t xml:space="preserve"> the announcements provided vary in detail on </w:t>
      </w:r>
      <w:r w:rsidR="00B26E67">
        <w:rPr>
          <w:rFonts w:ascii="Times New Roman" w:hAnsi="Times New Roman" w:cs="Times New Roman"/>
          <w:color w:val="000000" w:themeColor="text1"/>
        </w:rPr>
        <w:t xml:space="preserve">specific </w:t>
      </w:r>
      <w:r w:rsidR="00D201CF" w:rsidRPr="004708E1">
        <w:rPr>
          <w:rFonts w:ascii="Times New Roman" w:hAnsi="Times New Roman" w:cs="Times New Roman"/>
          <w:color w:val="000000" w:themeColor="text1"/>
        </w:rPr>
        <w:t xml:space="preserve">products’ volumes. </w:t>
      </w:r>
      <w:r w:rsidR="00B26E67">
        <w:rPr>
          <w:rFonts w:ascii="Times New Roman" w:hAnsi="Times New Roman" w:cs="Times New Roman"/>
          <w:color w:val="000000" w:themeColor="text1"/>
        </w:rPr>
        <w:t>While s</w:t>
      </w:r>
      <w:r w:rsidR="00D201CF" w:rsidRPr="004708E1">
        <w:rPr>
          <w:rFonts w:ascii="Times New Roman" w:hAnsi="Times New Roman" w:cs="Times New Roman"/>
          <w:color w:val="000000" w:themeColor="text1"/>
        </w:rPr>
        <w:t>ome announcements explicitly specify each product's output volumes, including SAF capacity volumes</w:t>
      </w:r>
      <w:r w:rsidR="00B26E67">
        <w:rPr>
          <w:rFonts w:ascii="Times New Roman" w:hAnsi="Times New Roman" w:cs="Times New Roman"/>
          <w:color w:val="000000" w:themeColor="text1"/>
        </w:rPr>
        <w:t xml:space="preserve">; </w:t>
      </w:r>
      <w:r w:rsidR="00D201CF" w:rsidRPr="004708E1">
        <w:rPr>
          <w:rFonts w:ascii="Times New Roman" w:hAnsi="Times New Roman" w:cs="Times New Roman"/>
          <w:color w:val="000000" w:themeColor="text1"/>
        </w:rPr>
        <w:t xml:space="preserve"> many announcements only </w:t>
      </w:r>
      <w:r w:rsidR="00B26E67">
        <w:rPr>
          <w:rFonts w:ascii="Times New Roman" w:hAnsi="Times New Roman" w:cs="Times New Roman"/>
          <w:color w:val="000000" w:themeColor="text1"/>
        </w:rPr>
        <w:t>disclose</w:t>
      </w:r>
      <w:r w:rsidR="00D201CF" w:rsidRPr="004708E1">
        <w:rPr>
          <w:rFonts w:ascii="Times New Roman" w:hAnsi="Times New Roman" w:cs="Times New Roman"/>
          <w:color w:val="000000" w:themeColor="text1"/>
        </w:rPr>
        <w:t xml:space="preserve"> the total fuel output, including both SAF and co-products. For these announcements, the total fuel output (SAF and co-products) is adjusted using a range of possible SAF ratios to estimate the SAF production capacity. This range includes a minimum and maximum SAF ratio determined based on the conversion pathways. </w:t>
      </w:r>
      <w:r w:rsidR="00D201CF" w:rsidRPr="004708E1">
        <w:rPr>
          <w:rFonts w:ascii="Times New Roman" w:hAnsi="Times New Roman" w:cs="Times New Roman"/>
          <w:color w:val="000000" w:themeColor="text1"/>
        </w:rPr>
        <w:fldChar w:fldCharType="begin"/>
      </w:r>
      <w:r w:rsidR="00D201CF" w:rsidRPr="004708E1">
        <w:rPr>
          <w:rFonts w:ascii="Times New Roman" w:hAnsi="Times New Roman" w:cs="Times New Roman"/>
          <w:color w:val="000000" w:themeColor="text1"/>
        </w:rPr>
        <w:instrText xml:space="preserve"> REF _Ref190332214 \h  \* MERGEFORMAT </w:instrText>
      </w:r>
      <w:r w:rsidR="00D201CF" w:rsidRPr="004708E1">
        <w:rPr>
          <w:rFonts w:ascii="Times New Roman" w:hAnsi="Times New Roman" w:cs="Times New Roman"/>
          <w:color w:val="000000" w:themeColor="text1"/>
        </w:rPr>
      </w:r>
      <w:r w:rsidR="00D201CF" w:rsidRPr="004708E1">
        <w:rPr>
          <w:rFonts w:ascii="Times New Roman" w:hAnsi="Times New Roman" w:cs="Times New Roman"/>
          <w:color w:val="000000" w:themeColor="text1"/>
        </w:rPr>
        <w:fldChar w:fldCharType="separate"/>
      </w:r>
      <w:r w:rsidR="00D201CF" w:rsidRPr="004708E1">
        <w:rPr>
          <w:rFonts w:ascii="Times New Roman" w:hAnsi="Times New Roman" w:cs="Times New Roman"/>
        </w:rPr>
        <w:t xml:space="preserve">Table </w:t>
      </w:r>
      <w:r w:rsidR="00D201CF" w:rsidRPr="004708E1">
        <w:rPr>
          <w:rFonts w:ascii="Times New Roman" w:hAnsi="Times New Roman" w:cs="Times New Roman"/>
          <w:noProof/>
        </w:rPr>
        <w:t>1</w:t>
      </w:r>
      <w:r w:rsidR="00D201CF" w:rsidRPr="004708E1">
        <w:rPr>
          <w:rFonts w:ascii="Times New Roman" w:hAnsi="Times New Roman" w:cs="Times New Roman"/>
          <w:color w:val="000000" w:themeColor="text1"/>
        </w:rPr>
        <w:fldChar w:fldCharType="end"/>
      </w:r>
      <w:r w:rsidR="00D201CF" w:rsidRPr="004708E1">
        <w:rPr>
          <w:rFonts w:ascii="Times New Roman" w:hAnsi="Times New Roman" w:cs="Times New Roman"/>
          <w:color w:val="000000" w:themeColor="text1"/>
        </w:rPr>
        <w:t xml:space="preserve"> provides the low and high SAF ratios assumed in this work. Adjusting the capacity </w:t>
      </w:r>
      <w:r w:rsidR="00B26E67">
        <w:rPr>
          <w:rFonts w:ascii="Times New Roman" w:hAnsi="Times New Roman" w:cs="Times New Roman"/>
          <w:color w:val="000000" w:themeColor="text1"/>
        </w:rPr>
        <w:t xml:space="preserve">by </w:t>
      </w:r>
      <w:r w:rsidR="00D201CF" w:rsidRPr="004708E1">
        <w:rPr>
          <w:rFonts w:ascii="Times New Roman" w:hAnsi="Times New Roman" w:cs="Times New Roman"/>
          <w:color w:val="000000" w:themeColor="text1"/>
        </w:rPr>
        <w:t xml:space="preserve">using </w:t>
      </w:r>
      <w:r w:rsidR="00B26E67">
        <w:rPr>
          <w:rFonts w:ascii="Times New Roman" w:hAnsi="Times New Roman" w:cs="Times New Roman"/>
          <w:color w:val="000000" w:themeColor="text1"/>
        </w:rPr>
        <w:t xml:space="preserve">the </w:t>
      </w:r>
      <w:r w:rsidR="00D201CF" w:rsidRPr="004708E1">
        <w:rPr>
          <w:rFonts w:ascii="Times New Roman" w:hAnsi="Times New Roman" w:cs="Times New Roman"/>
          <w:color w:val="000000" w:themeColor="text1"/>
        </w:rPr>
        <w:t>low and high ratio define a range of SAF capacity values, that is employed in this analysis.</w:t>
      </w:r>
    </w:p>
    <w:p w14:paraId="42E4E5CF" w14:textId="2A457476" w:rsidR="00AD49E4" w:rsidRPr="009C54C6" w:rsidRDefault="00AD49E4" w:rsidP="00131781">
      <w:pPr>
        <w:pStyle w:val="Caption"/>
        <w:jc w:val="both"/>
        <w:rPr>
          <w:color w:val="000000" w:themeColor="text1"/>
        </w:rPr>
      </w:pPr>
      <w:bookmarkStart w:id="2" w:name="_Ref190337783"/>
      <w:r w:rsidRPr="009C54C6">
        <w:rPr>
          <w:color w:val="000000" w:themeColor="text1"/>
        </w:rPr>
        <w:lastRenderedPageBreak/>
        <w:t xml:space="preserve">Figure </w:t>
      </w:r>
      <w:r w:rsidR="00EC7B3C" w:rsidRPr="009C54C6">
        <w:rPr>
          <w:color w:val="000000" w:themeColor="text1"/>
        </w:rPr>
        <w:fldChar w:fldCharType="begin"/>
      </w:r>
      <w:r w:rsidR="00EC7B3C" w:rsidRPr="009C54C6">
        <w:rPr>
          <w:color w:val="000000" w:themeColor="text1"/>
        </w:rPr>
        <w:instrText xml:space="preserve"> SEQ Figure \* ARABIC </w:instrText>
      </w:r>
      <w:r w:rsidR="00EC7B3C" w:rsidRPr="009C54C6">
        <w:rPr>
          <w:color w:val="000000" w:themeColor="text1"/>
        </w:rPr>
        <w:fldChar w:fldCharType="separate"/>
      </w:r>
      <w:r w:rsidR="0043429D">
        <w:rPr>
          <w:noProof/>
          <w:color w:val="000000" w:themeColor="text1"/>
        </w:rPr>
        <w:t>1</w:t>
      </w:r>
      <w:r w:rsidR="00EC7B3C" w:rsidRPr="009C54C6">
        <w:rPr>
          <w:color w:val="000000" w:themeColor="text1"/>
        </w:rPr>
        <w:fldChar w:fldCharType="end"/>
      </w:r>
      <w:bookmarkEnd w:id="2"/>
      <w:r w:rsidRPr="009C54C6">
        <w:rPr>
          <w:color w:val="000000" w:themeColor="text1"/>
        </w:rPr>
        <w:t>: Expected capacity to be operational by 2024 and by 2030 globally (</w:t>
      </w:r>
      <w:r w:rsidR="009C54C6">
        <w:rPr>
          <w:color w:val="000000" w:themeColor="text1"/>
        </w:rPr>
        <w:t xml:space="preserve">panel </w:t>
      </w:r>
      <w:r w:rsidRPr="009C54C6">
        <w:rPr>
          <w:color w:val="000000" w:themeColor="text1"/>
        </w:rPr>
        <w:t>a</w:t>
      </w:r>
      <w:r w:rsidR="009C54C6">
        <w:rPr>
          <w:color w:val="000000" w:themeColor="text1"/>
        </w:rPr>
        <w:t xml:space="preserve"> and </w:t>
      </w:r>
      <w:r w:rsidRPr="009C54C6">
        <w:rPr>
          <w:color w:val="000000" w:themeColor="text1"/>
        </w:rPr>
        <w:t>b) and in the EU (</w:t>
      </w:r>
      <w:r w:rsidR="009C54C6">
        <w:rPr>
          <w:color w:val="000000" w:themeColor="text1"/>
        </w:rPr>
        <w:t xml:space="preserve">panel </w:t>
      </w:r>
      <w:r w:rsidRPr="009C54C6">
        <w:rPr>
          <w:color w:val="000000" w:themeColor="text1"/>
        </w:rPr>
        <w:t>c</w:t>
      </w:r>
      <w:r w:rsidR="009C54C6">
        <w:rPr>
          <w:color w:val="000000" w:themeColor="text1"/>
        </w:rPr>
        <w:t xml:space="preserve"> and </w:t>
      </w:r>
      <w:r w:rsidRPr="009C54C6">
        <w:rPr>
          <w:color w:val="000000" w:themeColor="text1"/>
        </w:rPr>
        <w:t>d), categorized by current status. All values are derived using the average jet fuel ratio. FID: Final Investment Decision; FEED: Front-End Engineering Development.</w:t>
      </w:r>
    </w:p>
    <w:p w14:paraId="72F99A31" w14:textId="14A7898E" w:rsidR="00C628B6" w:rsidRDefault="004F576C" w:rsidP="004F576C">
      <w:pPr>
        <w:keepNext/>
        <w:jc w:val="both"/>
        <w:rPr>
          <w:rFonts w:ascii="Times New Roman" w:hAnsi="Times New Roman" w:cs="Times New Roman"/>
        </w:rPr>
      </w:pPr>
      <w:r w:rsidRPr="004708E1">
        <w:rPr>
          <w:rFonts w:ascii="Times New Roman" w:hAnsi="Times New Roman" w:cs="Times New Roman"/>
          <w:noProof/>
        </w:rPr>
        <w:fldChar w:fldCharType="begin"/>
      </w:r>
      <w:r w:rsidRPr="004708E1">
        <w:rPr>
          <w:rFonts w:ascii="Times New Roman" w:hAnsi="Times New Roman" w:cs="Times New Roman"/>
        </w:rPr>
        <w:instrText xml:space="preserve"> REF _Ref190337783 \h </w:instrText>
      </w:r>
      <w:r w:rsidRPr="004708E1">
        <w:rPr>
          <w:rFonts w:ascii="Times New Roman" w:hAnsi="Times New Roman" w:cs="Times New Roman"/>
          <w:noProof/>
        </w:rPr>
        <w:instrText xml:space="preserve"> \* MERGEFORMAT </w:instrText>
      </w:r>
      <w:r w:rsidRPr="004708E1">
        <w:rPr>
          <w:rFonts w:ascii="Times New Roman" w:hAnsi="Times New Roman" w:cs="Times New Roman"/>
          <w:noProof/>
        </w:rPr>
      </w:r>
      <w:r w:rsidRPr="004708E1">
        <w:rPr>
          <w:rFonts w:ascii="Times New Roman" w:hAnsi="Times New Roman" w:cs="Times New Roman"/>
          <w:noProof/>
        </w:rPr>
        <w:fldChar w:fldCharType="separate"/>
      </w:r>
      <w:r w:rsidRPr="004708E1">
        <w:rPr>
          <w:rFonts w:ascii="Times New Roman" w:hAnsi="Times New Roman" w:cs="Times New Roman"/>
        </w:rPr>
        <w:t xml:space="preserve">Figure </w:t>
      </w:r>
      <w:r w:rsidRPr="004708E1">
        <w:rPr>
          <w:rFonts w:ascii="Times New Roman" w:hAnsi="Times New Roman" w:cs="Times New Roman"/>
          <w:noProof/>
        </w:rPr>
        <w:t>1</w:t>
      </w:r>
      <w:r w:rsidRPr="004708E1">
        <w:rPr>
          <w:rFonts w:ascii="Times New Roman" w:hAnsi="Times New Roman" w:cs="Times New Roman"/>
          <w:noProof/>
        </w:rPr>
        <w:fldChar w:fldCharType="end"/>
      </w:r>
      <w:r w:rsidR="00C628B6" w:rsidRPr="004708E1">
        <w:rPr>
          <w:rFonts w:ascii="Times New Roman" w:hAnsi="Times New Roman" w:cs="Times New Roman"/>
        </w:rPr>
        <w:t xml:space="preserve"> provide insights into the status of announced SAF capacity (for 2024 and 2030</w:t>
      </w:r>
      <w:r w:rsidRPr="004708E1">
        <w:rPr>
          <w:rFonts w:ascii="Times New Roman" w:hAnsi="Times New Roman" w:cs="Times New Roman"/>
        </w:rPr>
        <w:t xml:space="preserve"> globally and in the EU</w:t>
      </w:r>
      <w:r w:rsidR="00C628B6" w:rsidRPr="004708E1">
        <w:rPr>
          <w:rFonts w:ascii="Times New Roman" w:hAnsi="Times New Roman" w:cs="Times New Roman"/>
        </w:rPr>
        <w:t xml:space="preserve">) by conversion </w:t>
      </w:r>
      <w:r w:rsidR="006A4A89">
        <w:rPr>
          <w:rFonts w:ascii="Times New Roman" w:hAnsi="Times New Roman" w:cs="Times New Roman"/>
        </w:rPr>
        <w:t>technology</w:t>
      </w:r>
      <w:r w:rsidR="00C628B6" w:rsidRPr="004708E1">
        <w:rPr>
          <w:rFonts w:ascii="Times New Roman" w:hAnsi="Times New Roman" w:cs="Times New Roman"/>
        </w:rPr>
        <w:t>, highlighting three key points. First, inactive capacity (i.e., failed, paused, or no update) exceeds completed capacity. Specifically,</w:t>
      </w:r>
      <w:r w:rsidRPr="004708E1">
        <w:rPr>
          <w:rFonts w:ascii="Times New Roman" w:hAnsi="Times New Roman" w:cs="Times New Roman"/>
        </w:rPr>
        <w:t xml:space="preserve"> at global level,</w:t>
      </w:r>
      <w:r w:rsidR="00C628B6" w:rsidRPr="004708E1">
        <w:rPr>
          <w:rFonts w:ascii="Times New Roman" w:hAnsi="Times New Roman" w:cs="Times New Roman"/>
        </w:rPr>
        <w:t xml:space="preserve"> </w:t>
      </w:r>
      <w:r w:rsidRPr="004708E1">
        <w:rPr>
          <w:rFonts w:ascii="Times New Roman" w:hAnsi="Times New Roman" w:cs="Times New Roman"/>
        </w:rPr>
        <w:t>31</w:t>
      </w:r>
      <w:r w:rsidR="00C628B6" w:rsidRPr="004708E1">
        <w:rPr>
          <w:rFonts w:ascii="Times New Roman" w:hAnsi="Times New Roman" w:cs="Times New Roman"/>
        </w:rPr>
        <w:t>% (2.79 Mt/year) of the 9.</w:t>
      </w:r>
      <w:r w:rsidRPr="004708E1">
        <w:rPr>
          <w:rFonts w:ascii="Times New Roman" w:hAnsi="Times New Roman" w:cs="Times New Roman"/>
        </w:rPr>
        <w:t>08</w:t>
      </w:r>
      <w:r w:rsidR="00C628B6" w:rsidRPr="004708E1">
        <w:rPr>
          <w:rFonts w:ascii="Times New Roman" w:hAnsi="Times New Roman" w:cs="Times New Roman"/>
        </w:rPr>
        <w:t xml:space="preserve"> Mt announced capacity </w:t>
      </w:r>
      <w:r w:rsidRPr="004708E1">
        <w:rPr>
          <w:rFonts w:ascii="Times New Roman" w:hAnsi="Times New Roman" w:cs="Times New Roman"/>
        </w:rPr>
        <w:t xml:space="preserve">to be operational by 2024, </w:t>
      </w:r>
      <w:r w:rsidR="00C628B6" w:rsidRPr="004708E1">
        <w:rPr>
          <w:rFonts w:ascii="Times New Roman" w:hAnsi="Times New Roman" w:cs="Times New Roman"/>
        </w:rPr>
        <w:t>has failed or been paused, compared to 2.</w:t>
      </w:r>
      <w:r w:rsidRPr="004708E1">
        <w:rPr>
          <w:rFonts w:ascii="Times New Roman" w:hAnsi="Times New Roman" w:cs="Times New Roman"/>
        </w:rPr>
        <w:t xml:space="preserve">21 </w:t>
      </w:r>
      <w:r w:rsidR="00C628B6" w:rsidRPr="004708E1">
        <w:rPr>
          <w:rFonts w:ascii="Times New Roman" w:hAnsi="Times New Roman" w:cs="Times New Roman"/>
        </w:rPr>
        <w:t xml:space="preserve">Mt </w:t>
      </w:r>
      <w:r w:rsidRPr="004708E1">
        <w:rPr>
          <w:rFonts w:ascii="Times New Roman" w:hAnsi="Times New Roman" w:cs="Times New Roman"/>
        </w:rPr>
        <w:t xml:space="preserve">(24%) </w:t>
      </w:r>
      <w:r w:rsidR="00C628B6" w:rsidRPr="004708E1">
        <w:rPr>
          <w:rFonts w:ascii="Times New Roman" w:hAnsi="Times New Roman" w:cs="Times New Roman"/>
        </w:rPr>
        <w:t xml:space="preserve">of completed capacity. </w:t>
      </w:r>
      <w:r w:rsidRPr="004708E1">
        <w:rPr>
          <w:rFonts w:ascii="Times New Roman" w:hAnsi="Times New Roman" w:cs="Times New Roman"/>
        </w:rPr>
        <w:t>I</w:t>
      </w:r>
      <w:r w:rsidR="00C628B6" w:rsidRPr="004708E1">
        <w:rPr>
          <w:rFonts w:ascii="Times New Roman" w:hAnsi="Times New Roman" w:cs="Times New Roman"/>
        </w:rPr>
        <w:t xml:space="preserve">nactive capacity </w:t>
      </w:r>
      <w:r w:rsidRPr="004708E1">
        <w:rPr>
          <w:rFonts w:ascii="Times New Roman" w:hAnsi="Times New Roman" w:cs="Times New Roman"/>
        </w:rPr>
        <w:t>increases</w:t>
      </w:r>
      <w:r w:rsidR="00C628B6" w:rsidRPr="004708E1">
        <w:rPr>
          <w:rFonts w:ascii="Times New Roman" w:hAnsi="Times New Roman" w:cs="Times New Roman"/>
        </w:rPr>
        <w:t xml:space="preserve"> to 3.</w:t>
      </w:r>
      <w:r w:rsidRPr="004708E1">
        <w:rPr>
          <w:rFonts w:ascii="Times New Roman" w:hAnsi="Times New Roman" w:cs="Times New Roman"/>
        </w:rPr>
        <w:t>81</w:t>
      </w:r>
      <w:r w:rsidR="00C628B6" w:rsidRPr="004708E1">
        <w:rPr>
          <w:rFonts w:ascii="Times New Roman" w:hAnsi="Times New Roman" w:cs="Times New Roman"/>
        </w:rPr>
        <w:t xml:space="preserve"> Mt </w:t>
      </w:r>
      <w:r w:rsidR="006A4A89">
        <w:rPr>
          <w:rFonts w:ascii="Times New Roman" w:hAnsi="Times New Roman" w:cs="Times New Roman"/>
        </w:rPr>
        <w:t xml:space="preserve">when </w:t>
      </w:r>
      <w:r w:rsidR="00C628B6" w:rsidRPr="004708E1">
        <w:rPr>
          <w:rFonts w:ascii="Times New Roman" w:hAnsi="Times New Roman" w:cs="Times New Roman"/>
        </w:rPr>
        <w:t>considering the expected capacity by 2030, indicating that some projects planned for operation in the following years have already been canceled</w:t>
      </w:r>
      <w:r w:rsidRPr="004708E1">
        <w:rPr>
          <w:rFonts w:ascii="Times New Roman" w:hAnsi="Times New Roman" w:cs="Times New Roman"/>
        </w:rPr>
        <w:t xml:space="preserve"> or halted</w:t>
      </w:r>
      <w:r w:rsidR="00C628B6" w:rsidRPr="004708E1">
        <w:rPr>
          <w:rFonts w:ascii="Times New Roman" w:hAnsi="Times New Roman" w:cs="Times New Roman"/>
        </w:rPr>
        <w:t xml:space="preserve">. </w:t>
      </w:r>
      <w:r w:rsidRPr="004708E1">
        <w:rPr>
          <w:rFonts w:ascii="Times New Roman" w:hAnsi="Times New Roman" w:cs="Times New Roman"/>
        </w:rPr>
        <w:t xml:space="preserve">Similarly, in the EU, the inactive capacity accounts for 29% whereas the completed capacity is 26% of the total expected by 2024 and 13% of the announced capacity by 2030 has </w:t>
      </w:r>
      <w:r w:rsidR="006A4A89">
        <w:rPr>
          <w:rFonts w:ascii="Times New Roman" w:hAnsi="Times New Roman" w:cs="Times New Roman"/>
        </w:rPr>
        <w:t xml:space="preserve">already </w:t>
      </w:r>
      <w:r w:rsidRPr="004708E1">
        <w:rPr>
          <w:rFonts w:ascii="Times New Roman" w:hAnsi="Times New Roman" w:cs="Times New Roman"/>
        </w:rPr>
        <w:t xml:space="preserve">failed or </w:t>
      </w:r>
      <w:r w:rsidR="006A4A89">
        <w:rPr>
          <w:rFonts w:ascii="Times New Roman" w:hAnsi="Times New Roman" w:cs="Times New Roman"/>
        </w:rPr>
        <w:t xml:space="preserve">been </w:t>
      </w:r>
      <w:r w:rsidRPr="004708E1">
        <w:rPr>
          <w:rFonts w:ascii="Times New Roman" w:hAnsi="Times New Roman" w:cs="Times New Roman"/>
        </w:rPr>
        <w:t xml:space="preserve">paused. </w:t>
      </w:r>
      <w:r w:rsidR="00C628B6" w:rsidRPr="004708E1">
        <w:rPr>
          <w:rFonts w:ascii="Times New Roman" w:hAnsi="Times New Roman" w:cs="Times New Roman"/>
        </w:rPr>
        <w:t xml:space="preserve">Second, delays dominate the expected capacity. </w:t>
      </w:r>
      <w:r w:rsidRPr="004708E1">
        <w:rPr>
          <w:rFonts w:ascii="Times New Roman" w:hAnsi="Times New Roman" w:cs="Times New Roman"/>
        </w:rPr>
        <w:t>Globally, b</w:t>
      </w:r>
      <w:r w:rsidR="00C628B6" w:rsidRPr="004708E1">
        <w:rPr>
          <w:rFonts w:ascii="Times New Roman" w:hAnsi="Times New Roman" w:cs="Times New Roman"/>
        </w:rPr>
        <w:t>y 2024, 4.</w:t>
      </w:r>
      <w:r w:rsidRPr="004708E1">
        <w:rPr>
          <w:rFonts w:ascii="Times New Roman" w:hAnsi="Times New Roman" w:cs="Times New Roman"/>
        </w:rPr>
        <w:t>08</w:t>
      </w:r>
      <w:r w:rsidR="00C628B6" w:rsidRPr="004708E1">
        <w:rPr>
          <w:rFonts w:ascii="Times New Roman" w:hAnsi="Times New Roman" w:cs="Times New Roman"/>
        </w:rPr>
        <w:t xml:space="preserve"> Mt (4</w:t>
      </w:r>
      <w:r w:rsidRPr="004708E1">
        <w:rPr>
          <w:rFonts w:ascii="Times New Roman" w:hAnsi="Times New Roman" w:cs="Times New Roman"/>
        </w:rPr>
        <w:t>5</w:t>
      </w:r>
      <w:r w:rsidR="00C628B6" w:rsidRPr="004708E1">
        <w:rPr>
          <w:rFonts w:ascii="Times New Roman" w:hAnsi="Times New Roman" w:cs="Times New Roman"/>
        </w:rPr>
        <w:t>%) of the expected capacity is under construction, backed by FID, in the FEED or early feasibility stage, meaning the completion of these projects has been delayed to 2025 or beyond. Combined with inactive capacity, 7</w:t>
      </w:r>
      <w:r w:rsidRPr="004708E1">
        <w:rPr>
          <w:rFonts w:ascii="Times New Roman" w:hAnsi="Times New Roman" w:cs="Times New Roman"/>
        </w:rPr>
        <w:t>6</w:t>
      </w:r>
      <w:r w:rsidR="00C628B6" w:rsidRPr="004708E1">
        <w:rPr>
          <w:rFonts w:ascii="Times New Roman" w:hAnsi="Times New Roman" w:cs="Times New Roman"/>
        </w:rPr>
        <w:t xml:space="preserve">% of the announced SAF capacity for 2024 was not realized on time. Of the delayed capacity, 3.1 Mt is in the advanced development stage (i.e., under construction, FID, or FEED), while the rest remains in the early development stages. </w:t>
      </w:r>
      <w:r w:rsidRPr="004708E1">
        <w:rPr>
          <w:rFonts w:ascii="Times New Roman" w:hAnsi="Times New Roman" w:cs="Times New Roman"/>
        </w:rPr>
        <w:t>In the EU, the delayed capacity also accounts for 45%</w:t>
      </w:r>
      <w:r w:rsidR="003F78F7">
        <w:rPr>
          <w:rFonts w:ascii="Times New Roman" w:hAnsi="Times New Roman" w:cs="Times New Roman"/>
        </w:rPr>
        <w:t xml:space="preserve"> and, </w:t>
      </w:r>
      <w:r w:rsidRPr="004708E1">
        <w:rPr>
          <w:rFonts w:ascii="Times New Roman" w:hAnsi="Times New Roman" w:cs="Times New Roman"/>
        </w:rPr>
        <w:t xml:space="preserve">74% of the total expected capacity </w:t>
      </w:r>
      <w:r w:rsidR="003F78F7">
        <w:rPr>
          <w:rFonts w:ascii="Times New Roman" w:hAnsi="Times New Roman" w:cs="Times New Roman"/>
        </w:rPr>
        <w:t xml:space="preserve">has </w:t>
      </w:r>
      <w:r w:rsidRPr="004708E1">
        <w:rPr>
          <w:rFonts w:ascii="Times New Roman" w:hAnsi="Times New Roman" w:cs="Times New Roman"/>
        </w:rPr>
        <w:t>not</w:t>
      </w:r>
      <w:r w:rsidR="003F78F7">
        <w:rPr>
          <w:rFonts w:ascii="Times New Roman" w:hAnsi="Times New Roman" w:cs="Times New Roman"/>
        </w:rPr>
        <w:t xml:space="preserve"> been</w:t>
      </w:r>
      <w:r w:rsidRPr="004708E1">
        <w:rPr>
          <w:rFonts w:ascii="Times New Roman" w:hAnsi="Times New Roman" w:cs="Times New Roman"/>
        </w:rPr>
        <w:t xml:space="preserve"> realized according to announced plans. </w:t>
      </w:r>
      <w:r w:rsidR="00C628B6" w:rsidRPr="004708E1">
        <w:rPr>
          <w:rFonts w:ascii="Times New Roman" w:hAnsi="Times New Roman" w:cs="Times New Roman"/>
        </w:rPr>
        <w:t xml:space="preserve">Third, similar trends persist </w:t>
      </w:r>
      <w:r w:rsidR="005379D7" w:rsidRPr="004708E1">
        <w:rPr>
          <w:rFonts w:ascii="Times New Roman" w:hAnsi="Times New Roman" w:cs="Times New Roman"/>
        </w:rPr>
        <w:t>by 2030</w:t>
      </w:r>
      <w:r w:rsidR="00C628B6" w:rsidRPr="004708E1">
        <w:rPr>
          <w:rFonts w:ascii="Times New Roman" w:hAnsi="Times New Roman" w:cs="Times New Roman"/>
        </w:rPr>
        <w:t>. Only 6% of the announced capacity has been realized</w:t>
      </w:r>
      <w:r w:rsidR="005379D7" w:rsidRPr="004708E1">
        <w:rPr>
          <w:rFonts w:ascii="Times New Roman" w:hAnsi="Times New Roman" w:cs="Times New Roman"/>
        </w:rPr>
        <w:t xml:space="preserve"> both at global and the EU level</w:t>
      </w:r>
      <w:r w:rsidR="00C628B6" w:rsidRPr="004708E1">
        <w:rPr>
          <w:rFonts w:ascii="Times New Roman" w:hAnsi="Times New Roman" w:cs="Times New Roman"/>
        </w:rPr>
        <w:t>. A higher share of projects (10%</w:t>
      </w:r>
      <w:r w:rsidR="005379D7" w:rsidRPr="004708E1">
        <w:rPr>
          <w:rFonts w:ascii="Times New Roman" w:hAnsi="Times New Roman" w:cs="Times New Roman"/>
        </w:rPr>
        <w:t xml:space="preserve"> and 13%</w:t>
      </w:r>
      <w:r w:rsidR="00C628B6" w:rsidRPr="004708E1">
        <w:rPr>
          <w:rFonts w:ascii="Times New Roman" w:hAnsi="Times New Roman" w:cs="Times New Roman"/>
        </w:rPr>
        <w:t>) has already failed or been paused.</w:t>
      </w:r>
      <w:r w:rsidR="005379D7" w:rsidRPr="004708E1">
        <w:rPr>
          <w:rFonts w:ascii="Times New Roman" w:hAnsi="Times New Roman" w:cs="Times New Roman"/>
        </w:rPr>
        <w:t xml:space="preserve"> Globally,</w:t>
      </w:r>
      <w:r w:rsidR="00C628B6" w:rsidRPr="004708E1">
        <w:rPr>
          <w:rFonts w:ascii="Times New Roman" w:hAnsi="Times New Roman" w:cs="Times New Roman"/>
        </w:rPr>
        <w:t xml:space="preserve"> 84% of the announced capacity remains under development, </w:t>
      </w:r>
      <w:r w:rsidR="005379D7" w:rsidRPr="004708E1">
        <w:rPr>
          <w:rFonts w:ascii="Times New Roman" w:hAnsi="Times New Roman" w:cs="Times New Roman"/>
        </w:rPr>
        <w:t>half of which is</w:t>
      </w:r>
      <w:r w:rsidR="00C628B6" w:rsidRPr="004708E1">
        <w:rPr>
          <w:rFonts w:ascii="Times New Roman" w:hAnsi="Times New Roman" w:cs="Times New Roman"/>
        </w:rPr>
        <w:t xml:space="preserve"> in the early stages.</w:t>
      </w:r>
      <w:r w:rsidR="005379D7" w:rsidRPr="004708E1">
        <w:rPr>
          <w:rFonts w:ascii="Times New Roman" w:hAnsi="Times New Roman" w:cs="Times New Roman"/>
        </w:rPr>
        <w:t xml:space="preserve"> The capacity still under development </w:t>
      </w:r>
      <w:r w:rsidR="00F17AF6">
        <w:rPr>
          <w:rFonts w:ascii="Times New Roman" w:hAnsi="Times New Roman" w:cs="Times New Roman"/>
        </w:rPr>
        <w:t>is</w:t>
      </w:r>
      <w:r w:rsidR="005379D7" w:rsidRPr="004708E1">
        <w:rPr>
          <w:rFonts w:ascii="Times New Roman" w:hAnsi="Times New Roman" w:cs="Times New Roman"/>
        </w:rPr>
        <w:t xml:space="preserve"> 81% in the EU, with approximately 37% still being in early development stages. </w:t>
      </w:r>
      <w:r w:rsidR="009D04D1" w:rsidRPr="004708E1">
        <w:rPr>
          <w:rFonts w:ascii="Times New Roman" w:hAnsi="Times New Roman" w:cs="Times New Roman"/>
        </w:rPr>
        <w:t>Globally, o</w:t>
      </w:r>
      <w:r w:rsidR="00C628B6" w:rsidRPr="004708E1">
        <w:rPr>
          <w:rFonts w:ascii="Times New Roman" w:hAnsi="Times New Roman" w:cs="Times New Roman"/>
        </w:rPr>
        <w:t>nly 9.</w:t>
      </w:r>
      <w:r w:rsidR="009D04D1" w:rsidRPr="004708E1">
        <w:rPr>
          <w:rFonts w:ascii="Times New Roman" w:hAnsi="Times New Roman" w:cs="Times New Roman"/>
        </w:rPr>
        <w:t>9</w:t>
      </w:r>
      <w:r w:rsidR="00C628B6" w:rsidRPr="004708E1">
        <w:rPr>
          <w:rFonts w:ascii="Times New Roman" w:hAnsi="Times New Roman" w:cs="Times New Roman"/>
        </w:rPr>
        <w:t xml:space="preserve"> Mt of </w:t>
      </w:r>
      <w:r w:rsidR="00F17AF6">
        <w:rPr>
          <w:rFonts w:ascii="Times New Roman" w:hAnsi="Times New Roman" w:cs="Times New Roman"/>
        </w:rPr>
        <w:t>announced capacity</w:t>
      </w:r>
      <w:r w:rsidR="00C628B6" w:rsidRPr="004708E1">
        <w:rPr>
          <w:rFonts w:ascii="Times New Roman" w:hAnsi="Times New Roman" w:cs="Times New Roman"/>
        </w:rPr>
        <w:t xml:space="preserve"> to be realized by 2030 is backed by a final investment decision as of the end of 2024. Therefore, the </w:t>
      </w:r>
      <w:r w:rsidR="000B3878" w:rsidRPr="004708E1">
        <w:rPr>
          <w:rFonts w:ascii="Times New Roman" w:hAnsi="Times New Roman" w:cs="Times New Roman"/>
        </w:rPr>
        <w:t>significant fraction of SAF capacity projects still in the early development stages along with eventual delays in projects that are</w:t>
      </w:r>
      <w:r w:rsidR="004708E1">
        <w:rPr>
          <w:rFonts w:ascii="Times New Roman" w:hAnsi="Times New Roman" w:cs="Times New Roman"/>
        </w:rPr>
        <w:t xml:space="preserve"> c</w:t>
      </w:r>
      <w:r w:rsidR="000B3878" w:rsidRPr="004708E1">
        <w:rPr>
          <w:rFonts w:ascii="Times New Roman" w:hAnsi="Times New Roman" w:cs="Times New Roman"/>
        </w:rPr>
        <w:t>urrently at an advanced stage</w:t>
      </w:r>
      <w:r w:rsidR="00C628B6" w:rsidRPr="004708E1">
        <w:rPr>
          <w:rFonts w:ascii="Times New Roman" w:hAnsi="Times New Roman" w:cs="Times New Roman"/>
        </w:rPr>
        <w:t xml:space="preserve"> indicate a high likelihood that the realization gap will grow in the coming years.</w:t>
      </w:r>
    </w:p>
    <w:p w14:paraId="0CD4637B" w14:textId="2F731447" w:rsidR="0070064A" w:rsidRDefault="0070064A">
      <w:pPr>
        <w:rPr>
          <w:rFonts w:ascii="Times New Roman" w:hAnsi="Times New Roman" w:cs="Times New Roman"/>
        </w:rPr>
      </w:pPr>
      <w:r>
        <w:rPr>
          <w:rFonts w:ascii="Times New Roman" w:hAnsi="Times New Roman" w:cs="Times New Roman"/>
        </w:rPr>
        <w:br w:type="page"/>
      </w:r>
    </w:p>
    <w:p w14:paraId="7E9F937A" w14:textId="3C823220" w:rsidR="0070064A" w:rsidRDefault="00443878" w:rsidP="0070064A">
      <w:pPr>
        <w:keepNext/>
        <w:jc w:val="both"/>
      </w:pPr>
      <w:r>
        <w:rPr>
          <w:noProof/>
        </w:rPr>
        <w:lastRenderedPageBreak/>
        <w:drawing>
          <wp:inline distT="0" distB="0" distL="0" distR="0" wp14:anchorId="52B68689" wp14:editId="47698DFB">
            <wp:extent cx="5640081" cy="370924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30858"/>
                    <a:stretch/>
                  </pic:blipFill>
                  <pic:spPr bwMode="auto">
                    <a:xfrm>
                      <a:off x="0" y="0"/>
                      <a:ext cx="5642170" cy="3710615"/>
                    </a:xfrm>
                    <a:prstGeom prst="rect">
                      <a:avLst/>
                    </a:prstGeom>
                    <a:noFill/>
                    <a:ln>
                      <a:noFill/>
                    </a:ln>
                    <a:extLst>
                      <a:ext uri="{53640926-AAD7-44D8-BBD7-CCE9431645EC}">
                        <a14:shadowObscured xmlns:a14="http://schemas.microsoft.com/office/drawing/2010/main"/>
                      </a:ext>
                    </a:extLst>
                  </pic:spPr>
                </pic:pic>
              </a:graphicData>
            </a:graphic>
          </wp:inline>
        </w:drawing>
      </w:r>
    </w:p>
    <w:p w14:paraId="6CDDA4B5" w14:textId="4B9CDA9F" w:rsidR="0070064A" w:rsidRPr="009C54C6" w:rsidRDefault="0070064A" w:rsidP="0070064A">
      <w:pPr>
        <w:pStyle w:val="Caption"/>
        <w:jc w:val="both"/>
        <w:rPr>
          <w:color w:val="000000" w:themeColor="text1"/>
        </w:rPr>
      </w:pPr>
      <w:r w:rsidRPr="009C54C6">
        <w:rPr>
          <w:color w:val="000000" w:themeColor="text1"/>
        </w:rPr>
        <w:t xml:space="preserve">Figure </w:t>
      </w:r>
      <w:r w:rsidR="00EC7B3C" w:rsidRPr="009C54C6">
        <w:rPr>
          <w:color w:val="000000" w:themeColor="text1"/>
        </w:rPr>
        <w:fldChar w:fldCharType="begin"/>
      </w:r>
      <w:r w:rsidR="00EC7B3C" w:rsidRPr="009C54C6">
        <w:rPr>
          <w:color w:val="000000" w:themeColor="text1"/>
        </w:rPr>
        <w:instrText xml:space="preserve"> SEQ Figure \* ARABIC </w:instrText>
      </w:r>
      <w:r w:rsidR="00EC7B3C" w:rsidRPr="009C54C6">
        <w:rPr>
          <w:color w:val="000000" w:themeColor="text1"/>
        </w:rPr>
        <w:fldChar w:fldCharType="separate"/>
      </w:r>
      <w:r w:rsidR="0043429D">
        <w:rPr>
          <w:noProof/>
          <w:color w:val="000000" w:themeColor="text1"/>
        </w:rPr>
        <w:t>2</w:t>
      </w:r>
      <w:r w:rsidR="00EC7B3C" w:rsidRPr="009C54C6">
        <w:rPr>
          <w:color w:val="000000" w:themeColor="text1"/>
        </w:rPr>
        <w:fldChar w:fldCharType="end"/>
      </w:r>
      <w:r w:rsidRPr="009C54C6">
        <w:rPr>
          <w:color w:val="000000" w:themeColor="text1"/>
        </w:rPr>
        <w:t>:</w:t>
      </w:r>
      <w:r w:rsidR="00787082" w:rsidRPr="009C54C6">
        <w:rPr>
          <w:color w:val="000000" w:themeColor="text1"/>
        </w:rPr>
        <w:t xml:space="preserve"> </w:t>
      </w:r>
      <w:r w:rsidR="00FB5952" w:rsidRPr="009C54C6">
        <w:rPr>
          <w:color w:val="000000" w:themeColor="text1"/>
        </w:rPr>
        <w:t>Global h</w:t>
      </w:r>
      <w:r w:rsidR="00787082" w:rsidRPr="009C54C6">
        <w:rPr>
          <w:color w:val="000000" w:themeColor="text1"/>
        </w:rPr>
        <w:t xml:space="preserve">istorical data and exponential fit of solar and wind energy capacity, biofuels and ethanol production </w:t>
      </w:r>
      <w:r w:rsidR="00B928E9" w:rsidRPr="009C54C6">
        <w:rPr>
          <w:color w:val="000000" w:themeColor="text1"/>
        </w:rPr>
        <w:t>(Left Y axis). Computed growth rates are shown in green (Right Y axis)</w:t>
      </w:r>
      <w:r w:rsidR="00603921" w:rsidRPr="009C54C6">
        <w:rPr>
          <w:color w:val="000000" w:themeColor="text1"/>
        </w:rPr>
        <w:t>.</w:t>
      </w:r>
      <w:r w:rsidR="00E964E9" w:rsidRPr="009C54C6">
        <w:rPr>
          <w:color w:val="000000" w:themeColor="text1"/>
        </w:rPr>
        <w:t xml:space="preserve"> The emergence growth rates</w:t>
      </w:r>
      <w:r w:rsidR="00471DE1" w:rsidRPr="009C54C6">
        <w:rPr>
          <w:color w:val="000000" w:themeColor="text1"/>
        </w:rPr>
        <w:t xml:space="preserve"> in the following years</w:t>
      </w:r>
      <w:r w:rsidR="00E964E9" w:rsidRPr="009C54C6">
        <w:rPr>
          <w:color w:val="000000" w:themeColor="text1"/>
        </w:rPr>
        <w:t xml:space="preserve"> were selected for the stochastic diffusion model. Solar: </w:t>
      </w:r>
      <w:r w:rsidR="006C57E4" w:rsidRPr="009C54C6">
        <w:rPr>
          <w:color w:val="000000" w:themeColor="text1"/>
        </w:rPr>
        <w:t>2000 – 2009; Wind: 1997 – 2006; Biofuels: 1999 – 2007; Ethanol: 1999 – 200</w:t>
      </w:r>
      <w:r w:rsidR="00B14263" w:rsidRPr="009C54C6">
        <w:rPr>
          <w:color w:val="000000" w:themeColor="text1"/>
        </w:rPr>
        <w:t>7</w:t>
      </w:r>
      <w:r w:rsidR="006C57E4" w:rsidRPr="009C54C6">
        <w:rPr>
          <w:color w:val="000000" w:themeColor="text1"/>
        </w:rPr>
        <w:t>.</w:t>
      </w:r>
    </w:p>
    <w:p w14:paraId="4B5C25AC" w14:textId="35FA7BD3" w:rsidR="00B0023A" w:rsidRDefault="00B14263" w:rsidP="00B0023A">
      <w:pPr>
        <w:keepNext/>
      </w:pPr>
      <w:r>
        <w:rPr>
          <w:noProof/>
        </w:rPr>
        <w:drawing>
          <wp:inline distT="0" distB="0" distL="0" distR="0" wp14:anchorId="22FBBC18" wp14:editId="4685D27A">
            <wp:extent cx="5760720" cy="354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49650"/>
                    </a:xfrm>
                    <a:prstGeom prst="rect">
                      <a:avLst/>
                    </a:prstGeom>
                    <a:noFill/>
                    <a:ln>
                      <a:noFill/>
                    </a:ln>
                  </pic:spPr>
                </pic:pic>
              </a:graphicData>
            </a:graphic>
          </wp:inline>
        </w:drawing>
      </w:r>
    </w:p>
    <w:p w14:paraId="4DE8CD23" w14:textId="0358FB6B" w:rsidR="00B0023A" w:rsidRPr="009C54C6" w:rsidRDefault="00B0023A" w:rsidP="00B0023A">
      <w:pPr>
        <w:pStyle w:val="Caption"/>
        <w:jc w:val="both"/>
        <w:rPr>
          <w:color w:val="000000" w:themeColor="text1"/>
        </w:rPr>
      </w:pPr>
      <w:r w:rsidRPr="009C54C6">
        <w:rPr>
          <w:color w:val="000000" w:themeColor="text1"/>
        </w:rPr>
        <w:t xml:space="preserve">Figure </w:t>
      </w:r>
      <w:r w:rsidR="00EC7B3C" w:rsidRPr="009C54C6">
        <w:rPr>
          <w:color w:val="000000" w:themeColor="text1"/>
        </w:rPr>
        <w:fldChar w:fldCharType="begin"/>
      </w:r>
      <w:r w:rsidR="00EC7B3C" w:rsidRPr="009C54C6">
        <w:rPr>
          <w:color w:val="000000" w:themeColor="text1"/>
        </w:rPr>
        <w:instrText xml:space="preserve"> SEQ Figure \* ARABIC </w:instrText>
      </w:r>
      <w:r w:rsidR="00EC7B3C" w:rsidRPr="009C54C6">
        <w:rPr>
          <w:color w:val="000000" w:themeColor="text1"/>
        </w:rPr>
        <w:fldChar w:fldCharType="separate"/>
      </w:r>
      <w:r w:rsidR="0043429D">
        <w:rPr>
          <w:noProof/>
          <w:color w:val="000000" w:themeColor="text1"/>
        </w:rPr>
        <w:t>3</w:t>
      </w:r>
      <w:r w:rsidR="00EC7B3C" w:rsidRPr="009C54C6">
        <w:rPr>
          <w:color w:val="000000" w:themeColor="text1"/>
        </w:rPr>
        <w:fldChar w:fldCharType="end"/>
      </w:r>
      <w:r w:rsidRPr="009C54C6">
        <w:rPr>
          <w:color w:val="000000" w:themeColor="text1"/>
        </w:rPr>
        <w:t>: EU historical data and exponential fit of solar and wind energy capacity, biofuels production and</w:t>
      </w:r>
      <w:r w:rsidR="00B14263" w:rsidRPr="009C54C6">
        <w:rPr>
          <w:color w:val="000000" w:themeColor="text1"/>
        </w:rPr>
        <w:t xml:space="preserve"> ethanol</w:t>
      </w:r>
      <w:r w:rsidRPr="009C54C6">
        <w:rPr>
          <w:color w:val="000000" w:themeColor="text1"/>
        </w:rPr>
        <w:t xml:space="preserve"> refining capacity (Left Y axis). For the ethanol production, the global data and growth rates also also employed for the EU case. Computed growth rates are shown in green (Right Y axis). The emergence growth rates in the following years were selected for the stochastic diffusion model. Solar: 2000 – 2009; Wind: 1997 – 2006; Biofuels: 1996 – 2005; </w:t>
      </w:r>
      <w:r w:rsidR="00B14263" w:rsidRPr="009C54C6">
        <w:rPr>
          <w:color w:val="000000" w:themeColor="text1"/>
        </w:rPr>
        <w:t>Ethanol production</w:t>
      </w:r>
      <w:r w:rsidRPr="009C54C6">
        <w:rPr>
          <w:color w:val="000000" w:themeColor="text1"/>
        </w:rPr>
        <w:t xml:space="preserve">: </w:t>
      </w:r>
      <w:r w:rsidR="00B14263" w:rsidRPr="009C54C6">
        <w:rPr>
          <w:color w:val="000000" w:themeColor="text1"/>
        </w:rPr>
        <w:t>1999</w:t>
      </w:r>
      <w:r w:rsidRPr="009C54C6">
        <w:rPr>
          <w:color w:val="000000" w:themeColor="text1"/>
        </w:rPr>
        <w:t xml:space="preserve"> – </w:t>
      </w:r>
      <w:r w:rsidR="00B14263" w:rsidRPr="009C54C6">
        <w:rPr>
          <w:color w:val="000000" w:themeColor="text1"/>
        </w:rPr>
        <w:t>2007</w:t>
      </w:r>
      <w:r w:rsidRPr="009C54C6">
        <w:rPr>
          <w:color w:val="000000" w:themeColor="text1"/>
        </w:rPr>
        <w:t>.</w:t>
      </w:r>
      <w:r w:rsidR="00DC63B7" w:rsidRPr="00DC63B7">
        <w:rPr>
          <w:noProof/>
        </w:rPr>
        <w:t xml:space="preserve"> </w:t>
      </w:r>
    </w:p>
    <w:p w14:paraId="20C28A40" w14:textId="77777777" w:rsidR="00DC63B7" w:rsidRDefault="00DC63B7" w:rsidP="00DC63B7">
      <w:pPr>
        <w:keepNext/>
        <w:jc w:val="center"/>
      </w:pPr>
      <w:r>
        <w:rPr>
          <w:noProof/>
        </w:rPr>
        <w:lastRenderedPageBreak/>
        <w:drawing>
          <wp:inline distT="0" distB="0" distL="0" distR="0" wp14:anchorId="1F90BA02" wp14:editId="0E3C9221">
            <wp:extent cx="4742815" cy="366268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0" b="-480"/>
                    <a:stretch/>
                  </pic:blipFill>
                  <pic:spPr bwMode="auto">
                    <a:xfrm>
                      <a:off x="0" y="0"/>
                      <a:ext cx="4742815" cy="3662680"/>
                    </a:xfrm>
                    <a:prstGeom prst="rect">
                      <a:avLst/>
                    </a:prstGeom>
                    <a:noFill/>
                    <a:ln>
                      <a:noFill/>
                    </a:ln>
                    <a:extLst>
                      <a:ext uri="{53640926-AAD7-44D8-BBD7-CCE9431645EC}">
                        <a14:shadowObscured xmlns:a14="http://schemas.microsoft.com/office/drawing/2010/main"/>
                      </a:ext>
                    </a:extLst>
                  </pic:spPr>
                </pic:pic>
              </a:graphicData>
            </a:graphic>
          </wp:inline>
        </w:drawing>
      </w:r>
    </w:p>
    <w:p w14:paraId="4C673DB6" w14:textId="05D0C26D" w:rsidR="00525BB1" w:rsidRPr="00DC63B7" w:rsidRDefault="00DC63B7" w:rsidP="00DC63B7">
      <w:pPr>
        <w:pStyle w:val="Caption"/>
        <w:rPr>
          <w:rFonts w:ascii="Times New Roman" w:hAnsi="Times New Roman" w:cs="Times New Roman"/>
          <w:color w:val="000000" w:themeColor="text1"/>
        </w:rPr>
      </w:pPr>
      <w:r w:rsidRPr="00DC63B7">
        <w:rPr>
          <w:color w:val="000000" w:themeColor="text1"/>
        </w:rPr>
        <w:t xml:space="preserve">Figure </w:t>
      </w:r>
      <w:r w:rsidRPr="00DC63B7">
        <w:rPr>
          <w:color w:val="000000" w:themeColor="text1"/>
        </w:rPr>
        <w:fldChar w:fldCharType="begin"/>
      </w:r>
      <w:r w:rsidRPr="00DC63B7">
        <w:rPr>
          <w:color w:val="000000" w:themeColor="text1"/>
        </w:rPr>
        <w:instrText xml:space="preserve"> SEQ Figure \* ARABIC </w:instrText>
      </w:r>
      <w:r w:rsidRPr="00DC63B7">
        <w:rPr>
          <w:color w:val="000000" w:themeColor="text1"/>
        </w:rPr>
        <w:fldChar w:fldCharType="separate"/>
      </w:r>
      <w:r w:rsidR="0043429D">
        <w:rPr>
          <w:noProof/>
          <w:color w:val="000000" w:themeColor="text1"/>
        </w:rPr>
        <w:t>4</w:t>
      </w:r>
      <w:r w:rsidRPr="00DC63B7">
        <w:rPr>
          <w:color w:val="000000" w:themeColor="text1"/>
        </w:rPr>
        <w:fldChar w:fldCharType="end"/>
      </w:r>
      <w:r w:rsidRPr="00DC63B7">
        <w:rPr>
          <w:color w:val="000000" w:themeColor="text1"/>
        </w:rPr>
        <w:t>: Emergence growth rate distributions computed using solar and wind, biofuels and ethanol, and oil refining historical growth rates, globally and in the EU.</w:t>
      </w:r>
    </w:p>
    <w:p w14:paraId="53093AB6" w14:textId="77777777" w:rsidR="00DC63B7" w:rsidRDefault="0053680A" w:rsidP="00DC63B7">
      <w:pPr>
        <w:keepNext/>
        <w:jc w:val="center"/>
      </w:pPr>
      <w:r>
        <w:rPr>
          <w:noProof/>
        </w:rPr>
        <w:drawing>
          <wp:inline distT="0" distB="0" distL="0" distR="0" wp14:anchorId="1584A52F" wp14:editId="7DCF7B7C">
            <wp:extent cx="5760720" cy="2403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403475"/>
                    </a:xfrm>
                    <a:prstGeom prst="rect">
                      <a:avLst/>
                    </a:prstGeom>
                    <a:noFill/>
                    <a:ln>
                      <a:noFill/>
                    </a:ln>
                  </pic:spPr>
                </pic:pic>
              </a:graphicData>
            </a:graphic>
          </wp:inline>
        </w:drawing>
      </w:r>
    </w:p>
    <w:p w14:paraId="31D235AC" w14:textId="2EB91F10" w:rsidR="0013349C" w:rsidRPr="00B22E4B" w:rsidRDefault="00DC63B7" w:rsidP="0013349C">
      <w:pPr>
        <w:pStyle w:val="Caption"/>
        <w:jc w:val="both"/>
        <w:rPr>
          <w:color w:val="000000" w:themeColor="text1"/>
        </w:rPr>
      </w:pPr>
      <w:r w:rsidRPr="00DC63B7">
        <w:rPr>
          <w:color w:val="000000" w:themeColor="text1"/>
        </w:rPr>
        <w:t xml:space="preserve">Figure </w:t>
      </w:r>
      <w:r w:rsidRPr="00DC63B7">
        <w:rPr>
          <w:color w:val="000000" w:themeColor="text1"/>
        </w:rPr>
        <w:fldChar w:fldCharType="begin"/>
      </w:r>
      <w:r w:rsidRPr="00DC63B7">
        <w:rPr>
          <w:color w:val="000000" w:themeColor="text1"/>
        </w:rPr>
        <w:instrText xml:space="preserve"> SEQ Figure \* ARABIC </w:instrText>
      </w:r>
      <w:r w:rsidRPr="00DC63B7">
        <w:rPr>
          <w:color w:val="000000" w:themeColor="text1"/>
        </w:rPr>
        <w:fldChar w:fldCharType="separate"/>
      </w:r>
      <w:r w:rsidR="0043429D">
        <w:rPr>
          <w:noProof/>
          <w:color w:val="000000" w:themeColor="text1"/>
        </w:rPr>
        <w:t>5</w:t>
      </w:r>
      <w:r w:rsidRPr="00DC63B7">
        <w:rPr>
          <w:color w:val="000000" w:themeColor="text1"/>
        </w:rPr>
        <w:fldChar w:fldCharType="end"/>
      </w:r>
      <w:r w:rsidRPr="00DC63B7">
        <w:rPr>
          <w:color w:val="000000" w:themeColor="text1"/>
        </w:rPr>
        <w:t>: Global SAF capacity potential scale-up out to 2050 computed with biofuels and ethanol growth rates (panel a) and solar and wind growth rates (panel b), in the case of low aviation traffic (low demand). The corresponding 2050 ICAO target is defined by the F2 - LOW scenario.</w:t>
      </w:r>
      <w:r w:rsidR="00211BE8" w:rsidRPr="00DC63B7">
        <w:rPr>
          <w:noProof/>
          <w:color w:val="000000" w:themeColor="text1"/>
        </w:rPr>
        <w:t xml:space="preserve"> </w:t>
      </w:r>
      <w:r w:rsidR="0013349C">
        <w:rPr>
          <w:color w:val="000000" w:themeColor="text1"/>
        </w:rPr>
        <w:t>With solar and wind growth rates, the median capacity in 2050 is 438 Mt/year (IQR of 399 – 452 Mt/year), which is 6.4% lower than the policy target (468 Mt/year).</w:t>
      </w:r>
    </w:p>
    <w:p w14:paraId="606A6747" w14:textId="6861C9A5" w:rsidR="004708E1" w:rsidRPr="00DC63B7" w:rsidRDefault="004708E1" w:rsidP="00DC63B7">
      <w:pPr>
        <w:pStyle w:val="Caption"/>
        <w:rPr>
          <w:i w:val="0"/>
          <w:iCs w:val="0"/>
          <w:noProof/>
          <w:color w:val="auto"/>
          <w:sz w:val="22"/>
          <w:szCs w:val="22"/>
        </w:rPr>
      </w:pPr>
      <w:r w:rsidRPr="00DC63B7">
        <w:rPr>
          <w:i w:val="0"/>
          <w:iCs w:val="0"/>
          <w:noProof/>
          <w:color w:val="auto"/>
          <w:sz w:val="22"/>
          <w:szCs w:val="22"/>
        </w:rPr>
        <w:br w:type="page"/>
      </w:r>
    </w:p>
    <w:p w14:paraId="4C7F0C9D" w14:textId="77777777" w:rsidR="00B22E4B" w:rsidRDefault="00B22E4B" w:rsidP="00B22E4B">
      <w:pPr>
        <w:keepNext/>
        <w:jc w:val="both"/>
      </w:pPr>
      <w:r>
        <w:rPr>
          <w:noProof/>
        </w:rPr>
        <w:lastRenderedPageBreak/>
        <w:drawing>
          <wp:inline distT="0" distB="0" distL="0" distR="0" wp14:anchorId="6EAE32F2" wp14:editId="695065E9">
            <wp:extent cx="5760720" cy="2403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03475"/>
                    </a:xfrm>
                    <a:prstGeom prst="rect">
                      <a:avLst/>
                    </a:prstGeom>
                    <a:noFill/>
                    <a:ln>
                      <a:noFill/>
                    </a:ln>
                  </pic:spPr>
                </pic:pic>
              </a:graphicData>
            </a:graphic>
          </wp:inline>
        </w:drawing>
      </w:r>
    </w:p>
    <w:p w14:paraId="4113D18E" w14:textId="0FF3AFBD" w:rsidR="00B22E4B" w:rsidRPr="00B22E4B" w:rsidRDefault="00B22E4B" w:rsidP="00B22E4B">
      <w:pPr>
        <w:pStyle w:val="Caption"/>
        <w:jc w:val="both"/>
        <w:rPr>
          <w:color w:val="000000" w:themeColor="text1"/>
        </w:rPr>
      </w:pPr>
      <w:r w:rsidRPr="00B22E4B">
        <w:rPr>
          <w:color w:val="000000" w:themeColor="text1"/>
        </w:rPr>
        <w:t xml:space="preserve">Figure </w:t>
      </w:r>
      <w:r w:rsidRPr="00B22E4B">
        <w:rPr>
          <w:color w:val="000000" w:themeColor="text1"/>
        </w:rPr>
        <w:fldChar w:fldCharType="begin"/>
      </w:r>
      <w:r w:rsidRPr="00B22E4B">
        <w:rPr>
          <w:color w:val="000000" w:themeColor="text1"/>
        </w:rPr>
        <w:instrText xml:space="preserve"> SEQ Figure \* ARABIC </w:instrText>
      </w:r>
      <w:r w:rsidRPr="00B22E4B">
        <w:rPr>
          <w:color w:val="000000" w:themeColor="text1"/>
        </w:rPr>
        <w:fldChar w:fldCharType="separate"/>
      </w:r>
      <w:r w:rsidR="0043429D">
        <w:rPr>
          <w:noProof/>
          <w:color w:val="000000" w:themeColor="text1"/>
        </w:rPr>
        <w:t>6</w:t>
      </w:r>
      <w:r w:rsidRPr="00B22E4B">
        <w:rPr>
          <w:color w:val="000000" w:themeColor="text1"/>
        </w:rPr>
        <w:fldChar w:fldCharType="end"/>
      </w:r>
      <w:r w:rsidRPr="00B22E4B">
        <w:rPr>
          <w:color w:val="000000" w:themeColor="text1"/>
        </w:rPr>
        <w:t>: Global SAF capacity potential scale-up out to 2050 computed with biofuels and ethanol growth rates (panel a) and solar and wind growth rates (panel b), in the case of medium aviation traffic (medium demand). The corresponding 2050 ICAO target is defined by the F2 – MEDIUM scenario.</w:t>
      </w:r>
      <w:r w:rsidR="007210BE">
        <w:rPr>
          <w:color w:val="000000" w:themeColor="text1"/>
        </w:rPr>
        <w:t xml:space="preserve"> With solar and wind growth rates, the median capacity in 2050 is </w:t>
      </w:r>
      <w:r w:rsidR="0013349C">
        <w:rPr>
          <w:color w:val="000000" w:themeColor="text1"/>
        </w:rPr>
        <w:t>537</w:t>
      </w:r>
      <w:r w:rsidR="007210BE">
        <w:rPr>
          <w:color w:val="000000" w:themeColor="text1"/>
        </w:rPr>
        <w:t xml:space="preserve"> Mt/year (IQR of </w:t>
      </w:r>
      <w:r w:rsidR="0013349C">
        <w:rPr>
          <w:color w:val="000000" w:themeColor="text1"/>
        </w:rPr>
        <w:t>500</w:t>
      </w:r>
      <w:r w:rsidR="007210BE">
        <w:rPr>
          <w:color w:val="000000" w:themeColor="text1"/>
        </w:rPr>
        <w:t xml:space="preserve"> – 557 Mt/year), which is 6.8% lower than the policy target</w:t>
      </w:r>
      <w:r w:rsidR="0013349C">
        <w:rPr>
          <w:color w:val="000000" w:themeColor="text1"/>
        </w:rPr>
        <w:t xml:space="preserve"> (577 Mt/year)</w:t>
      </w:r>
      <w:r w:rsidR="007210BE">
        <w:rPr>
          <w:color w:val="000000" w:themeColor="text1"/>
        </w:rPr>
        <w:t>.</w:t>
      </w:r>
    </w:p>
    <w:p w14:paraId="4D12F823" w14:textId="77777777" w:rsidR="00B22E4B" w:rsidRDefault="00B22E4B" w:rsidP="00B22E4B">
      <w:pPr>
        <w:keepNext/>
        <w:jc w:val="both"/>
      </w:pPr>
      <w:r>
        <w:rPr>
          <w:noProof/>
        </w:rPr>
        <w:drawing>
          <wp:inline distT="0" distB="0" distL="0" distR="0" wp14:anchorId="303DA7CB" wp14:editId="73DB460D">
            <wp:extent cx="5760720" cy="4107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107180"/>
                    </a:xfrm>
                    <a:prstGeom prst="rect">
                      <a:avLst/>
                    </a:prstGeom>
                    <a:noFill/>
                    <a:ln>
                      <a:noFill/>
                    </a:ln>
                  </pic:spPr>
                </pic:pic>
              </a:graphicData>
            </a:graphic>
          </wp:inline>
        </w:drawing>
      </w:r>
    </w:p>
    <w:p w14:paraId="6BC62B3B" w14:textId="6B5565ED" w:rsidR="00B22E4B" w:rsidRPr="00B22E4B" w:rsidRDefault="00B22E4B" w:rsidP="00B22E4B">
      <w:pPr>
        <w:pStyle w:val="Caption"/>
        <w:jc w:val="both"/>
        <w:rPr>
          <w:color w:val="000000" w:themeColor="text1"/>
        </w:rPr>
      </w:pPr>
      <w:r w:rsidRPr="00B22E4B">
        <w:rPr>
          <w:color w:val="000000" w:themeColor="text1"/>
        </w:rPr>
        <w:t xml:space="preserve">Figure </w:t>
      </w:r>
      <w:r w:rsidRPr="00B22E4B">
        <w:rPr>
          <w:color w:val="000000" w:themeColor="text1"/>
        </w:rPr>
        <w:fldChar w:fldCharType="begin"/>
      </w:r>
      <w:r w:rsidRPr="00B22E4B">
        <w:rPr>
          <w:color w:val="000000" w:themeColor="text1"/>
        </w:rPr>
        <w:instrText xml:space="preserve"> SEQ Figure \* ARABIC </w:instrText>
      </w:r>
      <w:r w:rsidRPr="00B22E4B">
        <w:rPr>
          <w:color w:val="000000" w:themeColor="text1"/>
        </w:rPr>
        <w:fldChar w:fldCharType="separate"/>
      </w:r>
      <w:r w:rsidR="0043429D">
        <w:rPr>
          <w:noProof/>
          <w:color w:val="000000" w:themeColor="text1"/>
        </w:rPr>
        <w:t>7</w:t>
      </w:r>
      <w:r w:rsidRPr="00B22E4B">
        <w:rPr>
          <w:color w:val="000000" w:themeColor="text1"/>
        </w:rPr>
        <w:fldChar w:fldCharType="end"/>
      </w:r>
      <w:r w:rsidRPr="00B22E4B">
        <w:rPr>
          <w:color w:val="000000" w:themeColor="text1"/>
        </w:rPr>
        <w:t>: Global SAF capacity potential scale-up out to 2050 computed with biofuels and ethanol growth rates (panel a and b) and solar and wind growth rates (panel c and d). Each figure row represent the potential scale-up computed considering zero (panel a and c) and two years (panel b and d) demand anticipation to reach the SAF policy target in 2030 and 2050.</w:t>
      </w:r>
      <w:r w:rsidR="00AF7553">
        <w:rPr>
          <w:color w:val="000000" w:themeColor="text1"/>
        </w:rPr>
        <w:t xml:space="preserve"> In 2050, with solar and wind growth rates and 2 years demand anticipation, the median SAF capacity is 653 Mt/year (IQR of 588-673 Mt/year), which is 4.7% below the target (685 Mt/year). The 95</w:t>
      </w:r>
      <w:r w:rsidR="00AF7553" w:rsidRPr="00AF7553">
        <w:rPr>
          <w:color w:val="000000" w:themeColor="text1"/>
          <w:vertAlign w:val="superscript"/>
        </w:rPr>
        <w:t>th</w:t>
      </w:r>
      <w:r w:rsidR="00AF7553">
        <w:rPr>
          <w:color w:val="000000" w:themeColor="text1"/>
        </w:rPr>
        <w:t xml:space="preserve"> percentile approaches the target and it equals to 681 Mt/year. </w:t>
      </w:r>
    </w:p>
    <w:p w14:paraId="078C740E" w14:textId="25085E36" w:rsidR="00D201CF" w:rsidRPr="004708E1" w:rsidRDefault="0054529D" w:rsidP="00A86EE2">
      <w:pPr>
        <w:keepNext/>
        <w:jc w:val="both"/>
        <w:rPr>
          <w:rFonts w:ascii="Times New Roman" w:hAnsi="Times New Roman" w:cs="Times New Roman"/>
        </w:rPr>
      </w:pPr>
      <w:r>
        <w:rPr>
          <w:noProof/>
        </w:rPr>
        <w:t xml:space="preserve"> </w:t>
      </w:r>
      <w:r w:rsidR="00C33766">
        <w:rPr>
          <w:noProof/>
        </w:rPr>
        <w:t xml:space="preserve"> </w:t>
      </w:r>
    </w:p>
    <w:p w14:paraId="2CC28601" w14:textId="292359B0" w:rsidR="00A86EE2" w:rsidRPr="00A86EE2" w:rsidRDefault="00AF2A77" w:rsidP="00A86EE2">
      <w:pPr>
        <w:rPr>
          <w:rFonts w:ascii="Times New Roman" w:hAnsi="Times New Roman" w:cs="Times New Roman"/>
        </w:rPr>
      </w:pPr>
      <w:r>
        <w:rPr>
          <w:noProof/>
        </w:rPr>
        <w:t xml:space="preserve"> </w:t>
      </w:r>
    </w:p>
    <w:p w14:paraId="556B1107" w14:textId="77777777" w:rsidR="008471ED" w:rsidRDefault="008471ED"/>
    <w:p w14:paraId="66F55532" w14:textId="77777777" w:rsidR="00883798" w:rsidRDefault="00BB2F78" w:rsidP="00883798">
      <w:pPr>
        <w:keepNext/>
      </w:pPr>
      <w:r>
        <w:rPr>
          <w:noProof/>
        </w:rPr>
        <w:drawing>
          <wp:inline distT="0" distB="0" distL="0" distR="0" wp14:anchorId="669E43F1" wp14:editId="1165F650">
            <wp:extent cx="5760720" cy="2402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402205"/>
                    </a:xfrm>
                    <a:prstGeom prst="rect">
                      <a:avLst/>
                    </a:prstGeom>
                    <a:noFill/>
                    <a:ln>
                      <a:noFill/>
                    </a:ln>
                  </pic:spPr>
                </pic:pic>
              </a:graphicData>
            </a:graphic>
          </wp:inline>
        </w:drawing>
      </w:r>
    </w:p>
    <w:p w14:paraId="48D06A26" w14:textId="7EDFB0C5" w:rsidR="00883798" w:rsidRPr="00883798" w:rsidRDefault="00883798" w:rsidP="00AF7553">
      <w:pPr>
        <w:pStyle w:val="Caption"/>
        <w:jc w:val="both"/>
      </w:pPr>
      <w:r w:rsidRPr="0043429D">
        <w:rPr>
          <w:color w:val="000000" w:themeColor="text1"/>
        </w:rPr>
        <w:t xml:space="preserve">Figure </w:t>
      </w:r>
      <w:r w:rsidRPr="0043429D">
        <w:rPr>
          <w:color w:val="000000" w:themeColor="text1"/>
        </w:rPr>
        <w:fldChar w:fldCharType="begin"/>
      </w:r>
      <w:r w:rsidRPr="0043429D">
        <w:rPr>
          <w:color w:val="000000" w:themeColor="text1"/>
        </w:rPr>
        <w:instrText xml:space="preserve"> SEQ Figure \* ARABIC </w:instrText>
      </w:r>
      <w:r w:rsidRPr="0043429D">
        <w:rPr>
          <w:color w:val="000000" w:themeColor="text1"/>
        </w:rPr>
        <w:fldChar w:fldCharType="separate"/>
      </w:r>
      <w:r w:rsidR="0043429D" w:rsidRPr="0043429D">
        <w:rPr>
          <w:noProof/>
          <w:color w:val="000000" w:themeColor="text1"/>
        </w:rPr>
        <w:t>8</w:t>
      </w:r>
      <w:r w:rsidRPr="0043429D">
        <w:rPr>
          <w:color w:val="000000" w:themeColor="text1"/>
        </w:rPr>
        <w:fldChar w:fldCharType="end"/>
      </w:r>
      <w:r w:rsidRPr="0043429D">
        <w:rPr>
          <w:color w:val="000000" w:themeColor="text1"/>
        </w:rPr>
        <w:t>: EU SAF capacity potential scale-up out to 2050 computed with biofuels and ethanol growth rates (panel a) and solar and wind growth r</w:t>
      </w:r>
      <w:r w:rsidRPr="00883798">
        <w:rPr>
          <w:color w:val="000000" w:themeColor="text1"/>
        </w:rPr>
        <w:t xml:space="preserve">ates (panel b), in the case of low aviation fuel burn, as defined in </w:t>
      </w:r>
      <w:r w:rsidRPr="00883798">
        <w:rPr>
          <w:color w:val="000000" w:themeColor="text1"/>
        </w:rPr>
        <w:fldChar w:fldCharType="begin"/>
      </w:r>
      <w:r w:rsidRPr="00883798">
        <w:rPr>
          <w:color w:val="000000" w:themeColor="text1"/>
        </w:rPr>
        <w:instrText xml:space="preserve"> ADDIN EN.CITE &lt;EndNote&gt;&lt;Cite&gt;&lt;Author&gt;EASA&lt;/Author&gt;&lt;Year&gt;2025&lt;/Year&gt;&lt;RecNum&gt;440&lt;/RecNum&gt;&lt;DisplayText&gt;[12]&lt;/DisplayText&gt;&lt;record&gt;&lt;rec-number&gt;440&lt;/rec-number&gt;&lt;foreign-keys&gt;&lt;key app="EN" db-id="stxeestaswddrqewfrpvpwdaprxpv55rprf9" timestamp="1745928385"&gt;440&lt;/key&gt;&lt;/foreign-keys&gt;&lt;ref-type name="Report"&gt;27&lt;/ref-type&gt;&lt;contributors&gt;&lt;authors&gt;&lt;author&gt;EASA&lt;/author&gt;&lt;/authors&gt;&lt;/contributors&gt;&lt;titles&gt;&lt;title&gt;European Aviation Environmental Report&lt;/title&gt;&lt;/titles&gt;&lt;dates&gt;&lt;year&gt;2025&lt;/year&gt;&lt;/dates&gt;&lt;urls&gt;&lt;related-urls&gt;&lt;url&gt;https://www.easa.europa.eu/eco/eaer&lt;/url&gt;&lt;/related-urls&gt;&lt;/urls&gt;&lt;/record&gt;&lt;/Cite&gt;&lt;/EndNote&gt;</w:instrText>
      </w:r>
      <w:r w:rsidRPr="00883798">
        <w:rPr>
          <w:color w:val="000000" w:themeColor="text1"/>
        </w:rPr>
        <w:fldChar w:fldCharType="separate"/>
      </w:r>
      <w:r w:rsidRPr="00883798">
        <w:rPr>
          <w:noProof/>
          <w:color w:val="000000" w:themeColor="text1"/>
        </w:rPr>
        <w:t>[12]</w:t>
      </w:r>
      <w:r w:rsidRPr="00883798">
        <w:rPr>
          <w:color w:val="000000" w:themeColor="text1"/>
        </w:rPr>
        <w:fldChar w:fldCharType="end"/>
      </w:r>
      <w:r w:rsidRPr="00883798">
        <w:rPr>
          <w:color w:val="000000" w:themeColor="text1"/>
        </w:rPr>
        <w:t>. More details on EU 2050 SAF Mandate target in Methods.</w:t>
      </w:r>
      <w:r w:rsidR="00840202" w:rsidRPr="00840202">
        <w:rPr>
          <w:color w:val="000000" w:themeColor="text1"/>
        </w:rPr>
        <w:t xml:space="preserve"> </w:t>
      </w:r>
      <w:r w:rsidR="006D66E1">
        <w:rPr>
          <w:color w:val="000000" w:themeColor="text1"/>
        </w:rPr>
        <w:t>With solar and wind growth rates, the median SAF capacity in 2030 equals to 2.3 Mt/year (IQR of 1.9 – 2.6 Mt/year). In 2050, the median SAF capacity is 29.2 Mt/year (IQR of 27.0-29.9 Mt/year) and 95</w:t>
      </w:r>
      <w:r w:rsidR="006D66E1" w:rsidRPr="00840202">
        <w:rPr>
          <w:color w:val="000000" w:themeColor="text1"/>
          <w:vertAlign w:val="superscript"/>
        </w:rPr>
        <w:t>th</w:t>
      </w:r>
      <w:r w:rsidR="006D66E1">
        <w:rPr>
          <w:color w:val="000000" w:themeColor="text1"/>
        </w:rPr>
        <w:t xml:space="preserve"> percentile is 30.3 Mt/year. </w:t>
      </w:r>
    </w:p>
    <w:p w14:paraId="4E5A9E7E" w14:textId="77777777" w:rsidR="0043429D" w:rsidRDefault="0043429D" w:rsidP="0043429D">
      <w:pPr>
        <w:keepNext/>
      </w:pPr>
      <w:r>
        <w:rPr>
          <w:noProof/>
        </w:rPr>
        <w:drawing>
          <wp:inline distT="0" distB="0" distL="0" distR="0" wp14:anchorId="6218237E" wp14:editId="536430F4">
            <wp:extent cx="5760720" cy="24015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01570"/>
                    </a:xfrm>
                    <a:prstGeom prst="rect">
                      <a:avLst/>
                    </a:prstGeom>
                    <a:noFill/>
                    <a:ln>
                      <a:noFill/>
                    </a:ln>
                  </pic:spPr>
                </pic:pic>
              </a:graphicData>
            </a:graphic>
          </wp:inline>
        </w:drawing>
      </w:r>
    </w:p>
    <w:p w14:paraId="66ACEDF8" w14:textId="46CC3105" w:rsidR="00EC7B3C" w:rsidRDefault="0043429D" w:rsidP="00AF7553">
      <w:pPr>
        <w:pStyle w:val="Caption"/>
        <w:jc w:val="both"/>
      </w:pPr>
      <w:r w:rsidRPr="0043429D">
        <w:rPr>
          <w:color w:val="000000" w:themeColor="text1"/>
        </w:rPr>
        <w:t xml:space="preserve">Figure </w:t>
      </w:r>
      <w:r w:rsidRPr="0043429D">
        <w:rPr>
          <w:color w:val="000000" w:themeColor="text1"/>
        </w:rPr>
        <w:fldChar w:fldCharType="begin"/>
      </w:r>
      <w:r w:rsidRPr="0043429D">
        <w:rPr>
          <w:color w:val="000000" w:themeColor="text1"/>
        </w:rPr>
        <w:instrText xml:space="preserve"> SEQ Figure \* ARABIC </w:instrText>
      </w:r>
      <w:r w:rsidRPr="0043429D">
        <w:rPr>
          <w:color w:val="000000" w:themeColor="text1"/>
        </w:rPr>
        <w:fldChar w:fldCharType="separate"/>
      </w:r>
      <w:r w:rsidRPr="0043429D">
        <w:rPr>
          <w:noProof/>
          <w:color w:val="000000" w:themeColor="text1"/>
        </w:rPr>
        <w:t>9</w:t>
      </w:r>
      <w:r w:rsidRPr="0043429D">
        <w:rPr>
          <w:color w:val="000000" w:themeColor="text1"/>
        </w:rPr>
        <w:fldChar w:fldCharType="end"/>
      </w:r>
      <w:r w:rsidRPr="0043429D">
        <w:rPr>
          <w:color w:val="000000" w:themeColor="text1"/>
        </w:rPr>
        <w:t xml:space="preserve">: EU </w:t>
      </w:r>
      <w:r w:rsidRPr="00883798">
        <w:rPr>
          <w:color w:val="000000" w:themeColor="text1"/>
        </w:rPr>
        <w:t xml:space="preserve">SAF capacity potential scale-up out to 2050 computed with biofuels and ethanol growth rates (panel a) and solar and wind growth rates (panel b), in the case of </w:t>
      </w:r>
      <w:r>
        <w:rPr>
          <w:color w:val="000000" w:themeColor="text1"/>
        </w:rPr>
        <w:t>high</w:t>
      </w:r>
      <w:r w:rsidRPr="00883798">
        <w:rPr>
          <w:color w:val="000000" w:themeColor="text1"/>
        </w:rPr>
        <w:t xml:space="preserve"> aviation fuel burn, as defined in </w:t>
      </w:r>
      <w:r w:rsidRPr="00883798">
        <w:rPr>
          <w:color w:val="000000" w:themeColor="text1"/>
        </w:rPr>
        <w:fldChar w:fldCharType="begin"/>
      </w:r>
      <w:r w:rsidRPr="00883798">
        <w:rPr>
          <w:color w:val="000000" w:themeColor="text1"/>
        </w:rPr>
        <w:instrText xml:space="preserve"> ADDIN EN.CITE &lt;EndNote&gt;&lt;Cite&gt;&lt;Author&gt;EASA&lt;/Author&gt;&lt;Year&gt;2025&lt;/Year&gt;&lt;RecNum&gt;440&lt;/RecNum&gt;&lt;DisplayText&gt;[12]&lt;/DisplayText&gt;&lt;record&gt;&lt;rec-number&gt;440&lt;/rec-number&gt;&lt;foreign-keys&gt;&lt;key app="EN" db-id="stxeestaswddrqewfrpvpwdaprxpv55rprf9" timestamp="1745928385"&gt;440&lt;/key&gt;&lt;/foreign-keys&gt;&lt;ref-type name="Report"&gt;27&lt;/ref-type&gt;&lt;contributors&gt;&lt;authors&gt;&lt;author&gt;EASA&lt;/author&gt;&lt;/authors&gt;&lt;/contributors&gt;&lt;titles&gt;&lt;title&gt;European Aviation Environmental Report&lt;/title&gt;&lt;/titles&gt;&lt;dates&gt;&lt;year&gt;2025&lt;/year&gt;&lt;/dates&gt;&lt;urls&gt;&lt;related-urls&gt;&lt;url&gt;https://www.easa.europa.eu/eco/eaer&lt;/url&gt;&lt;/related-urls&gt;&lt;/urls&gt;&lt;/record&gt;&lt;/Cite&gt;&lt;/EndNote&gt;</w:instrText>
      </w:r>
      <w:r w:rsidRPr="00883798">
        <w:rPr>
          <w:color w:val="000000" w:themeColor="text1"/>
        </w:rPr>
        <w:fldChar w:fldCharType="separate"/>
      </w:r>
      <w:r w:rsidRPr="00883798">
        <w:rPr>
          <w:noProof/>
          <w:color w:val="000000" w:themeColor="text1"/>
        </w:rPr>
        <w:t>[12]</w:t>
      </w:r>
      <w:r w:rsidRPr="00883798">
        <w:rPr>
          <w:color w:val="000000" w:themeColor="text1"/>
        </w:rPr>
        <w:fldChar w:fldCharType="end"/>
      </w:r>
      <w:r w:rsidRPr="00883798">
        <w:rPr>
          <w:color w:val="000000" w:themeColor="text1"/>
        </w:rPr>
        <w:t>. More details on EU 2050 SAF Mandate target in Methods.</w:t>
      </w:r>
      <w:r w:rsidR="00414BD2">
        <w:rPr>
          <w:color w:val="000000" w:themeColor="text1"/>
        </w:rPr>
        <w:t xml:space="preserve"> With solar and wind growth rates, the m</w:t>
      </w:r>
      <w:r w:rsidR="00840202">
        <w:rPr>
          <w:color w:val="000000" w:themeColor="text1"/>
        </w:rPr>
        <w:t>edian SAF capacity in 2030 equals to 2.3 Mt/year (IQR of 1.9 – 2.6 Mt/year). In 2050, the median SAF capacity is 38.5 Mt/year (IQR of 35.1-39.6 Mt/year) and 95</w:t>
      </w:r>
      <w:r w:rsidR="00840202" w:rsidRPr="00840202">
        <w:rPr>
          <w:color w:val="000000" w:themeColor="text1"/>
          <w:vertAlign w:val="superscript"/>
        </w:rPr>
        <w:t>th</w:t>
      </w:r>
      <w:r w:rsidR="00840202">
        <w:rPr>
          <w:color w:val="000000" w:themeColor="text1"/>
        </w:rPr>
        <w:t xml:space="preserve"> percentile is 40.0 Mt/year. </w:t>
      </w:r>
    </w:p>
    <w:p w14:paraId="1F87761E" w14:textId="27EDBE5E" w:rsidR="00EC7B3C" w:rsidRDefault="00EC7B3C">
      <w:r>
        <w:br w:type="page"/>
      </w:r>
    </w:p>
    <w:p w14:paraId="6F94D2B1" w14:textId="12FF12BA" w:rsidR="0053680A" w:rsidRDefault="00EC7B3C">
      <w:r>
        <w:rPr>
          <w:noProof/>
        </w:rPr>
        <w:lastRenderedPageBreak/>
        <mc:AlternateContent>
          <mc:Choice Requires="wps">
            <w:drawing>
              <wp:anchor distT="0" distB="0" distL="114300" distR="114300" simplePos="0" relativeHeight="251668480" behindDoc="0" locked="0" layoutInCell="1" allowOverlap="1" wp14:anchorId="23D66674" wp14:editId="5E7E2211">
                <wp:simplePos x="0" y="0"/>
                <wp:positionH relativeFrom="margin">
                  <wp:align>right</wp:align>
                </wp:positionH>
                <wp:positionV relativeFrom="paragraph">
                  <wp:posOffset>4217035</wp:posOffset>
                </wp:positionV>
                <wp:extent cx="5760720" cy="635"/>
                <wp:effectExtent l="0" t="0" r="0" b="6985"/>
                <wp:wrapTopAndBottom/>
                <wp:docPr id="8" name="Text Box 8"/>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08C6D2A3" w14:textId="630EA017" w:rsidR="00F408B8" w:rsidRPr="005C11CB" w:rsidRDefault="00F408B8" w:rsidP="00F408B8">
                            <w:pPr>
                              <w:pStyle w:val="Caption"/>
                              <w:jc w:val="both"/>
                              <w:rPr>
                                <w:color w:val="000000" w:themeColor="text1"/>
                              </w:rPr>
                            </w:pPr>
                            <w:r w:rsidRPr="005C11CB">
                              <w:rPr>
                                <w:color w:val="000000" w:themeColor="text1"/>
                              </w:rPr>
                              <w:t xml:space="preserve">Figure </w:t>
                            </w:r>
                            <w:r w:rsidR="00EC7B3C" w:rsidRPr="005C11CB">
                              <w:rPr>
                                <w:color w:val="000000" w:themeColor="text1"/>
                              </w:rPr>
                              <w:fldChar w:fldCharType="begin"/>
                            </w:r>
                            <w:r w:rsidR="00EC7B3C" w:rsidRPr="005C11CB">
                              <w:rPr>
                                <w:color w:val="000000" w:themeColor="text1"/>
                              </w:rPr>
                              <w:instrText xml:space="preserve"> SEQ Figure \* ARABIC </w:instrText>
                            </w:r>
                            <w:r w:rsidR="00EC7B3C" w:rsidRPr="005C11CB">
                              <w:rPr>
                                <w:color w:val="000000" w:themeColor="text1"/>
                              </w:rPr>
                              <w:fldChar w:fldCharType="separate"/>
                            </w:r>
                            <w:r w:rsidR="0043429D">
                              <w:rPr>
                                <w:noProof/>
                                <w:color w:val="000000" w:themeColor="text1"/>
                              </w:rPr>
                              <w:t>10</w:t>
                            </w:r>
                            <w:r w:rsidR="00EC7B3C" w:rsidRPr="005C11CB">
                              <w:rPr>
                                <w:color w:val="000000" w:themeColor="text1"/>
                              </w:rPr>
                              <w:fldChar w:fldCharType="end"/>
                            </w:r>
                            <w:r w:rsidRPr="005C11CB">
                              <w:rPr>
                                <w:color w:val="000000" w:themeColor="text1"/>
                              </w:rPr>
                              <w:t xml:space="preserve">: </w:t>
                            </w:r>
                            <w:r w:rsidR="00BB4757" w:rsidRPr="005C11CB">
                              <w:rPr>
                                <w:color w:val="000000" w:themeColor="text1"/>
                              </w:rPr>
                              <w:t>EU</w:t>
                            </w:r>
                            <w:r w:rsidRPr="005C11CB">
                              <w:rPr>
                                <w:color w:val="000000" w:themeColor="text1"/>
                              </w:rPr>
                              <w:t xml:space="preserve"> SAF capacity </w:t>
                            </w:r>
                            <w:r w:rsidR="00C12202" w:rsidRPr="005C11CB">
                              <w:rPr>
                                <w:color w:val="000000" w:themeColor="text1"/>
                              </w:rPr>
                              <w:t>potential scale-up</w:t>
                            </w:r>
                            <w:r w:rsidRPr="005C11CB">
                              <w:rPr>
                                <w:color w:val="000000" w:themeColor="text1"/>
                              </w:rPr>
                              <w:t xml:space="preserve"> out to 2050 computed with biofuels and ethanol growth rates</w:t>
                            </w:r>
                            <w:r w:rsidR="00C12202" w:rsidRPr="005C11CB">
                              <w:rPr>
                                <w:color w:val="000000" w:themeColor="text1"/>
                              </w:rPr>
                              <w:t xml:space="preserve"> (panel a and b)</w:t>
                            </w:r>
                            <w:r w:rsidRPr="005C11CB">
                              <w:rPr>
                                <w:color w:val="000000" w:themeColor="text1"/>
                              </w:rPr>
                              <w:t xml:space="preserve"> and solar and wind growth rates</w:t>
                            </w:r>
                            <w:r w:rsidR="00C12202" w:rsidRPr="005C11CB">
                              <w:rPr>
                                <w:color w:val="000000" w:themeColor="text1"/>
                              </w:rPr>
                              <w:t xml:space="preserve"> (panel c and d)</w:t>
                            </w:r>
                            <w:r w:rsidRPr="005C11CB">
                              <w:rPr>
                                <w:color w:val="000000" w:themeColor="text1"/>
                              </w:rPr>
                              <w:t xml:space="preserve">. Each figure row represent the </w:t>
                            </w:r>
                            <w:r w:rsidR="00C12202" w:rsidRPr="005C11CB">
                              <w:rPr>
                                <w:color w:val="000000" w:themeColor="text1"/>
                              </w:rPr>
                              <w:t>potential scale-up</w:t>
                            </w:r>
                            <w:r w:rsidRPr="005C11CB">
                              <w:rPr>
                                <w:color w:val="000000" w:themeColor="text1"/>
                              </w:rPr>
                              <w:t xml:space="preserve"> computed considering </w:t>
                            </w:r>
                            <w:r w:rsidR="00AF2A77" w:rsidRPr="005C11CB">
                              <w:rPr>
                                <w:color w:val="000000" w:themeColor="text1"/>
                              </w:rPr>
                              <w:t>considering zero</w:t>
                            </w:r>
                            <w:r w:rsidR="00C12202" w:rsidRPr="005C11CB">
                              <w:rPr>
                                <w:color w:val="000000" w:themeColor="text1"/>
                              </w:rPr>
                              <w:t xml:space="preserve"> (panel a and c)</w:t>
                            </w:r>
                            <w:r w:rsidR="00AF2A77" w:rsidRPr="005C11CB">
                              <w:rPr>
                                <w:color w:val="000000" w:themeColor="text1"/>
                              </w:rPr>
                              <w:t xml:space="preserve"> and two years </w:t>
                            </w:r>
                            <w:r w:rsidR="00C12202" w:rsidRPr="005C11CB">
                              <w:rPr>
                                <w:color w:val="000000" w:themeColor="text1"/>
                              </w:rPr>
                              <w:t xml:space="preserve">(panel b and d) </w:t>
                            </w:r>
                            <w:r w:rsidR="00AF2A77" w:rsidRPr="005C11CB">
                              <w:rPr>
                                <w:color w:val="000000" w:themeColor="text1"/>
                              </w:rPr>
                              <w:t>demand anticipation to reach the SAF policy target in 2030 and 2050.</w:t>
                            </w:r>
                            <w:r w:rsidR="00AB6A37">
                              <w:rPr>
                                <w:color w:val="000000" w:themeColor="text1"/>
                              </w:rPr>
                              <w:t xml:space="preserve"> In 2050, with solar and wind growth rates and 2 years demand anticipation, the median SAF capacity is 34.6 Mt/year (IQR of 32.3-35.3 Mt/year), which is 3% below the target (35.7 Mt/year). The 9</w:t>
                            </w:r>
                            <w:r w:rsidR="00BC67DA">
                              <w:rPr>
                                <w:color w:val="000000" w:themeColor="text1"/>
                              </w:rPr>
                              <w:t>0</w:t>
                            </w:r>
                            <w:r w:rsidR="00AB6A37" w:rsidRPr="00AF7553">
                              <w:rPr>
                                <w:color w:val="000000" w:themeColor="text1"/>
                                <w:vertAlign w:val="superscript"/>
                              </w:rPr>
                              <w:t>th</w:t>
                            </w:r>
                            <w:r w:rsidR="00AB6A37">
                              <w:rPr>
                                <w:color w:val="000000" w:themeColor="text1"/>
                              </w:rPr>
                              <w:t xml:space="preserve"> percentile approaches the target and it equals to 35.5 Mt/year.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D66674" id="_x0000_t202" coordsize="21600,21600" o:spt="202" path="m,l,21600r21600,l21600,xe">
                <v:stroke joinstyle="miter"/>
                <v:path gradientshapeok="t" o:connecttype="rect"/>
              </v:shapetype>
              <v:shape id="Text Box 8" o:spid="_x0000_s1026" type="#_x0000_t202" style="position:absolute;margin-left:402.4pt;margin-top:332.05pt;width:453.6pt;height:.05pt;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" stroked="f">
                <v:textbox style="mso-fit-shape-to-text:t" inset="0,0,0,0">
                  <w:txbxContent>
                    <w:p w14:paraId="08C6D2A3" w14:textId="630EA017" w:rsidR="00F408B8" w:rsidRPr="005C11CB" w:rsidRDefault="00F408B8" w:rsidP="00F408B8">
                      <w:pPr>
                        <w:pStyle w:val="Caption"/>
                        <w:jc w:val="both"/>
                        <w:rPr>
                          <w:color w:val="000000" w:themeColor="text1"/>
                        </w:rPr>
                      </w:pPr>
                      <w:r w:rsidRPr="005C11CB">
                        <w:rPr>
                          <w:color w:val="000000" w:themeColor="text1"/>
                        </w:rPr>
                        <w:t xml:space="preserve">Figure </w:t>
                      </w:r>
                      <w:r w:rsidR="00EC7B3C" w:rsidRPr="005C11CB">
                        <w:rPr>
                          <w:color w:val="000000" w:themeColor="text1"/>
                        </w:rPr>
                        <w:fldChar w:fldCharType="begin"/>
                      </w:r>
                      <w:r w:rsidR="00EC7B3C" w:rsidRPr="005C11CB">
                        <w:rPr>
                          <w:color w:val="000000" w:themeColor="text1"/>
                        </w:rPr>
                        <w:instrText xml:space="preserve"> SEQ Figure \* ARABIC </w:instrText>
                      </w:r>
                      <w:r w:rsidR="00EC7B3C" w:rsidRPr="005C11CB">
                        <w:rPr>
                          <w:color w:val="000000" w:themeColor="text1"/>
                        </w:rPr>
                        <w:fldChar w:fldCharType="separate"/>
                      </w:r>
                      <w:r w:rsidR="0043429D">
                        <w:rPr>
                          <w:noProof/>
                          <w:color w:val="000000" w:themeColor="text1"/>
                        </w:rPr>
                        <w:t>10</w:t>
                      </w:r>
                      <w:r w:rsidR="00EC7B3C" w:rsidRPr="005C11CB">
                        <w:rPr>
                          <w:color w:val="000000" w:themeColor="text1"/>
                        </w:rPr>
                        <w:fldChar w:fldCharType="end"/>
                      </w:r>
                      <w:r w:rsidRPr="005C11CB">
                        <w:rPr>
                          <w:color w:val="000000" w:themeColor="text1"/>
                        </w:rPr>
                        <w:t xml:space="preserve">: </w:t>
                      </w:r>
                      <w:r w:rsidR="00BB4757" w:rsidRPr="005C11CB">
                        <w:rPr>
                          <w:color w:val="000000" w:themeColor="text1"/>
                        </w:rPr>
                        <w:t>EU</w:t>
                      </w:r>
                      <w:r w:rsidRPr="005C11CB">
                        <w:rPr>
                          <w:color w:val="000000" w:themeColor="text1"/>
                        </w:rPr>
                        <w:t xml:space="preserve"> SAF capacity </w:t>
                      </w:r>
                      <w:r w:rsidR="00C12202" w:rsidRPr="005C11CB">
                        <w:rPr>
                          <w:color w:val="000000" w:themeColor="text1"/>
                        </w:rPr>
                        <w:t>potential scale-up</w:t>
                      </w:r>
                      <w:r w:rsidRPr="005C11CB">
                        <w:rPr>
                          <w:color w:val="000000" w:themeColor="text1"/>
                        </w:rPr>
                        <w:t xml:space="preserve"> out to 2050 computed with biofuels and ethanol growth rates</w:t>
                      </w:r>
                      <w:r w:rsidR="00C12202" w:rsidRPr="005C11CB">
                        <w:rPr>
                          <w:color w:val="000000" w:themeColor="text1"/>
                        </w:rPr>
                        <w:t xml:space="preserve"> (panel a and b)</w:t>
                      </w:r>
                      <w:r w:rsidRPr="005C11CB">
                        <w:rPr>
                          <w:color w:val="000000" w:themeColor="text1"/>
                        </w:rPr>
                        <w:t xml:space="preserve"> and solar and wind growth rates</w:t>
                      </w:r>
                      <w:r w:rsidR="00C12202" w:rsidRPr="005C11CB">
                        <w:rPr>
                          <w:color w:val="000000" w:themeColor="text1"/>
                        </w:rPr>
                        <w:t xml:space="preserve"> (panel c and d)</w:t>
                      </w:r>
                      <w:r w:rsidRPr="005C11CB">
                        <w:rPr>
                          <w:color w:val="000000" w:themeColor="text1"/>
                        </w:rPr>
                        <w:t xml:space="preserve">. Each figure row represent the </w:t>
                      </w:r>
                      <w:r w:rsidR="00C12202" w:rsidRPr="005C11CB">
                        <w:rPr>
                          <w:color w:val="000000" w:themeColor="text1"/>
                        </w:rPr>
                        <w:t>potential scale-up</w:t>
                      </w:r>
                      <w:r w:rsidRPr="005C11CB">
                        <w:rPr>
                          <w:color w:val="000000" w:themeColor="text1"/>
                        </w:rPr>
                        <w:t xml:space="preserve"> computed considering </w:t>
                      </w:r>
                      <w:r w:rsidR="00AF2A77" w:rsidRPr="005C11CB">
                        <w:rPr>
                          <w:color w:val="000000" w:themeColor="text1"/>
                        </w:rPr>
                        <w:t>considering zero</w:t>
                      </w:r>
                      <w:r w:rsidR="00C12202" w:rsidRPr="005C11CB">
                        <w:rPr>
                          <w:color w:val="000000" w:themeColor="text1"/>
                        </w:rPr>
                        <w:t xml:space="preserve"> (panel a and c)</w:t>
                      </w:r>
                      <w:r w:rsidR="00AF2A77" w:rsidRPr="005C11CB">
                        <w:rPr>
                          <w:color w:val="000000" w:themeColor="text1"/>
                        </w:rPr>
                        <w:t xml:space="preserve"> and two years </w:t>
                      </w:r>
                      <w:r w:rsidR="00C12202" w:rsidRPr="005C11CB">
                        <w:rPr>
                          <w:color w:val="000000" w:themeColor="text1"/>
                        </w:rPr>
                        <w:t xml:space="preserve">(panel b and d) </w:t>
                      </w:r>
                      <w:r w:rsidR="00AF2A77" w:rsidRPr="005C11CB">
                        <w:rPr>
                          <w:color w:val="000000" w:themeColor="text1"/>
                        </w:rPr>
                        <w:t>demand anticipation to reach the SAF policy target in 2030 and 2050.</w:t>
                      </w:r>
                      <w:r w:rsidR="00AB6A37">
                        <w:rPr>
                          <w:color w:val="000000" w:themeColor="text1"/>
                        </w:rPr>
                        <w:t xml:space="preserve"> </w:t>
                      </w:r>
                      <w:r w:rsidR="00AB6A37">
                        <w:rPr>
                          <w:color w:val="000000" w:themeColor="text1"/>
                        </w:rPr>
                        <w:t xml:space="preserve">In 2050, with solar and wind growth rates and 2 years demand anticipation, the median SAF capacity is </w:t>
                      </w:r>
                      <w:r w:rsidR="00AB6A37">
                        <w:rPr>
                          <w:color w:val="000000" w:themeColor="text1"/>
                        </w:rPr>
                        <w:t>34.6</w:t>
                      </w:r>
                      <w:r w:rsidR="00AB6A37">
                        <w:rPr>
                          <w:color w:val="000000" w:themeColor="text1"/>
                        </w:rPr>
                        <w:t xml:space="preserve"> Mt/year (IQR of </w:t>
                      </w:r>
                      <w:r w:rsidR="00AB6A37">
                        <w:rPr>
                          <w:color w:val="000000" w:themeColor="text1"/>
                        </w:rPr>
                        <w:t>32.3</w:t>
                      </w:r>
                      <w:r w:rsidR="00AB6A37">
                        <w:rPr>
                          <w:color w:val="000000" w:themeColor="text1"/>
                        </w:rPr>
                        <w:t>-</w:t>
                      </w:r>
                      <w:r w:rsidR="00AB6A37">
                        <w:rPr>
                          <w:color w:val="000000" w:themeColor="text1"/>
                        </w:rPr>
                        <w:t>35.3</w:t>
                      </w:r>
                      <w:r w:rsidR="00AB6A37">
                        <w:rPr>
                          <w:color w:val="000000" w:themeColor="text1"/>
                        </w:rPr>
                        <w:t xml:space="preserve"> Mt/year), which is </w:t>
                      </w:r>
                      <w:r w:rsidR="00AB6A37">
                        <w:rPr>
                          <w:color w:val="000000" w:themeColor="text1"/>
                        </w:rPr>
                        <w:t>3</w:t>
                      </w:r>
                      <w:r w:rsidR="00AB6A37">
                        <w:rPr>
                          <w:color w:val="000000" w:themeColor="text1"/>
                        </w:rPr>
                        <w:t>% below the target (</w:t>
                      </w:r>
                      <w:r w:rsidR="00AB6A37">
                        <w:rPr>
                          <w:color w:val="000000" w:themeColor="text1"/>
                        </w:rPr>
                        <w:t>35.7</w:t>
                      </w:r>
                      <w:r w:rsidR="00AB6A37">
                        <w:rPr>
                          <w:color w:val="000000" w:themeColor="text1"/>
                        </w:rPr>
                        <w:t xml:space="preserve"> Mt/year). The 9</w:t>
                      </w:r>
                      <w:r w:rsidR="00BC67DA">
                        <w:rPr>
                          <w:color w:val="000000" w:themeColor="text1"/>
                        </w:rPr>
                        <w:t>0</w:t>
                      </w:r>
                      <w:r w:rsidR="00AB6A37" w:rsidRPr="00AF7553">
                        <w:rPr>
                          <w:color w:val="000000" w:themeColor="text1"/>
                          <w:vertAlign w:val="superscript"/>
                        </w:rPr>
                        <w:t>th</w:t>
                      </w:r>
                      <w:r w:rsidR="00AB6A37">
                        <w:rPr>
                          <w:color w:val="000000" w:themeColor="text1"/>
                        </w:rPr>
                        <w:t xml:space="preserve"> percentile approaches the target and it equals to </w:t>
                      </w:r>
                      <w:r w:rsidR="00AB6A37">
                        <w:rPr>
                          <w:color w:val="000000" w:themeColor="text1"/>
                        </w:rPr>
                        <w:t>35.5</w:t>
                      </w:r>
                      <w:r w:rsidR="00AB6A37">
                        <w:rPr>
                          <w:color w:val="000000" w:themeColor="text1"/>
                        </w:rPr>
                        <w:t xml:space="preserve"> Mt/year. </w:t>
                      </w:r>
                    </w:p>
                  </w:txbxContent>
                </v:textbox>
                <w10:wrap type="topAndBottom" anchorx="margin"/>
              </v:shape>
            </w:pict>
          </mc:Fallback>
        </mc:AlternateContent>
      </w:r>
      <w:r>
        <w:rPr>
          <w:noProof/>
        </w:rPr>
        <w:drawing>
          <wp:anchor distT="0" distB="0" distL="114300" distR="114300" simplePos="0" relativeHeight="251691008" behindDoc="0" locked="0" layoutInCell="1" allowOverlap="1" wp14:anchorId="61F11EDB" wp14:editId="272C3F18">
            <wp:simplePos x="0" y="0"/>
            <wp:positionH relativeFrom="margin">
              <wp:align>right</wp:align>
            </wp:positionH>
            <wp:positionV relativeFrom="paragraph">
              <wp:posOffset>0</wp:posOffset>
            </wp:positionV>
            <wp:extent cx="5760720" cy="40830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083050"/>
                    </a:xfrm>
                    <a:prstGeom prst="rect">
                      <a:avLst/>
                    </a:prstGeom>
                    <a:noFill/>
                    <a:ln>
                      <a:noFill/>
                    </a:ln>
                  </pic:spPr>
                </pic:pic>
              </a:graphicData>
            </a:graphic>
          </wp:anchor>
        </w:drawing>
      </w:r>
    </w:p>
    <w:p w14:paraId="42C66341" w14:textId="39096402" w:rsidR="00553142" w:rsidRDefault="003933F4" w:rsidP="009060E3">
      <w:pPr>
        <w:rPr>
          <w:noProof/>
        </w:rPr>
      </w:pPr>
      <w:r>
        <w:rPr>
          <w:noProof/>
        </w:rPr>
        <w:drawing>
          <wp:anchor distT="0" distB="0" distL="114300" distR="114300" simplePos="0" relativeHeight="251692032" behindDoc="0" locked="0" layoutInCell="1" allowOverlap="1" wp14:anchorId="2DF61540" wp14:editId="6C4F2436">
            <wp:simplePos x="0" y="0"/>
            <wp:positionH relativeFrom="column">
              <wp:posOffset>1158</wp:posOffset>
            </wp:positionH>
            <wp:positionV relativeFrom="paragraph">
              <wp:posOffset>1270</wp:posOffset>
            </wp:positionV>
            <wp:extent cx="5760720" cy="236664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366645"/>
                    </a:xfrm>
                    <a:prstGeom prst="rect">
                      <a:avLst/>
                    </a:prstGeom>
                    <a:noFill/>
                    <a:ln>
                      <a:noFill/>
                    </a:ln>
                  </pic:spPr>
                </pic:pic>
              </a:graphicData>
            </a:graphic>
          </wp:anchor>
        </w:drawing>
      </w:r>
    </w:p>
    <w:p w14:paraId="4FDA85E9" w14:textId="627D8A21" w:rsidR="00553142" w:rsidRPr="00DD5D47" w:rsidRDefault="00553142" w:rsidP="00553142">
      <w:pPr>
        <w:pStyle w:val="Caption"/>
        <w:rPr>
          <w:color w:val="000000" w:themeColor="text1"/>
        </w:rPr>
      </w:pPr>
      <w:r w:rsidRPr="00DD5D47">
        <w:rPr>
          <w:color w:val="000000" w:themeColor="text1"/>
        </w:rPr>
        <w:t xml:space="preserve">Figure </w:t>
      </w:r>
      <w:r w:rsidR="00EC7B3C" w:rsidRPr="00DD5D47">
        <w:rPr>
          <w:color w:val="000000" w:themeColor="text1"/>
        </w:rPr>
        <w:fldChar w:fldCharType="begin"/>
      </w:r>
      <w:r w:rsidR="00EC7B3C" w:rsidRPr="00DD5D47">
        <w:rPr>
          <w:color w:val="000000" w:themeColor="text1"/>
        </w:rPr>
        <w:instrText xml:space="preserve"> SEQ Figure \* ARABIC </w:instrText>
      </w:r>
      <w:r w:rsidR="00EC7B3C" w:rsidRPr="00DD5D47">
        <w:rPr>
          <w:color w:val="000000" w:themeColor="text1"/>
        </w:rPr>
        <w:fldChar w:fldCharType="separate"/>
      </w:r>
      <w:r w:rsidR="0043429D">
        <w:rPr>
          <w:noProof/>
          <w:color w:val="000000" w:themeColor="text1"/>
        </w:rPr>
        <w:t>11</w:t>
      </w:r>
      <w:r w:rsidR="00EC7B3C" w:rsidRPr="00DD5D47">
        <w:rPr>
          <w:color w:val="000000" w:themeColor="text1"/>
        </w:rPr>
        <w:fldChar w:fldCharType="end"/>
      </w:r>
      <w:r w:rsidRPr="00DD5D47">
        <w:rPr>
          <w:color w:val="000000" w:themeColor="text1"/>
        </w:rPr>
        <w:t xml:space="preserve">: Yearly CAPEX investment in global SAF capacity </w:t>
      </w:r>
      <w:r w:rsidRPr="00DD5D47">
        <w:rPr>
          <w:noProof/>
          <w:color w:val="000000" w:themeColor="text1"/>
        </w:rPr>
        <w:t>additions</w:t>
      </w:r>
      <w:r w:rsidR="00DD5D47">
        <w:rPr>
          <w:noProof/>
          <w:color w:val="000000" w:themeColor="text1"/>
        </w:rPr>
        <w:t xml:space="preserve"> (panel a)</w:t>
      </w:r>
      <w:r w:rsidRPr="00DD5D47">
        <w:rPr>
          <w:noProof/>
          <w:color w:val="000000" w:themeColor="text1"/>
        </w:rPr>
        <w:t>, cumulative CAPEX investment in SAF Capacity following the solar and wind growth rates</w:t>
      </w:r>
      <w:r w:rsidR="00DD5D47">
        <w:rPr>
          <w:noProof/>
          <w:color w:val="000000" w:themeColor="text1"/>
        </w:rPr>
        <w:t xml:space="preserve"> (panel b, blue bar)</w:t>
      </w:r>
      <w:r w:rsidRPr="00DD5D47">
        <w:rPr>
          <w:noProof/>
          <w:color w:val="000000" w:themeColor="text1"/>
        </w:rPr>
        <w:t xml:space="preserve"> and required cumulative CAPEX investment to meet the ICAO LTAG 2050 Fuel Demand</w:t>
      </w:r>
      <w:r w:rsidR="00DD5D47">
        <w:rPr>
          <w:noProof/>
          <w:color w:val="000000" w:themeColor="text1"/>
        </w:rPr>
        <w:t xml:space="preserve"> (panel b, orange bar)</w:t>
      </w:r>
      <w:r w:rsidRPr="00DD5D47">
        <w:rPr>
          <w:noProof/>
          <w:color w:val="000000" w:themeColor="text1"/>
        </w:rPr>
        <w:t>.</w:t>
      </w:r>
    </w:p>
    <w:p w14:paraId="01FEB43F" w14:textId="24894FC8" w:rsidR="00036963" w:rsidRDefault="00036963">
      <w:pPr>
        <w:rPr>
          <w:rFonts w:ascii="Times New Roman" w:hAnsi="Times New Roman" w:cs="Times New Roman"/>
          <w:b/>
          <w:bCs/>
          <w:sz w:val="28"/>
          <w:szCs w:val="28"/>
        </w:rPr>
      </w:pPr>
      <w:r>
        <w:rPr>
          <w:rFonts w:ascii="Times New Roman" w:hAnsi="Times New Roman" w:cs="Times New Roman"/>
          <w:b/>
          <w:bCs/>
          <w:sz w:val="28"/>
          <w:szCs w:val="28"/>
        </w:rPr>
        <w:br w:type="page"/>
      </w:r>
    </w:p>
    <w:p w14:paraId="32C9B550" w14:textId="2FAC59D3" w:rsidR="00D201CF" w:rsidRPr="004708E1" w:rsidRDefault="004708E1">
      <w:pPr>
        <w:rPr>
          <w:rFonts w:ascii="Times New Roman" w:hAnsi="Times New Roman" w:cs="Times New Roman"/>
          <w:b/>
          <w:bCs/>
          <w:sz w:val="28"/>
          <w:szCs w:val="28"/>
        </w:rPr>
      </w:pPr>
      <w:r w:rsidRPr="004708E1">
        <w:rPr>
          <w:rFonts w:ascii="Times New Roman" w:hAnsi="Times New Roman" w:cs="Times New Roman"/>
          <w:b/>
          <w:bCs/>
          <w:sz w:val="28"/>
          <w:szCs w:val="28"/>
        </w:rPr>
        <w:lastRenderedPageBreak/>
        <w:t>References</w:t>
      </w:r>
    </w:p>
    <w:p w14:paraId="4C978760" w14:textId="77777777" w:rsidR="0043429D" w:rsidRPr="0043429D" w:rsidRDefault="00D201CF" w:rsidP="0043429D">
      <w:pPr>
        <w:pStyle w:val="EndNoteBibliography"/>
        <w:spacing w:after="0"/>
        <w:ind w:left="720" w:hanging="720"/>
      </w:pPr>
      <w:r w:rsidRPr="004708E1">
        <w:rPr>
          <w:rFonts w:ascii="Times New Roman" w:hAnsi="Times New Roman" w:cs="Times New Roman"/>
        </w:rPr>
        <w:fldChar w:fldCharType="begin"/>
      </w:r>
      <w:r w:rsidRPr="004708E1">
        <w:rPr>
          <w:rFonts w:ascii="Times New Roman" w:hAnsi="Times New Roman" w:cs="Times New Roman"/>
        </w:rPr>
        <w:instrText xml:space="preserve"> ADDIN EN.REFLIST </w:instrText>
      </w:r>
      <w:r w:rsidRPr="004708E1">
        <w:rPr>
          <w:rFonts w:ascii="Times New Roman" w:hAnsi="Times New Roman" w:cs="Times New Roman"/>
        </w:rPr>
        <w:fldChar w:fldCharType="separate"/>
      </w:r>
      <w:r w:rsidR="0043429D" w:rsidRPr="0043429D">
        <w:t>1.</w:t>
      </w:r>
      <w:r w:rsidR="0043429D" w:rsidRPr="0043429D">
        <w:tab/>
        <w:t xml:space="preserve">Tanzil, A.H., et al., </w:t>
      </w:r>
      <w:r w:rsidR="0043429D" w:rsidRPr="0043429D">
        <w:rPr>
          <w:i/>
        </w:rPr>
        <w:t>Strategic assessment of sustainable aviation fuel production technologies: Yield improvement and cost reduction opportunities.</w:t>
      </w:r>
      <w:r w:rsidR="0043429D" w:rsidRPr="0043429D">
        <w:t xml:space="preserve"> Biomass and Bioenergy, 2021. </w:t>
      </w:r>
      <w:r w:rsidR="0043429D" w:rsidRPr="0043429D">
        <w:rPr>
          <w:b/>
        </w:rPr>
        <w:t>145</w:t>
      </w:r>
      <w:r w:rsidR="0043429D" w:rsidRPr="0043429D">
        <w:t>: p. 105942.</w:t>
      </w:r>
    </w:p>
    <w:p w14:paraId="333A46EE" w14:textId="77777777" w:rsidR="0043429D" w:rsidRPr="0043429D" w:rsidRDefault="0043429D" w:rsidP="0043429D">
      <w:pPr>
        <w:pStyle w:val="EndNoteBibliography"/>
        <w:spacing w:after="0"/>
        <w:ind w:left="720" w:hanging="720"/>
      </w:pPr>
      <w:r w:rsidRPr="0043429D">
        <w:t>2.</w:t>
      </w:r>
      <w:r w:rsidRPr="0043429D">
        <w:tab/>
        <w:t xml:space="preserve">Pearlson, M., C. Wollersheim, and J. Hileman, </w:t>
      </w:r>
      <w:r w:rsidRPr="0043429D">
        <w:rPr>
          <w:i/>
        </w:rPr>
        <w:t>A techno-economic review of hydroprocessed renewable esters and fatty acids for jet fuel production.</w:t>
      </w:r>
      <w:r w:rsidRPr="0043429D">
        <w:t xml:space="preserve"> Biofuels, Bioproducts and Biorefining, 2013. </w:t>
      </w:r>
      <w:r w:rsidRPr="0043429D">
        <w:rPr>
          <w:b/>
        </w:rPr>
        <w:t>7</w:t>
      </w:r>
      <w:r w:rsidRPr="0043429D">
        <w:t>(1): p. 89-96.</w:t>
      </w:r>
    </w:p>
    <w:p w14:paraId="7FF09096" w14:textId="77777777" w:rsidR="0043429D" w:rsidRPr="0043429D" w:rsidRDefault="0043429D" w:rsidP="0043429D">
      <w:pPr>
        <w:pStyle w:val="EndNoteBibliography"/>
        <w:spacing w:after="0"/>
        <w:ind w:left="720" w:hanging="720"/>
      </w:pPr>
      <w:r w:rsidRPr="0043429D">
        <w:t>3.</w:t>
      </w:r>
      <w:r w:rsidRPr="0043429D">
        <w:tab/>
        <w:t xml:space="preserve">Peters, M.A., C.T. Alves, and J.A. Onwudili </w:t>
      </w:r>
      <w:r w:rsidRPr="0043429D">
        <w:rPr>
          <w:i/>
        </w:rPr>
        <w:t>A Review of Current and Emerging Production Technologies for Biomass-Derived Sustainable Aviation Fuels</w:t>
      </w:r>
      <w:r w:rsidRPr="0043429D">
        <w:t xml:space="preserve">. Energies, 2023. </w:t>
      </w:r>
      <w:r w:rsidRPr="0043429D">
        <w:rPr>
          <w:b/>
        </w:rPr>
        <w:t>16</w:t>
      </w:r>
      <w:r w:rsidRPr="0043429D">
        <w:t>,  DOI: 10.3390/en16166100.</w:t>
      </w:r>
    </w:p>
    <w:p w14:paraId="39B99C04" w14:textId="77777777" w:rsidR="0043429D" w:rsidRPr="0043429D" w:rsidRDefault="0043429D" w:rsidP="0043429D">
      <w:pPr>
        <w:pStyle w:val="EndNoteBibliography"/>
        <w:spacing w:after="0"/>
        <w:ind w:left="720" w:hanging="720"/>
      </w:pPr>
      <w:r w:rsidRPr="0043429D">
        <w:t>4.</w:t>
      </w:r>
      <w:r w:rsidRPr="0043429D">
        <w:tab/>
        <w:t xml:space="preserve">Airlines for America, </w:t>
      </w:r>
      <w:r w:rsidRPr="0043429D">
        <w:rPr>
          <w:i/>
        </w:rPr>
        <w:t>Jet fuel: From Well to Wing</w:t>
      </w:r>
      <w:r w:rsidRPr="0043429D">
        <w:t>. 2018.</w:t>
      </w:r>
    </w:p>
    <w:p w14:paraId="4E0752C4" w14:textId="77777777" w:rsidR="0043429D" w:rsidRPr="0043429D" w:rsidRDefault="0043429D" w:rsidP="0043429D">
      <w:pPr>
        <w:pStyle w:val="EndNoteBibliography"/>
        <w:spacing w:after="0"/>
        <w:ind w:left="720" w:hanging="720"/>
      </w:pPr>
      <w:r w:rsidRPr="0043429D">
        <w:t>5.</w:t>
      </w:r>
      <w:r w:rsidRPr="0043429D">
        <w:tab/>
        <w:t xml:space="preserve">Geleynse, S., et al., </w:t>
      </w:r>
      <w:r w:rsidRPr="0043429D">
        <w:rPr>
          <w:i/>
        </w:rPr>
        <w:t>The Alcohol-to-Jet Conversion Pathway for Drop-In Biofuels: Techno-Economic Evaluation.</w:t>
      </w:r>
      <w:r w:rsidRPr="0043429D">
        <w:t xml:space="preserve"> ChemSusChem, 2018. </w:t>
      </w:r>
      <w:r w:rsidRPr="0043429D">
        <w:rPr>
          <w:b/>
        </w:rPr>
        <w:t>11</w:t>
      </w:r>
      <w:r w:rsidRPr="0043429D">
        <w:t>(21): p. 3728-3741.</w:t>
      </w:r>
    </w:p>
    <w:p w14:paraId="54AA738C" w14:textId="77777777" w:rsidR="0043429D" w:rsidRPr="0043429D" w:rsidRDefault="0043429D" w:rsidP="0043429D">
      <w:pPr>
        <w:pStyle w:val="EndNoteBibliography"/>
        <w:spacing w:after="0"/>
        <w:ind w:left="720" w:hanging="720"/>
      </w:pPr>
      <w:r w:rsidRPr="0043429D">
        <w:t>6.</w:t>
      </w:r>
      <w:r w:rsidRPr="0043429D">
        <w:tab/>
        <w:t xml:space="preserve">Bullerdiek, N., et al., </w:t>
      </w:r>
      <w:r w:rsidRPr="0043429D">
        <w:rPr>
          <w:i/>
        </w:rPr>
        <w:t>Direct alcohol vs. alcohol-to-jet SPK utilisation in commercial aviation - an energetic-operational analysis.</w:t>
      </w:r>
      <w:r w:rsidRPr="0043429D">
        <w:t xml:space="preserve"> International Journal of Sustainable Aviation, 2022. </w:t>
      </w:r>
      <w:r w:rsidRPr="0043429D">
        <w:rPr>
          <w:b/>
        </w:rPr>
        <w:t>8</w:t>
      </w:r>
      <w:r w:rsidRPr="0043429D">
        <w:t>(3): p. 260-298.</w:t>
      </w:r>
    </w:p>
    <w:p w14:paraId="1A5A0B8E" w14:textId="120E2E42" w:rsidR="0043429D" w:rsidRPr="0043429D" w:rsidRDefault="0043429D" w:rsidP="0043429D">
      <w:pPr>
        <w:pStyle w:val="EndNoteBibliography"/>
        <w:spacing w:after="0"/>
        <w:ind w:left="720" w:hanging="720"/>
      </w:pPr>
      <w:r w:rsidRPr="0043429D">
        <w:t>7.</w:t>
      </w:r>
      <w:r w:rsidRPr="0043429D">
        <w:tab/>
        <w:t xml:space="preserve">Andersen J. </w:t>
      </w:r>
      <w:r w:rsidRPr="0043429D">
        <w:rPr>
          <w:i/>
        </w:rPr>
        <w:t>Lanzajet: Catalyzing the Next Generation of SAF</w:t>
      </w:r>
      <w:r w:rsidRPr="0043429D">
        <w:t xml:space="preserve">. 2024; Available from: </w:t>
      </w:r>
      <w:hyperlink r:id="rId18" w:history="1">
        <w:r w:rsidRPr="0043429D">
          <w:rPr>
            <w:rStyle w:val="Hyperlink"/>
          </w:rPr>
          <w:t>https://www.biofuelsdigest.com/bdigest/the-digests-2024-multi-slide-guide-to-lanzajet-saf/</w:t>
        </w:r>
      </w:hyperlink>
      <w:r w:rsidRPr="0043429D">
        <w:t>.</w:t>
      </w:r>
    </w:p>
    <w:p w14:paraId="753C7114" w14:textId="77777777" w:rsidR="0043429D" w:rsidRPr="0043429D" w:rsidRDefault="0043429D" w:rsidP="0043429D">
      <w:pPr>
        <w:pStyle w:val="EndNoteBibliography"/>
        <w:spacing w:after="0"/>
        <w:ind w:left="720" w:hanging="720"/>
      </w:pPr>
      <w:r w:rsidRPr="0043429D">
        <w:t>8.</w:t>
      </w:r>
      <w:r w:rsidRPr="0043429D">
        <w:tab/>
        <w:t xml:space="preserve">Brandt, K. and M.P. Wolcott, </w:t>
      </w:r>
      <w:r w:rsidRPr="0043429D">
        <w:rPr>
          <w:i/>
        </w:rPr>
        <w:t>Fischer Tropsch feedstock pre-processing techno-economic analysis, v. 2.1</w:t>
      </w:r>
      <w:r w:rsidRPr="0043429D">
        <w:t>. 2021, Washington State University.</w:t>
      </w:r>
    </w:p>
    <w:p w14:paraId="4984F688" w14:textId="77777777" w:rsidR="0043429D" w:rsidRPr="0043429D" w:rsidRDefault="0043429D" w:rsidP="0043429D">
      <w:pPr>
        <w:pStyle w:val="EndNoteBibliography"/>
        <w:spacing w:after="0"/>
        <w:ind w:left="720" w:hanging="720"/>
      </w:pPr>
      <w:r w:rsidRPr="0043429D">
        <w:t>9.</w:t>
      </w:r>
      <w:r w:rsidRPr="0043429D">
        <w:tab/>
        <w:t xml:space="preserve">Li, L., et al., </w:t>
      </w:r>
      <w:r w:rsidRPr="0043429D">
        <w:rPr>
          <w:i/>
        </w:rPr>
        <w:t>Catalytic Hydrothermal Conversion of Triglycerides to Non-ester Biofuels.</w:t>
      </w:r>
      <w:r w:rsidRPr="0043429D">
        <w:t xml:space="preserve"> Energy &amp; Fuels, 2010. </w:t>
      </w:r>
      <w:r w:rsidRPr="0043429D">
        <w:rPr>
          <w:b/>
        </w:rPr>
        <w:t>24</w:t>
      </w:r>
      <w:r w:rsidRPr="0043429D">
        <w:t>(2): p. 1305-1315.</w:t>
      </w:r>
    </w:p>
    <w:p w14:paraId="2C54453C" w14:textId="77777777" w:rsidR="0043429D" w:rsidRPr="0043429D" w:rsidRDefault="0043429D" w:rsidP="0043429D">
      <w:pPr>
        <w:pStyle w:val="EndNoteBibliography"/>
        <w:spacing w:after="0"/>
        <w:ind w:left="720" w:hanging="720"/>
      </w:pPr>
      <w:r w:rsidRPr="0043429D">
        <w:t>10.</w:t>
      </w:r>
      <w:r w:rsidRPr="0043429D">
        <w:tab/>
        <w:t xml:space="preserve">Brandt, K., et al., </w:t>
      </w:r>
      <w:r w:rsidRPr="0043429D">
        <w:rPr>
          <w:i/>
        </w:rPr>
        <w:t>Catalytic Hydrothermolysis techno-economic analysis, v. 2.2</w:t>
      </w:r>
      <w:r w:rsidRPr="0043429D">
        <w:t>. 2022, Washington State University.</w:t>
      </w:r>
    </w:p>
    <w:p w14:paraId="2C42731E" w14:textId="77777777" w:rsidR="0043429D" w:rsidRPr="0043429D" w:rsidRDefault="0043429D" w:rsidP="0043429D">
      <w:pPr>
        <w:pStyle w:val="EndNoteBibliography"/>
        <w:spacing w:after="0"/>
        <w:ind w:left="720" w:hanging="720"/>
      </w:pPr>
      <w:r w:rsidRPr="0043429D">
        <w:t>11.</w:t>
      </w:r>
      <w:r w:rsidRPr="0043429D">
        <w:tab/>
        <w:t xml:space="preserve">Brandt, K., et al., </w:t>
      </w:r>
      <w:r w:rsidRPr="0043429D">
        <w:rPr>
          <w:i/>
        </w:rPr>
        <w:t>Pyrolysis techno-economic analysis, v. 2.2</w:t>
      </w:r>
      <w:r w:rsidRPr="0043429D">
        <w:t>. 2022, Washington State University.</w:t>
      </w:r>
    </w:p>
    <w:p w14:paraId="1E06F971" w14:textId="77777777" w:rsidR="0043429D" w:rsidRPr="0043429D" w:rsidRDefault="0043429D" w:rsidP="0043429D">
      <w:pPr>
        <w:pStyle w:val="EndNoteBibliography"/>
        <w:ind w:left="720" w:hanging="720"/>
      </w:pPr>
      <w:r w:rsidRPr="0043429D">
        <w:t>12.</w:t>
      </w:r>
      <w:r w:rsidRPr="0043429D">
        <w:tab/>
        <w:t xml:space="preserve">EASA, </w:t>
      </w:r>
      <w:r w:rsidRPr="0043429D">
        <w:rPr>
          <w:i/>
        </w:rPr>
        <w:t>European Aviation Environmental Report</w:t>
      </w:r>
      <w:r w:rsidRPr="0043429D">
        <w:t>. 2025.</w:t>
      </w:r>
    </w:p>
    <w:p w14:paraId="37A4F262" w14:textId="0C471540" w:rsidR="001106EE" w:rsidRPr="004708E1" w:rsidRDefault="00D201CF">
      <w:pPr>
        <w:rPr>
          <w:rFonts w:ascii="Times New Roman" w:hAnsi="Times New Roman" w:cs="Times New Roman"/>
        </w:rPr>
      </w:pPr>
      <w:r w:rsidRPr="004708E1">
        <w:rPr>
          <w:rFonts w:ascii="Times New Roman" w:hAnsi="Times New Roman" w:cs="Times New Roman"/>
        </w:rPr>
        <w:fldChar w:fldCharType="end"/>
      </w:r>
    </w:p>
    <w:sectPr w:rsidR="001106EE" w:rsidRPr="004708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2BD23" w14:textId="77777777" w:rsidR="00E4230C" w:rsidRDefault="00E4230C" w:rsidP="0070064A">
      <w:pPr>
        <w:spacing w:after="0" w:line="240" w:lineRule="auto"/>
      </w:pPr>
      <w:r>
        <w:separator/>
      </w:r>
    </w:p>
  </w:endnote>
  <w:endnote w:type="continuationSeparator" w:id="0">
    <w:p w14:paraId="5BF1B1A8" w14:textId="77777777" w:rsidR="00E4230C" w:rsidRDefault="00E4230C" w:rsidP="00700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19BA7" w14:textId="77777777" w:rsidR="00E4230C" w:rsidRDefault="00E4230C" w:rsidP="0070064A">
      <w:pPr>
        <w:spacing w:after="0" w:line="240" w:lineRule="auto"/>
      </w:pPr>
      <w:r>
        <w:separator/>
      </w:r>
    </w:p>
  </w:footnote>
  <w:footnote w:type="continuationSeparator" w:id="0">
    <w:p w14:paraId="4F449BF6" w14:textId="77777777" w:rsidR="00E4230C" w:rsidRDefault="00E4230C" w:rsidP="007006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Y0sDQBEuZmhkamlko6SsGpxcWZ+XkgBYamtQBEauEwLQ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xeestaswddrqewfrpvpwdaprxpv55rprf9&quot;&gt;My EndNote Library&lt;record-ids&gt;&lt;item&gt;367&lt;/item&gt;&lt;item&gt;368&lt;/item&gt;&lt;item&gt;369&lt;/item&gt;&lt;item&gt;370&lt;/item&gt;&lt;item&gt;371&lt;/item&gt;&lt;item&gt;372&lt;/item&gt;&lt;item&gt;373&lt;/item&gt;&lt;item&gt;374&lt;/item&gt;&lt;item&gt;375&lt;/item&gt;&lt;item&gt;376&lt;/item&gt;&lt;item&gt;377&lt;/item&gt;&lt;item&gt;440&lt;/item&gt;&lt;/record-ids&gt;&lt;/item&gt;&lt;/Libraries&gt;"/>
  </w:docVars>
  <w:rsids>
    <w:rsidRoot w:val="00C628B6"/>
    <w:rsid w:val="000007D7"/>
    <w:rsid w:val="00036963"/>
    <w:rsid w:val="00045519"/>
    <w:rsid w:val="000646E7"/>
    <w:rsid w:val="000B3878"/>
    <w:rsid w:val="000E095E"/>
    <w:rsid w:val="000F683F"/>
    <w:rsid w:val="001106EE"/>
    <w:rsid w:val="00116244"/>
    <w:rsid w:val="00126F38"/>
    <w:rsid w:val="00131781"/>
    <w:rsid w:val="0013349C"/>
    <w:rsid w:val="00152EC1"/>
    <w:rsid w:val="001C0F1F"/>
    <w:rsid w:val="001D70BC"/>
    <w:rsid w:val="001E2C86"/>
    <w:rsid w:val="00211BE8"/>
    <w:rsid w:val="0026640D"/>
    <w:rsid w:val="002C2264"/>
    <w:rsid w:val="002E0796"/>
    <w:rsid w:val="00310237"/>
    <w:rsid w:val="0033652C"/>
    <w:rsid w:val="0035474A"/>
    <w:rsid w:val="00380C88"/>
    <w:rsid w:val="003933F4"/>
    <w:rsid w:val="003C5531"/>
    <w:rsid w:val="003F78F7"/>
    <w:rsid w:val="00414BD2"/>
    <w:rsid w:val="00415396"/>
    <w:rsid w:val="0043429D"/>
    <w:rsid w:val="00443878"/>
    <w:rsid w:val="00461C89"/>
    <w:rsid w:val="004708E1"/>
    <w:rsid w:val="00471DE1"/>
    <w:rsid w:val="004D7027"/>
    <w:rsid w:val="004F576C"/>
    <w:rsid w:val="00525BB1"/>
    <w:rsid w:val="0053680A"/>
    <w:rsid w:val="005379D7"/>
    <w:rsid w:val="0054529D"/>
    <w:rsid w:val="00553142"/>
    <w:rsid w:val="005C11CB"/>
    <w:rsid w:val="00603921"/>
    <w:rsid w:val="00636CB7"/>
    <w:rsid w:val="006627CE"/>
    <w:rsid w:val="006677F1"/>
    <w:rsid w:val="006730C0"/>
    <w:rsid w:val="006A4A89"/>
    <w:rsid w:val="006C0AD2"/>
    <w:rsid w:val="006C57E4"/>
    <w:rsid w:val="006D66E1"/>
    <w:rsid w:val="0070064A"/>
    <w:rsid w:val="00721058"/>
    <w:rsid w:val="007210BE"/>
    <w:rsid w:val="00787082"/>
    <w:rsid w:val="007A2AAD"/>
    <w:rsid w:val="007B7965"/>
    <w:rsid w:val="007C113E"/>
    <w:rsid w:val="00817956"/>
    <w:rsid w:val="00840202"/>
    <w:rsid w:val="008471ED"/>
    <w:rsid w:val="00883798"/>
    <w:rsid w:val="00902778"/>
    <w:rsid w:val="009060E3"/>
    <w:rsid w:val="0090789C"/>
    <w:rsid w:val="00957CCF"/>
    <w:rsid w:val="009C54C6"/>
    <w:rsid w:val="009D04D1"/>
    <w:rsid w:val="00A07669"/>
    <w:rsid w:val="00A34ADE"/>
    <w:rsid w:val="00A4102D"/>
    <w:rsid w:val="00A86EE2"/>
    <w:rsid w:val="00AB6A37"/>
    <w:rsid w:val="00AD49E4"/>
    <w:rsid w:val="00AF019D"/>
    <w:rsid w:val="00AF2A77"/>
    <w:rsid w:val="00AF7553"/>
    <w:rsid w:val="00B0023A"/>
    <w:rsid w:val="00B02976"/>
    <w:rsid w:val="00B14263"/>
    <w:rsid w:val="00B22E4B"/>
    <w:rsid w:val="00B26E67"/>
    <w:rsid w:val="00B53B9F"/>
    <w:rsid w:val="00B928E9"/>
    <w:rsid w:val="00BB2F78"/>
    <w:rsid w:val="00BB4757"/>
    <w:rsid w:val="00BC67DA"/>
    <w:rsid w:val="00BD78E0"/>
    <w:rsid w:val="00C02444"/>
    <w:rsid w:val="00C12202"/>
    <w:rsid w:val="00C3270F"/>
    <w:rsid w:val="00C33766"/>
    <w:rsid w:val="00C628B6"/>
    <w:rsid w:val="00D011BF"/>
    <w:rsid w:val="00D201CF"/>
    <w:rsid w:val="00D346DD"/>
    <w:rsid w:val="00D3533E"/>
    <w:rsid w:val="00D70F3E"/>
    <w:rsid w:val="00D807AE"/>
    <w:rsid w:val="00DC63B7"/>
    <w:rsid w:val="00DC6EF1"/>
    <w:rsid w:val="00DD5D47"/>
    <w:rsid w:val="00DD7774"/>
    <w:rsid w:val="00DE5FDA"/>
    <w:rsid w:val="00DF6ED3"/>
    <w:rsid w:val="00E0531D"/>
    <w:rsid w:val="00E41A73"/>
    <w:rsid w:val="00E4230C"/>
    <w:rsid w:val="00E6235A"/>
    <w:rsid w:val="00E964E9"/>
    <w:rsid w:val="00EB2939"/>
    <w:rsid w:val="00EC7B3C"/>
    <w:rsid w:val="00ED0AAF"/>
    <w:rsid w:val="00ED7511"/>
    <w:rsid w:val="00F12B65"/>
    <w:rsid w:val="00F17AF6"/>
    <w:rsid w:val="00F408B8"/>
    <w:rsid w:val="00F536A1"/>
    <w:rsid w:val="00F6525A"/>
    <w:rsid w:val="00FB5952"/>
    <w:rsid w:val="00FC6E9A"/>
    <w:rsid w:val="00FD2C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CEBF8"/>
  <w15:chartTrackingRefBased/>
  <w15:docId w15:val="{9EED16D8-320F-4560-B946-CC05B4603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B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2">
    <w:name w:val="List Table 2"/>
    <w:basedOn w:val="TableNormal"/>
    <w:uiPriority w:val="47"/>
    <w:rsid w:val="00D201C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D201C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201CF"/>
    <w:rPr>
      <w:rFonts w:ascii="Calibri" w:hAnsi="Calibri" w:cs="Calibri"/>
      <w:noProof/>
      <w:lang w:val="en-US"/>
    </w:rPr>
  </w:style>
  <w:style w:type="paragraph" w:customStyle="1" w:styleId="EndNoteBibliography">
    <w:name w:val="EndNote Bibliography"/>
    <w:basedOn w:val="Normal"/>
    <w:link w:val="EndNoteBibliographyChar"/>
    <w:rsid w:val="00D201C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201CF"/>
    <w:rPr>
      <w:rFonts w:ascii="Calibri" w:hAnsi="Calibri" w:cs="Calibri"/>
      <w:noProof/>
      <w:lang w:val="en-US"/>
    </w:rPr>
  </w:style>
  <w:style w:type="character" w:styleId="Hyperlink">
    <w:name w:val="Hyperlink"/>
    <w:basedOn w:val="DefaultParagraphFont"/>
    <w:uiPriority w:val="99"/>
    <w:unhideWhenUsed/>
    <w:rsid w:val="00D201CF"/>
    <w:rPr>
      <w:color w:val="0563C1" w:themeColor="hyperlink"/>
      <w:u w:val="single"/>
    </w:rPr>
  </w:style>
  <w:style w:type="character" w:styleId="UnresolvedMention">
    <w:name w:val="Unresolved Mention"/>
    <w:basedOn w:val="DefaultParagraphFont"/>
    <w:uiPriority w:val="99"/>
    <w:semiHidden/>
    <w:unhideWhenUsed/>
    <w:rsid w:val="00D201CF"/>
    <w:rPr>
      <w:color w:val="605E5C"/>
      <w:shd w:val="clear" w:color="auto" w:fill="E1DFDD"/>
    </w:rPr>
  </w:style>
  <w:style w:type="paragraph" w:styleId="Caption">
    <w:name w:val="caption"/>
    <w:basedOn w:val="Normal"/>
    <w:next w:val="Normal"/>
    <w:uiPriority w:val="35"/>
    <w:unhideWhenUsed/>
    <w:qFormat/>
    <w:rsid w:val="00D201C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006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064A"/>
    <w:rPr>
      <w:lang w:val="en-US"/>
    </w:rPr>
  </w:style>
  <w:style w:type="paragraph" w:styleId="Footer">
    <w:name w:val="footer"/>
    <w:basedOn w:val="Normal"/>
    <w:link w:val="FooterChar"/>
    <w:uiPriority w:val="99"/>
    <w:unhideWhenUsed/>
    <w:rsid w:val="007006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064A"/>
    <w:rPr>
      <w:lang w:val="en-US"/>
    </w:rPr>
  </w:style>
  <w:style w:type="character" w:styleId="CommentReference">
    <w:name w:val="annotation reference"/>
    <w:basedOn w:val="DefaultParagraphFont"/>
    <w:uiPriority w:val="99"/>
    <w:semiHidden/>
    <w:unhideWhenUsed/>
    <w:rsid w:val="000F683F"/>
    <w:rPr>
      <w:sz w:val="16"/>
      <w:szCs w:val="16"/>
    </w:rPr>
  </w:style>
  <w:style w:type="paragraph" w:styleId="CommentText">
    <w:name w:val="annotation text"/>
    <w:basedOn w:val="Normal"/>
    <w:link w:val="CommentTextChar"/>
    <w:uiPriority w:val="99"/>
    <w:semiHidden/>
    <w:unhideWhenUsed/>
    <w:rsid w:val="000F683F"/>
    <w:pPr>
      <w:spacing w:line="240" w:lineRule="auto"/>
    </w:pPr>
    <w:rPr>
      <w:sz w:val="20"/>
      <w:szCs w:val="20"/>
    </w:rPr>
  </w:style>
  <w:style w:type="character" w:customStyle="1" w:styleId="CommentTextChar">
    <w:name w:val="Comment Text Char"/>
    <w:basedOn w:val="DefaultParagraphFont"/>
    <w:link w:val="CommentText"/>
    <w:uiPriority w:val="99"/>
    <w:semiHidden/>
    <w:rsid w:val="000F683F"/>
    <w:rPr>
      <w:sz w:val="20"/>
      <w:szCs w:val="20"/>
      <w:lang w:val="en-US"/>
    </w:rPr>
  </w:style>
  <w:style w:type="paragraph" w:styleId="CommentSubject">
    <w:name w:val="annotation subject"/>
    <w:basedOn w:val="CommentText"/>
    <w:next w:val="CommentText"/>
    <w:link w:val="CommentSubjectChar"/>
    <w:uiPriority w:val="99"/>
    <w:semiHidden/>
    <w:unhideWhenUsed/>
    <w:rsid w:val="000F683F"/>
    <w:rPr>
      <w:b/>
      <w:bCs/>
    </w:rPr>
  </w:style>
  <w:style w:type="character" w:customStyle="1" w:styleId="CommentSubjectChar">
    <w:name w:val="Comment Subject Char"/>
    <w:basedOn w:val="CommentTextChar"/>
    <w:link w:val="CommentSubject"/>
    <w:uiPriority w:val="99"/>
    <w:semiHidden/>
    <w:rsid w:val="000F683F"/>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biofuelsdigest.com/bdigest/the-digests-2024-multi-slide-guide-to-lanzajet-sa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1B092-0753-4C5F-B90C-601534320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8</Pages>
  <Words>2097</Words>
  <Characters>11955</Characters>
  <Application>Microsoft Office Word</Application>
  <DocSecurity>0</DocSecurity>
  <Lines>99</Lines>
  <Paragraphs>28</Paragraphs>
  <ScaleCrop>false</ScaleCrop>
  <Company>UHasselt</Company>
  <LinksUpToDate>false</LinksUpToDate>
  <CharactersWithSpaces>14024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MARTULLI Alessandro</dc:creator>
  <cp:keywords/>
  <dc:description/>
  <cp:lastModifiedBy>MARTULLI Alessandro</cp:lastModifiedBy>
  <cp:revision>124</cp:revision>
  <dcterms:created xsi:type="dcterms:W3CDTF">2025-02-12T19:50:00Z</dcterms:created>
  <dcterms:modified xsi:type="dcterms:W3CDTF">2025-06-13T11:05:00Z</dcterms:modified>
</cp:coreProperties>
</file>