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996A" w14:textId="172E8D33" w:rsidR="00D73ECC" w:rsidRDefault="00D73ECC" w:rsidP="00D73ECC">
      <w:pPr>
        <w:pStyle w:val="Kop1"/>
      </w:pPr>
      <w:r w:rsidRPr="00D73ECC">
        <w:t xml:space="preserve">Supplementary File 2 - </w:t>
      </w:r>
      <w:r w:rsidRPr="00D73ECC">
        <w:t xml:space="preserve">SWOT analysis for long-term implementation of OPRAH </w:t>
      </w:r>
    </w:p>
    <w:p w14:paraId="4FF5F842" w14:textId="77777777" w:rsidR="00D73ECC" w:rsidRPr="00D73ECC" w:rsidRDefault="00D73ECC" w:rsidP="00D73ECC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3ECC" w14:paraId="7FA77FDC" w14:textId="77777777" w:rsidTr="005F30BE">
        <w:tc>
          <w:tcPr>
            <w:tcW w:w="4508" w:type="dxa"/>
            <w:shd w:val="clear" w:color="auto" w:fill="95B3D7" w:themeFill="accent1" w:themeFillTint="99"/>
          </w:tcPr>
          <w:p w14:paraId="26E860DC" w14:textId="77777777" w:rsidR="00D73ECC" w:rsidRPr="0073686B" w:rsidRDefault="00D73ECC" w:rsidP="005F30BE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 w:rsidRPr="0073686B">
              <w:rPr>
                <w:b/>
                <w:bCs/>
                <w:lang w:val="en-US"/>
              </w:rPr>
              <w:t>Strengths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3BD89A62" w14:textId="77777777" w:rsidR="00D73ECC" w:rsidRPr="0073686B" w:rsidRDefault="00D73ECC" w:rsidP="005F30BE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 w:rsidRPr="0073686B">
              <w:rPr>
                <w:b/>
                <w:bCs/>
                <w:lang w:val="en-US"/>
              </w:rPr>
              <w:t>Weaknesses</w:t>
            </w:r>
          </w:p>
        </w:tc>
      </w:tr>
      <w:tr w:rsidR="00D73ECC" w:rsidRPr="00F8111D" w14:paraId="3C16B679" w14:textId="77777777" w:rsidTr="005F30BE">
        <w:tc>
          <w:tcPr>
            <w:tcW w:w="4508" w:type="dxa"/>
          </w:tcPr>
          <w:p w14:paraId="57E10817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>Increased patient autonomy through insight into exercise and nutrition data</w:t>
            </w:r>
            <w:r>
              <w:rPr>
                <w:rFonts w:ascii="Calibri" w:hAnsi="Calibri"/>
                <w:lang w:val="en-US"/>
              </w:rPr>
              <w:t>.</w:t>
            </w:r>
          </w:p>
          <w:p w14:paraId="6F004D38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>Creates patient awareness</w:t>
            </w:r>
            <w:r>
              <w:rPr>
                <w:rFonts w:ascii="Calibri" w:hAnsi="Calibri"/>
                <w:lang w:val="en-US"/>
              </w:rPr>
              <w:t>.</w:t>
            </w:r>
          </w:p>
          <w:p w14:paraId="799F48A3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 xml:space="preserve">Insight into how the patient is doing and to </w:t>
            </w:r>
            <w:r>
              <w:rPr>
                <w:rFonts w:ascii="Calibri" w:hAnsi="Calibri"/>
                <w:lang w:val="en-US"/>
              </w:rPr>
              <w:t>identify whether additional support is needed.</w:t>
            </w:r>
          </w:p>
          <w:p w14:paraId="6EB2999C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Support can be adjusted based on patient’s needs. </w:t>
            </w:r>
          </w:p>
          <w:p w14:paraId="54BBF460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>Multiple options for counselling: Data, chat</w:t>
            </w:r>
            <w:r>
              <w:rPr>
                <w:rFonts w:ascii="Calibri" w:hAnsi="Calibri"/>
                <w:lang w:val="en-US"/>
              </w:rPr>
              <w:t>,</w:t>
            </w:r>
            <w:r w:rsidRPr="0073686B">
              <w:rPr>
                <w:rFonts w:ascii="Calibri" w:hAnsi="Calibri"/>
                <w:lang w:val="en-US"/>
              </w:rPr>
              <w:t xml:space="preserve"> and telephone</w:t>
            </w:r>
          </w:p>
          <w:p w14:paraId="499AE6B5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 xml:space="preserve">The short lines of communication between the healthcare professional and the patient </w:t>
            </w:r>
            <w:r>
              <w:rPr>
                <w:rFonts w:ascii="Calibri" w:hAnsi="Calibri"/>
                <w:lang w:val="en-US"/>
              </w:rPr>
              <w:t>provides a sense of safety</w:t>
            </w:r>
          </w:p>
          <w:p w14:paraId="569193CE" w14:textId="77777777" w:rsidR="00D73ECC" w:rsidRPr="00210389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Physiotherapist and dietitians know how to reach out to each other more easily.</w:t>
            </w:r>
          </w:p>
          <w:p w14:paraId="29E02ED0" w14:textId="77777777" w:rsidR="00D73ECC" w:rsidRPr="00CA4FD2" w:rsidRDefault="00D73ECC" w:rsidP="00D73ECC">
            <w:pPr>
              <w:pStyle w:val="Lijstalinea"/>
              <w:spacing w:line="240" w:lineRule="auto"/>
              <w:ind w:left="720"/>
              <w:rPr>
                <w:lang w:val="en-US"/>
              </w:rPr>
            </w:pPr>
          </w:p>
        </w:tc>
        <w:tc>
          <w:tcPr>
            <w:tcW w:w="4508" w:type="dxa"/>
          </w:tcPr>
          <w:p w14:paraId="1870A766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>Multiple practitioners from one discipline makes use sometimes difficult</w:t>
            </w:r>
            <w:r>
              <w:rPr>
                <w:rFonts w:ascii="Calibri" w:hAnsi="Calibri"/>
                <w:lang w:val="en-US"/>
              </w:rPr>
              <w:t>.</w:t>
            </w:r>
          </w:p>
          <w:p w14:paraId="34D2B29F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 xml:space="preserve">Patients who </w:t>
            </w:r>
            <w:r>
              <w:rPr>
                <w:rFonts w:ascii="Calibri" w:hAnsi="Calibri"/>
                <w:lang w:val="en-US"/>
              </w:rPr>
              <w:t xml:space="preserve">recover should be support more efficiently </w:t>
            </w:r>
          </w:p>
          <w:p w14:paraId="121B4AF1" w14:textId="77777777" w:rsidR="00D73ECC" w:rsidRPr="00CA4FD2" w:rsidRDefault="00D73ECC" w:rsidP="00D73ECC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Work schedules</w:t>
            </w:r>
            <w:r w:rsidRPr="0073686B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 xml:space="preserve">are </w:t>
            </w:r>
            <w:r w:rsidRPr="0073686B">
              <w:rPr>
                <w:rFonts w:ascii="Calibri" w:hAnsi="Calibri"/>
                <w:lang w:val="en-US"/>
              </w:rPr>
              <w:t>not set up for remote coaching</w:t>
            </w:r>
            <w:r>
              <w:rPr>
                <w:rFonts w:ascii="Calibri" w:hAnsi="Calibri"/>
                <w:lang w:val="en-US"/>
              </w:rPr>
              <w:t>.</w:t>
            </w:r>
          </w:p>
        </w:tc>
      </w:tr>
      <w:tr w:rsidR="00D73ECC" w14:paraId="38F79C11" w14:textId="77777777" w:rsidTr="005F30BE">
        <w:tc>
          <w:tcPr>
            <w:tcW w:w="4508" w:type="dxa"/>
            <w:shd w:val="clear" w:color="auto" w:fill="FBD4B4" w:themeFill="accent6" w:themeFillTint="66"/>
          </w:tcPr>
          <w:p w14:paraId="4E631F44" w14:textId="77777777" w:rsidR="00D73ECC" w:rsidRPr="0073686B" w:rsidRDefault="00D73ECC" w:rsidP="00D73ECC">
            <w:pPr>
              <w:spacing w:line="360" w:lineRule="auto"/>
              <w:rPr>
                <w:b/>
                <w:bCs/>
                <w:lang w:val="en-US"/>
              </w:rPr>
            </w:pPr>
            <w:r w:rsidRPr="0073686B">
              <w:rPr>
                <w:b/>
                <w:bCs/>
                <w:lang w:val="en-US"/>
              </w:rPr>
              <w:t>Opportunities</w:t>
            </w:r>
          </w:p>
        </w:tc>
        <w:tc>
          <w:tcPr>
            <w:tcW w:w="4508" w:type="dxa"/>
            <w:shd w:val="clear" w:color="auto" w:fill="D99594" w:themeFill="accent2" w:themeFillTint="99"/>
          </w:tcPr>
          <w:p w14:paraId="4BB34F57" w14:textId="77777777" w:rsidR="00D73ECC" w:rsidRPr="0073686B" w:rsidRDefault="00D73ECC" w:rsidP="00D73ECC">
            <w:pPr>
              <w:spacing w:line="360" w:lineRule="auto"/>
              <w:rPr>
                <w:b/>
                <w:bCs/>
                <w:lang w:val="en-US"/>
              </w:rPr>
            </w:pPr>
            <w:r w:rsidRPr="0073686B">
              <w:rPr>
                <w:b/>
                <w:bCs/>
                <w:lang w:val="en-US"/>
              </w:rPr>
              <w:t>Treats</w:t>
            </w:r>
          </w:p>
        </w:tc>
      </w:tr>
      <w:tr w:rsidR="00D73ECC" w:rsidRPr="00F8111D" w14:paraId="6180CAD3" w14:textId="77777777" w:rsidTr="005F30BE">
        <w:tc>
          <w:tcPr>
            <w:tcW w:w="4508" w:type="dxa"/>
          </w:tcPr>
          <w:p w14:paraId="0E2AFB64" w14:textId="77777777" w:rsidR="00D73ECC" w:rsidRPr="0043537E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 xml:space="preserve">If a patient recovers well, </w:t>
            </w:r>
            <w:r>
              <w:rPr>
                <w:rFonts w:ascii="Calibri" w:hAnsi="Calibri"/>
                <w:lang w:val="en-US"/>
              </w:rPr>
              <w:t>the intervention can save time.</w:t>
            </w:r>
          </w:p>
          <w:p w14:paraId="21FADC2F" w14:textId="77777777" w:rsidR="00D73ECC" w:rsidRPr="00CA4FD2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>Apply intervention in all oncological surgery patients</w:t>
            </w:r>
          </w:p>
          <w:p w14:paraId="2FDDBB09" w14:textId="77777777" w:rsidR="00D73ECC" w:rsidRPr="00CA4FD2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>Apply intervention also in other phases of the care pathway, such as prehabilitation and during chemotherapy</w:t>
            </w:r>
          </w:p>
          <w:p w14:paraId="685D1871" w14:textId="77777777" w:rsidR="00D73ECC" w:rsidRPr="00CA4FD2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>Further fine-tune expectation management about</w:t>
            </w:r>
            <w:r>
              <w:rPr>
                <w:rFonts w:ascii="Calibri" w:hAnsi="Calibri"/>
                <w:lang w:val="en-US"/>
              </w:rPr>
              <w:t xml:space="preserve"> coaching of patients </w:t>
            </w:r>
          </w:p>
          <w:p w14:paraId="567F8E87" w14:textId="77777777" w:rsidR="00D73ECC" w:rsidRPr="00A64FB8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 xml:space="preserve">Deployment in regular care through link with </w:t>
            </w:r>
            <w:r>
              <w:rPr>
                <w:rFonts w:ascii="Calibri" w:hAnsi="Calibri"/>
                <w:lang w:val="en-US"/>
              </w:rPr>
              <w:t>electronic health record</w:t>
            </w:r>
          </w:p>
          <w:p w14:paraId="768BA4F6" w14:textId="77777777" w:rsidR="00D73ECC" w:rsidRPr="00A64FB8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 w:rsidRPr="00A64FB8">
              <w:rPr>
                <w:rFonts w:ascii="Calibri" w:hAnsi="Calibri"/>
                <w:lang w:val="en-US"/>
              </w:rPr>
              <w:t xml:space="preserve">Create screening tool for degree of coaching for more efficiency </w:t>
            </w:r>
          </w:p>
        </w:tc>
        <w:tc>
          <w:tcPr>
            <w:tcW w:w="4508" w:type="dxa"/>
          </w:tcPr>
          <w:p w14:paraId="66445BFD" w14:textId="77777777" w:rsidR="00D73ECC" w:rsidRPr="00CA4FD2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Difficult to keep </w:t>
            </w:r>
            <w:r w:rsidRPr="0073686B"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  <w:lang w:val="en-US"/>
              </w:rPr>
              <w:t xml:space="preserve"> good</w:t>
            </w:r>
            <w:r w:rsidRPr="0073686B">
              <w:rPr>
                <w:rFonts w:ascii="Calibri" w:hAnsi="Calibri"/>
                <w:lang w:val="en-US"/>
              </w:rPr>
              <w:t xml:space="preserve"> overview of patients as numbers increase</w:t>
            </w:r>
          </w:p>
          <w:p w14:paraId="6789E508" w14:textId="77777777" w:rsidR="00D73ECC" w:rsidRPr="00CA4FD2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 xml:space="preserve">Logging into external dashboard is </w:t>
            </w:r>
            <w:r>
              <w:rPr>
                <w:rFonts w:ascii="Calibri" w:hAnsi="Calibri"/>
                <w:lang w:val="en-US"/>
              </w:rPr>
              <w:t xml:space="preserve">an </w:t>
            </w:r>
            <w:r w:rsidRPr="0073686B">
              <w:rPr>
                <w:rFonts w:ascii="Calibri" w:hAnsi="Calibri"/>
                <w:lang w:val="en-US"/>
              </w:rPr>
              <w:t>extra action</w:t>
            </w:r>
          </w:p>
          <w:p w14:paraId="302441DE" w14:textId="77777777" w:rsidR="00D73ECC" w:rsidRPr="00CA4FD2" w:rsidRDefault="00D73ECC" w:rsidP="00D73ECC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lang w:val="en-US"/>
              </w:rPr>
            </w:pPr>
            <w:r w:rsidRPr="0073686B">
              <w:rPr>
                <w:rFonts w:ascii="Calibri" w:hAnsi="Calibri"/>
                <w:lang w:val="en-US"/>
              </w:rPr>
              <w:t>Intervention was not</w:t>
            </w:r>
            <w:r>
              <w:rPr>
                <w:rFonts w:ascii="Calibri" w:hAnsi="Calibri"/>
                <w:lang w:val="en-US"/>
              </w:rPr>
              <w:t xml:space="preserve"> part of usual</w:t>
            </w:r>
            <w:r w:rsidRPr="0073686B">
              <w:rPr>
                <w:rFonts w:ascii="Calibri" w:hAnsi="Calibri"/>
                <w:lang w:val="en-US"/>
              </w:rPr>
              <w:t xml:space="preserve"> care and added </w:t>
            </w:r>
            <w:r>
              <w:rPr>
                <w:rFonts w:ascii="Calibri" w:hAnsi="Calibri"/>
                <w:lang w:val="en-US"/>
              </w:rPr>
              <w:t xml:space="preserve">extra </w:t>
            </w:r>
            <w:r w:rsidRPr="0073686B">
              <w:rPr>
                <w:rFonts w:ascii="Calibri" w:hAnsi="Calibri"/>
                <w:lang w:val="en-US"/>
              </w:rPr>
              <w:t>pressure to the d</w:t>
            </w:r>
            <w:r>
              <w:rPr>
                <w:rFonts w:ascii="Calibri" w:hAnsi="Calibri"/>
                <w:lang w:val="en-US"/>
              </w:rPr>
              <w:t xml:space="preserve">aily routine </w:t>
            </w:r>
          </w:p>
          <w:p w14:paraId="79FFB2F1" w14:textId="77777777" w:rsidR="00D73ECC" w:rsidRPr="00210389" w:rsidRDefault="00D73ECC" w:rsidP="00D73ECC">
            <w:pPr>
              <w:rPr>
                <w:strike/>
                <w:lang w:val="en-US"/>
              </w:rPr>
            </w:pPr>
          </w:p>
        </w:tc>
      </w:tr>
    </w:tbl>
    <w:p w14:paraId="24F1E37C" w14:textId="77777777" w:rsidR="00D73ECC" w:rsidRDefault="00D73ECC" w:rsidP="00D73ECC">
      <w:pPr>
        <w:pStyle w:val="Kop2"/>
        <w:rPr>
          <w:lang w:val="en-GB"/>
        </w:rPr>
      </w:pPr>
    </w:p>
    <w:p w14:paraId="713026E8" w14:textId="77777777" w:rsidR="00505539" w:rsidRPr="00D73ECC" w:rsidRDefault="00505539" w:rsidP="00E1684F">
      <w:pPr>
        <w:rPr>
          <w:lang w:val="en-GB"/>
        </w:rPr>
      </w:pPr>
    </w:p>
    <w:sectPr w:rsidR="00505539" w:rsidRPr="00D7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8859ED"/>
    <w:multiLevelType w:val="hybridMultilevel"/>
    <w:tmpl w:val="C00AC2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ED851B2"/>
    <w:multiLevelType w:val="hybridMultilevel"/>
    <w:tmpl w:val="4D4826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845DFB"/>
    <w:multiLevelType w:val="hybridMultilevel"/>
    <w:tmpl w:val="188AA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3"/>
  </w:num>
  <w:num w:numId="3" w16cid:durableId="593171272">
    <w:abstractNumId w:val="5"/>
  </w:num>
  <w:num w:numId="4" w16cid:durableId="1008337569">
    <w:abstractNumId w:val="1"/>
  </w:num>
  <w:num w:numId="5" w16cid:durableId="1200053308">
    <w:abstractNumId w:val="7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3"/>
  </w:num>
  <w:num w:numId="9" w16cid:durableId="517307843">
    <w:abstractNumId w:val="5"/>
  </w:num>
  <w:num w:numId="10" w16cid:durableId="1375159396">
    <w:abstractNumId w:val="3"/>
  </w:num>
  <w:num w:numId="11" w16cid:durableId="1855998875">
    <w:abstractNumId w:val="3"/>
  </w:num>
  <w:num w:numId="12" w16cid:durableId="888762083">
    <w:abstractNumId w:val="5"/>
  </w:num>
  <w:num w:numId="13" w16cid:durableId="1421874605">
    <w:abstractNumId w:val="5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7"/>
  </w:num>
  <w:num w:numId="18" w16cid:durableId="1286042416">
    <w:abstractNumId w:val="0"/>
  </w:num>
  <w:num w:numId="19" w16cid:durableId="322970271">
    <w:abstractNumId w:val="3"/>
  </w:num>
  <w:num w:numId="20" w16cid:durableId="616446539">
    <w:abstractNumId w:val="5"/>
  </w:num>
  <w:num w:numId="21" w16cid:durableId="1937398501">
    <w:abstractNumId w:val="3"/>
  </w:num>
  <w:num w:numId="22" w16cid:durableId="1575697738">
    <w:abstractNumId w:val="3"/>
  </w:num>
  <w:num w:numId="23" w16cid:durableId="1820882858">
    <w:abstractNumId w:val="5"/>
  </w:num>
  <w:num w:numId="24" w16cid:durableId="517737764">
    <w:abstractNumId w:val="5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7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7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494565203">
    <w:abstractNumId w:val="6"/>
  </w:num>
  <w:num w:numId="40" w16cid:durableId="1712918610">
    <w:abstractNumId w:val="4"/>
  </w:num>
  <w:num w:numId="41" w16cid:durableId="2027951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CC"/>
    <w:rsid w:val="001A71D9"/>
    <w:rsid w:val="0021507E"/>
    <w:rsid w:val="00225B02"/>
    <w:rsid w:val="00476272"/>
    <w:rsid w:val="004E10E2"/>
    <w:rsid w:val="00505539"/>
    <w:rsid w:val="00506189"/>
    <w:rsid w:val="005147C8"/>
    <w:rsid w:val="005B2AF3"/>
    <w:rsid w:val="005E4B36"/>
    <w:rsid w:val="006E1286"/>
    <w:rsid w:val="007D0955"/>
    <w:rsid w:val="00821D64"/>
    <w:rsid w:val="00840A00"/>
    <w:rsid w:val="00915C38"/>
    <w:rsid w:val="00944185"/>
    <w:rsid w:val="009B60D0"/>
    <w:rsid w:val="00AD3036"/>
    <w:rsid w:val="00B42813"/>
    <w:rsid w:val="00BB0BD6"/>
    <w:rsid w:val="00CF0BFA"/>
    <w:rsid w:val="00D66FC4"/>
    <w:rsid w:val="00D73ECC"/>
    <w:rsid w:val="00DF6498"/>
    <w:rsid w:val="00E1684F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D49F"/>
  <w15:chartTrackingRefBased/>
  <w15:docId w15:val="{5A3EDC15-C3F4-4E84-AE5D-4081C515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3EC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73ECC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4"/>
      <w:szCs w:val="28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D73E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D73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D73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D73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D73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9"/>
    <w:rsid w:val="00D73ECC"/>
    <w:rPr>
      <w:rFonts w:asciiTheme="minorHAnsi" w:eastAsiaTheme="majorEastAsia" w:hAnsiTheme="minorHAnsi" w:cstheme="majorBidi"/>
      <w:b/>
      <w:bCs/>
      <w:kern w:val="32"/>
      <w:sz w:val="24"/>
      <w:szCs w:val="28"/>
      <w:lang w:val="en-US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D73EC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D73E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D73E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D73E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D73ECC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D73ECC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73E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3ECC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D73ECC"/>
    <w:rPr>
      <w:b/>
      <w:bCs/>
      <w:smallCaps/>
      <w:color w:val="365F91" w:themeColor="accent1" w:themeShade="BF"/>
      <w:spacing w:val="5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73ECC"/>
    <w:rPr>
      <w:rFonts w:ascii="Trebuchet MS" w:hAnsi="Trebuchet MS"/>
    </w:rPr>
  </w:style>
  <w:style w:type="table" w:styleId="Tabelraster">
    <w:name w:val="Table Grid"/>
    <w:basedOn w:val="Standaardtabel"/>
    <w:uiPriority w:val="39"/>
    <w:rsid w:val="00D7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Leeuwerk, M.E. de (Marijke)</dc:creator>
  <cp:keywords/>
  <dc:description/>
  <cp:lastModifiedBy>Leeuwerk, M.E. de (Marijke)</cp:lastModifiedBy>
  <cp:revision>1</cp:revision>
  <dcterms:created xsi:type="dcterms:W3CDTF">2025-06-18T07:06:00Z</dcterms:created>
  <dcterms:modified xsi:type="dcterms:W3CDTF">2025-06-18T07:07:00Z</dcterms:modified>
</cp:coreProperties>
</file>