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21C" w:rsidRDefault="0021421C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3F4A5D84" wp14:editId="73E0029D">
            <wp:extent cx="5274310" cy="5476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1421C">
        <w:rPr>
          <w:noProof/>
        </w:rPr>
        <w:t xml:space="preserve"> </w:t>
      </w:r>
    </w:p>
    <w:p w:rsidR="0021421C" w:rsidRDefault="0021421C" w:rsidP="0021421C">
      <w:pPr>
        <w:spacing w:line="276" w:lineRule="auto"/>
        <w:rPr>
          <w:rFonts w:ascii="Arial" w:hAnsi="Arial" w:cs="Arial"/>
          <w:b/>
          <w:bCs/>
        </w:rPr>
      </w:pPr>
      <w:r w:rsidRPr="00A12A12">
        <w:rPr>
          <w:rFonts w:ascii="Arial" w:hAnsi="Arial" w:cs="Arial"/>
          <w:b/>
          <w:bCs/>
        </w:rPr>
        <w:t>Figure S1 Quality control of snRNA-</w:t>
      </w:r>
      <w:proofErr w:type="spellStart"/>
      <w:r w:rsidRPr="00A12A12">
        <w:rPr>
          <w:rFonts w:ascii="Arial" w:hAnsi="Arial" w:cs="Arial"/>
          <w:b/>
          <w:bCs/>
        </w:rPr>
        <w:t>seq</w:t>
      </w:r>
      <w:proofErr w:type="spellEnd"/>
      <w:r w:rsidRPr="00A12A12">
        <w:rPr>
          <w:rFonts w:ascii="Arial" w:hAnsi="Arial" w:cs="Arial"/>
          <w:b/>
          <w:bCs/>
        </w:rPr>
        <w:t xml:space="preserve"> data</w:t>
      </w:r>
    </w:p>
    <w:p w:rsidR="0021421C" w:rsidRPr="0002291C" w:rsidRDefault="0021421C" w:rsidP="0021421C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 showing the UMI counts for each cell type (left) and tissue layer (right) after stringent quality control filtering.</w:t>
      </w:r>
    </w:p>
    <w:p w:rsidR="0021421C" w:rsidRPr="0002291C" w:rsidRDefault="0021421C" w:rsidP="0021421C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 showing the number of detected genes per cell for each cell type (left) and tissue layer (right) after filtering.</w:t>
      </w:r>
    </w:p>
    <w:p w:rsidR="0021421C" w:rsidRPr="0002291C" w:rsidRDefault="0021421C" w:rsidP="0021421C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 showing the percentage of mitochondrial transcripts (Percent.mt) for each cell type (left) and tissue layer (right) after filtering.</w:t>
      </w:r>
    </w:p>
    <w:p w:rsidR="0021421C" w:rsidRPr="00C04D47" w:rsidRDefault="0021421C" w:rsidP="0021421C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Bar plot showing the number of cells retained for each cell type (left) and tissue layer (right) after filtering.</w:t>
      </w:r>
      <w:r>
        <w:rPr>
          <w:rFonts w:ascii="Arial" w:hAnsi="Arial" w:cs="Arial"/>
        </w:rPr>
        <w:t xml:space="preserve"> </w:t>
      </w:r>
      <w:r w:rsidRPr="00C04D47">
        <w:rPr>
          <w:rFonts w:ascii="Arial" w:hAnsi="Arial" w:cs="Arial"/>
        </w:rPr>
        <w:t>Antler stem cells (</w:t>
      </w:r>
      <w:proofErr w:type="spellStart"/>
      <w:r w:rsidRPr="00C04D47">
        <w:rPr>
          <w:rFonts w:ascii="Arial" w:hAnsi="Arial" w:cs="Arial"/>
        </w:rPr>
        <w:t>AnSCs</w:t>
      </w:r>
      <w:proofErr w:type="spellEnd"/>
      <w:r w:rsidRPr="00C04D47">
        <w:rPr>
          <w:rFonts w:ascii="Arial" w:hAnsi="Arial" w:cs="Arial"/>
        </w:rPr>
        <w:t>); antler progenitor cells (</w:t>
      </w:r>
      <w:proofErr w:type="spellStart"/>
      <w:r w:rsidRPr="00C04D47">
        <w:rPr>
          <w:rFonts w:ascii="Arial" w:hAnsi="Arial" w:cs="Arial"/>
        </w:rPr>
        <w:t>AnPCs</w:t>
      </w:r>
      <w:proofErr w:type="spellEnd"/>
      <w:r w:rsidRPr="00C04D47">
        <w:rPr>
          <w:rFonts w:ascii="Arial" w:hAnsi="Arial" w:cs="Arial"/>
        </w:rPr>
        <w:t xml:space="preserve">); </w:t>
      </w:r>
      <w:r w:rsidRPr="00C04D47">
        <w:rPr>
          <w:rFonts w:ascii="Arial" w:eastAsia="宋体" w:hAnsi="Arial" w:cs="Arial"/>
          <w:kern w:val="0"/>
        </w:rPr>
        <w:t>reserve mesenchyme (RM), pre-cartilage (PC), transition zone (TZ), cartilage (CA), and mineralized cartilage (MC).</w:t>
      </w: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B266C4" wp14:editId="45662EAC">
            <wp:extent cx="5274310" cy="54362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Pr="000737D2" w:rsidRDefault="0021421C" w:rsidP="0021421C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S2 </w:t>
      </w:r>
      <w:r w:rsidRPr="000737D2">
        <w:rPr>
          <w:rFonts w:ascii="Arial" w:hAnsi="Arial" w:cs="Arial"/>
          <w:b/>
          <w:bCs/>
        </w:rPr>
        <w:t>snRNA-</w:t>
      </w:r>
      <w:proofErr w:type="spellStart"/>
      <w:r w:rsidRPr="000737D2">
        <w:rPr>
          <w:rFonts w:ascii="Arial" w:hAnsi="Arial" w:cs="Arial"/>
          <w:b/>
          <w:bCs/>
        </w:rPr>
        <w:t>seq</w:t>
      </w:r>
      <w:proofErr w:type="spellEnd"/>
      <w:r w:rsidRPr="000737D2">
        <w:rPr>
          <w:rFonts w:ascii="Arial" w:hAnsi="Arial" w:cs="Arial"/>
          <w:b/>
          <w:bCs/>
        </w:rPr>
        <w:t xml:space="preserve"> analysis of five tissue layers in the AGC</w:t>
      </w:r>
    </w:p>
    <w:p w:rsidR="0021421C" w:rsidRPr="0002291C" w:rsidRDefault="0021421C" w:rsidP="0021421C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UMAP plot showing the unsupervised clustering of all cells from the five tissue layers.</w:t>
      </w:r>
    </w:p>
    <w:p w:rsidR="0021421C" w:rsidRPr="0002291C" w:rsidRDefault="0021421C" w:rsidP="0021421C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Dot plot displaying the expression patterns of marker genes across different cell types.</w:t>
      </w:r>
    </w:p>
    <w:p w:rsidR="0021421C" w:rsidRPr="0002291C" w:rsidRDefault="0021421C" w:rsidP="0021421C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Heat map illustrating the expression profiles of the top 50 highly expressed genes in all cell types. The BPs enriched by DAVID GO analysis (adjusted </w:t>
      </w:r>
      <w:r>
        <w:rPr>
          <w:rFonts w:ascii="Arial" w:hAnsi="Arial" w:cs="Arial"/>
          <w:i/>
          <w:iCs/>
        </w:rPr>
        <w:t>P</w:t>
      </w:r>
      <w:r w:rsidRPr="0002291C">
        <w:rPr>
          <w:rFonts w:ascii="Arial" w:hAnsi="Arial" w:cs="Arial"/>
        </w:rPr>
        <w:t xml:space="preserve"> &lt; 0.05) are listed on the right side of the heat map.</w:t>
      </w:r>
    </w:p>
    <w:p w:rsidR="0021421C" w:rsidRDefault="0021421C" w:rsidP="0021421C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Bar plot showing the inferred proportions of each cell type in the five tissue layers based on deconvolution analysis of bulk RNA-</w:t>
      </w:r>
      <w:proofErr w:type="spellStart"/>
      <w:r w:rsidRPr="0002291C">
        <w:rPr>
          <w:rFonts w:ascii="Arial" w:hAnsi="Arial" w:cs="Arial"/>
        </w:rPr>
        <w:t>seq</w:t>
      </w:r>
      <w:proofErr w:type="spellEnd"/>
      <w:r w:rsidRPr="0002291C">
        <w:rPr>
          <w:rFonts w:ascii="Arial" w:hAnsi="Arial" w:cs="Arial"/>
        </w:rPr>
        <w:t xml:space="preserve"> data (Ba et al., 2019).</w:t>
      </w:r>
    </w:p>
    <w:p w:rsidR="0021421C" w:rsidRPr="00C04D47" w:rsidRDefault="0021421C" w:rsidP="0021421C">
      <w:pPr>
        <w:pStyle w:val="a3"/>
        <w:spacing w:line="276" w:lineRule="auto"/>
        <w:ind w:left="420"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Antler stem cells (</w:t>
      </w:r>
      <w:proofErr w:type="spellStart"/>
      <w:r>
        <w:rPr>
          <w:rFonts w:ascii="Arial" w:hAnsi="Arial" w:cs="Arial"/>
        </w:rPr>
        <w:t>AnSCs</w:t>
      </w:r>
      <w:proofErr w:type="spellEnd"/>
      <w:r>
        <w:rPr>
          <w:rFonts w:ascii="Arial" w:hAnsi="Arial" w:cs="Arial"/>
        </w:rPr>
        <w:t xml:space="preserve">); antler progenitor </w:t>
      </w:r>
      <w:r w:rsidRPr="00D20491">
        <w:rPr>
          <w:rFonts w:ascii="Arial" w:hAnsi="Arial" w:cs="Arial"/>
        </w:rPr>
        <w:t xml:space="preserve">cells </w:t>
      </w:r>
      <w:r w:rsidRPr="00DE7300">
        <w:rPr>
          <w:rFonts w:ascii="Arial" w:hAnsi="Arial" w:cs="Arial"/>
        </w:rPr>
        <w:t>(</w:t>
      </w:r>
      <w:proofErr w:type="spellStart"/>
      <w:r w:rsidRPr="00DE7300">
        <w:rPr>
          <w:rFonts w:ascii="Arial" w:hAnsi="Arial" w:cs="Arial"/>
        </w:rPr>
        <w:t>AnPCs</w:t>
      </w:r>
      <w:proofErr w:type="spellEnd"/>
      <w:r w:rsidRPr="00DE7300">
        <w:rPr>
          <w:rFonts w:ascii="Arial" w:hAnsi="Arial" w:cs="Arial"/>
        </w:rPr>
        <w:t>)</w:t>
      </w:r>
      <w:r w:rsidRPr="00D2049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>
        <w:rPr>
          <w:rFonts w:ascii="Arial" w:eastAsia="宋体" w:hAnsi="Arial" w:cs="Arial"/>
          <w:kern w:val="0"/>
        </w:rPr>
        <w:t>r</w:t>
      </w:r>
      <w:r w:rsidRPr="0002291C">
        <w:rPr>
          <w:rFonts w:ascii="Arial" w:eastAsia="宋体" w:hAnsi="Arial" w:cs="Arial"/>
          <w:kern w:val="0"/>
        </w:rPr>
        <w:t>eserve mesenchyme (RM), pre-cartilage (PC), transition zone (TZ), cartilage (CA), and mineralized cartilage (MC).</w:t>
      </w: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1881E4" wp14:editId="39DABFF6">
            <wp:extent cx="4962525" cy="6486652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906" cy="64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Pr="00A12A12" w:rsidRDefault="0021421C" w:rsidP="0021421C">
      <w:pPr>
        <w:spacing w:line="276" w:lineRule="auto"/>
        <w:rPr>
          <w:rFonts w:ascii="Arial" w:hAnsi="Arial" w:cs="Arial"/>
          <w:b/>
          <w:bCs/>
        </w:rPr>
      </w:pPr>
      <w:r w:rsidRPr="00A12A12">
        <w:rPr>
          <w:rFonts w:ascii="Arial" w:hAnsi="Arial" w:cs="Arial"/>
          <w:b/>
          <w:bCs/>
        </w:rPr>
        <w:t xml:space="preserve">Figure S3 Quality control of </w:t>
      </w:r>
      <w:proofErr w:type="spellStart"/>
      <w:r w:rsidRPr="00A12A12">
        <w:rPr>
          <w:rFonts w:ascii="Arial" w:hAnsi="Arial" w:cs="Arial"/>
          <w:b/>
          <w:bCs/>
        </w:rPr>
        <w:t>snATAC-seq</w:t>
      </w:r>
      <w:proofErr w:type="spellEnd"/>
      <w:r w:rsidRPr="00A12A12">
        <w:rPr>
          <w:rFonts w:ascii="Arial" w:hAnsi="Arial" w:cs="Arial"/>
          <w:b/>
          <w:bCs/>
        </w:rPr>
        <w:t xml:space="preserve"> data based on unique fragments and TSS enrichment.</w:t>
      </w:r>
    </w:p>
    <w:p w:rsidR="0021421C" w:rsidRPr="0002291C" w:rsidRDefault="0021421C" w:rsidP="0021421C">
      <w:pPr>
        <w:pStyle w:val="a3"/>
        <w:numPr>
          <w:ilvl w:val="0"/>
          <w:numId w:val="3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Density scatter plot showing the transcription start site (TSS) enrichment scores and the log-transformed number of unique fragments per nucleus. Each dot represents a single nucleus, and color intensity reflects cell density. Dashed lines indicate commonly used quality control thresholds (e.g., log</w:t>
      </w:r>
      <w:r w:rsidRPr="0002291C">
        <w:rPr>
          <w:rFonts w:ascii="Cambria Math" w:hAnsi="Cambria Math" w:cs="Cambria Math"/>
        </w:rPr>
        <w:t>₁₀</w:t>
      </w:r>
      <w:r w:rsidRPr="0002291C">
        <w:rPr>
          <w:rFonts w:ascii="Arial" w:hAnsi="Arial" w:cs="Arial"/>
        </w:rPr>
        <w:t xml:space="preserve"> [Unique Fragments] &gt; 3 and TSS Enrichment &gt; 1) for filtering low-quality nuclei. High-quality nuclei cluster in the upper-right quadrant and were retained for downstream analysis.</w:t>
      </w:r>
    </w:p>
    <w:p w:rsidR="0021421C" w:rsidRPr="0002291C" w:rsidRDefault="0021421C" w:rsidP="0021421C">
      <w:pPr>
        <w:pStyle w:val="a3"/>
        <w:numPr>
          <w:ilvl w:val="0"/>
          <w:numId w:val="3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Bar plot showing the number of cells retained for each cell type (left) and tissue layer (right) after filtering.</w:t>
      </w: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D0CF1D" wp14:editId="5BAD53AC">
            <wp:extent cx="5248275" cy="7026262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92" t="606" r="7717"/>
                    <a:stretch/>
                  </pic:blipFill>
                  <pic:spPr bwMode="auto">
                    <a:xfrm>
                      <a:off x="0" y="0"/>
                      <a:ext cx="5253735" cy="70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Default="0021421C" w:rsidP="0021421C">
      <w:pPr>
        <w:spacing w:line="276" w:lineRule="auto"/>
        <w:rPr>
          <w:rFonts w:ascii="Arial" w:hAnsi="Arial" w:cs="Arial"/>
          <w:b/>
          <w:bCs/>
        </w:rPr>
      </w:pPr>
      <w:r w:rsidRPr="00A12A12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4</w:t>
      </w:r>
      <w:r w:rsidRPr="00A12A12">
        <w:rPr>
          <w:rFonts w:ascii="Arial" w:hAnsi="Arial" w:cs="Arial"/>
          <w:b/>
          <w:bCs/>
        </w:rPr>
        <w:t xml:space="preserve"> Quality control of </w:t>
      </w:r>
      <w:r w:rsidRPr="000737D2">
        <w:rPr>
          <w:rFonts w:ascii="Arial" w:hAnsi="Arial" w:cs="Arial"/>
          <w:b/>
          <w:bCs/>
        </w:rPr>
        <w:t>Stereo-</w:t>
      </w:r>
      <w:proofErr w:type="spellStart"/>
      <w:r w:rsidRPr="000737D2">
        <w:rPr>
          <w:rFonts w:ascii="Arial" w:hAnsi="Arial" w:cs="Arial"/>
          <w:b/>
          <w:bCs/>
        </w:rPr>
        <w:t>seq</w:t>
      </w:r>
      <w:proofErr w:type="spellEnd"/>
      <w:r w:rsidRPr="00A12A12">
        <w:rPr>
          <w:rFonts w:ascii="Arial" w:hAnsi="Arial" w:cs="Arial"/>
          <w:b/>
          <w:bCs/>
        </w:rPr>
        <w:t xml:space="preserve"> data</w:t>
      </w:r>
    </w:p>
    <w:p w:rsidR="0021421C" w:rsidRPr="0002291C" w:rsidRDefault="0021421C" w:rsidP="0021421C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 showing the UMI counts for each cell type after stringent quality control filtering.</w:t>
      </w:r>
    </w:p>
    <w:p w:rsidR="0021421C" w:rsidRPr="0002291C" w:rsidRDefault="0021421C" w:rsidP="0021421C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 showing the number of detected genes per cell for each cell type after filtering.</w:t>
      </w:r>
    </w:p>
    <w:p w:rsidR="0021421C" w:rsidRPr="0002291C" w:rsidRDefault="0021421C" w:rsidP="0021421C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Bar plot showing the number of cells retained for each cell type after filtering.</w:t>
      </w: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B06335" wp14:editId="12FF1019">
            <wp:extent cx="5238750" cy="7367921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56" cy="73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Pr="000737D2" w:rsidRDefault="0021421C" w:rsidP="0021421C">
      <w:pPr>
        <w:spacing w:line="276" w:lineRule="auto"/>
        <w:rPr>
          <w:rFonts w:ascii="Arial" w:hAnsi="Arial" w:cs="Arial"/>
          <w:b/>
          <w:bCs/>
        </w:rPr>
      </w:pPr>
      <w:r w:rsidRPr="000737D2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5</w:t>
      </w:r>
      <w:r w:rsidRPr="000737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bCs/>
        </w:rPr>
        <w:t>Stereo-</w:t>
      </w:r>
      <w:proofErr w:type="spellStart"/>
      <w:r w:rsidRPr="000737D2">
        <w:rPr>
          <w:rFonts w:ascii="Arial" w:hAnsi="Arial" w:cs="Arial"/>
          <w:b/>
          <w:bCs/>
        </w:rPr>
        <w:t>seq</w:t>
      </w:r>
      <w:proofErr w:type="spellEnd"/>
      <w:r w:rsidRPr="000737D2">
        <w:rPr>
          <w:rFonts w:ascii="Arial" w:hAnsi="Arial" w:cs="Arial"/>
          <w:b/>
          <w:bCs/>
        </w:rPr>
        <w:t xml:space="preserve"> analysis of the </w:t>
      </w:r>
      <w:r>
        <w:rPr>
          <w:rFonts w:ascii="Arial" w:eastAsia="宋体" w:hAnsi="Arial" w:cs="Arial"/>
          <w:b/>
          <w:bCs/>
          <w:kern w:val="0"/>
        </w:rPr>
        <w:t>AGC</w:t>
      </w:r>
    </w:p>
    <w:p w:rsidR="0021421C" w:rsidRPr="0002291C" w:rsidRDefault="0021421C" w:rsidP="0021421C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UMAP plot showing the unsupervised clustering of all cells of the AGC</w:t>
      </w:r>
      <w:r>
        <w:rPr>
          <w:rFonts w:ascii="Arial" w:hAnsi="Arial" w:cs="Arial"/>
        </w:rPr>
        <w:t>.</w:t>
      </w:r>
    </w:p>
    <w:p w:rsidR="0021421C" w:rsidRPr="0002291C" w:rsidRDefault="0021421C" w:rsidP="0021421C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UMAP plot showing all cell types of the AGC</w:t>
      </w:r>
      <w:r>
        <w:rPr>
          <w:rFonts w:ascii="Arial" w:hAnsi="Arial" w:cs="Arial"/>
        </w:rPr>
        <w:t>.</w:t>
      </w:r>
    </w:p>
    <w:p w:rsidR="0021421C" w:rsidRPr="0002291C" w:rsidRDefault="0021421C" w:rsidP="0021421C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Dot plot displaying the expression patterns of marker genes across different cell types.</w:t>
      </w:r>
    </w:p>
    <w:p w:rsidR="0021421C" w:rsidRPr="0002291C" w:rsidRDefault="0021421C" w:rsidP="0021421C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Spatial map visualizing the distribution of 11 distinct cell populations/types</w:t>
      </w:r>
      <w:r>
        <w:rPr>
          <w:rFonts w:ascii="Arial" w:hAnsi="Arial" w:cs="Arial"/>
        </w:rPr>
        <w:t>.</w:t>
      </w: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7D8A2F" wp14:editId="1C832718">
            <wp:extent cx="5274310" cy="59372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Pr="0002291C" w:rsidRDefault="0021421C" w:rsidP="0021421C">
      <w:pPr>
        <w:spacing w:line="276" w:lineRule="auto"/>
        <w:rPr>
          <w:rFonts w:ascii="Arial" w:hAnsi="Arial" w:cs="Arial"/>
          <w:b/>
          <w:bCs/>
        </w:rPr>
      </w:pPr>
      <w:r w:rsidRPr="001D5C88">
        <w:rPr>
          <w:rFonts w:ascii="Arial" w:hAnsi="Arial" w:cs="Arial"/>
          <w:b/>
          <w:bCs/>
        </w:rPr>
        <w:t>Figure S6</w:t>
      </w:r>
      <w:r w:rsidRPr="0002291C">
        <w:rPr>
          <w:rFonts w:ascii="Arial" w:hAnsi="Arial" w:cs="Arial"/>
          <w:b/>
          <w:bCs/>
        </w:rPr>
        <w:t xml:space="preserve"> </w:t>
      </w:r>
      <w:r w:rsidRPr="00FD5B5F">
        <w:rPr>
          <w:rFonts w:ascii="Arial" w:hAnsi="Arial" w:cs="Arial"/>
          <w:b/>
          <w:bCs/>
        </w:rPr>
        <w:t xml:space="preserve">Characterization </w:t>
      </w:r>
      <w:r w:rsidRPr="0002291C">
        <w:rPr>
          <w:rFonts w:ascii="Arial" w:hAnsi="Arial" w:cs="Arial"/>
          <w:b/>
          <w:bCs/>
        </w:rPr>
        <w:t xml:space="preserve">of </w:t>
      </w:r>
      <w:proofErr w:type="spellStart"/>
      <w:r w:rsidRPr="0002291C">
        <w:rPr>
          <w:rFonts w:ascii="Arial" w:hAnsi="Arial" w:cs="Arial"/>
          <w:b/>
          <w:bCs/>
        </w:rPr>
        <w:t>AnPCs</w:t>
      </w:r>
      <w:proofErr w:type="spellEnd"/>
      <w:r w:rsidRPr="0002291C">
        <w:rPr>
          <w:rFonts w:ascii="Arial" w:hAnsi="Arial" w:cs="Arial"/>
          <w:b/>
          <w:bCs/>
        </w:rPr>
        <w:t xml:space="preserve"> </w:t>
      </w:r>
    </w:p>
    <w:p w:rsidR="0021421C" w:rsidRPr="0002291C" w:rsidRDefault="0021421C" w:rsidP="0021421C">
      <w:pPr>
        <w:pStyle w:val="a3"/>
        <w:numPr>
          <w:ilvl w:val="0"/>
          <w:numId w:val="6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Bar plot showing the top 20 enriched GO BP terms associated with TFs enriched in non-proliferative </w:t>
      </w:r>
      <w:proofErr w:type="spellStart"/>
      <w:r w:rsidRPr="0002291C">
        <w:rPr>
          <w:rFonts w:ascii="Arial" w:hAnsi="Arial" w:cs="Arial"/>
        </w:rPr>
        <w:t>AnPCs</w:t>
      </w:r>
      <w:proofErr w:type="spellEnd"/>
      <w:r w:rsidRPr="0002291C">
        <w:rPr>
          <w:rFonts w:ascii="Arial" w:hAnsi="Arial" w:cs="Arial"/>
        </w:rPr>
        <w:t xml:space="preserve"> and their predicted target genes based on DAVID analysis.</w:t>
      </w:r>
    </w:p>
    <w:p w:rsidR="0021421C" w:rsidRDefault="0021421C" w:rsidP="0021421C">
      <w:pPr>
        <w:pStyle w:val="a3"/>
        <w:numPr>
          <w:ilvl w:val="0"/>
          <w:numId w:val="6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Violin plots of CytoTRACE2 scores for proliferative </w:t>
      </w:r>
      <w:proofErr w:type="spellStart"/>
      <w:r w:rsidRPr="0002291C">
        <w:rPr>
          <w:rFonts w:ascii="Arial" w:hAnsi="Arial" w:cs="Arial"/>
        </w:rPr>
        <w:t>AnPCs</w:t>
      </w:r>
      <w:proofErr w:type="spellEnd"/>
      <w:r w:rsidRPr="0002291C">
        <w:rPr>
          <w:rFonts w:ascii="Arial" w:hAnsi="Arial" w:cs="Arial"/>
        </w:rPr>
        <w:t xml:space="preserve"> and non-proliferative </w:t>
      </w:r>
      <w:proofErr w:type="spellStart"/>
      <w:r w:rsidRPr="0002291C">
        <w:rPr>
          <w:rFonts w:ascii="Arial" w:hAnsi="Arial" w:cs="Arial"/>
        </w:rPr>
        <w:t>AnPCs</w:t>
      </w:r>
      <w:proofErr w:type="spellEnd"/>
      <w:r>
        <w:rPr>
          <w:rFonts w:ascii="Arial" w:hAnsi="Arial" w:cs="Arial"/>
        </w:rPr>
        <w:t>.</w:t>
      </w:r>
      <w:r w:rsidRPr="00775A1F">
        <w:rPr>
          <w:rFonts w:ascii="Arial" w:hAnsi="Arial" w:cs="Arial"/>
        </w:rPr>
        <w:t xml:space="preserve"> </w:t>
      </w:r>
      <w:r w:rsidRPr="00171200">
        <w:rPr>
          <w:rFonts w:ascii="Arial" w:hAnsi="Arial" w:cs="Arial"/>
        </w:rPr>
        <w:t>Wilcoxon Rank Sum test</w:t>
      </w:r>
      <w:r>
        <w:rPr>
          <w:rFonts w:ascii="Arial" w:hAnsi="Arial" w:cs="Arial"/>
        </w:rPr>
        <w:t xml:space="preserve"> </w:t>
      </w:r>
      <w:r w:rsidRPr="00C04D47">
        <w:rPr>
          <w:rFonts w:ascii="Arial" w:hAnsi="Arial" w:cs="Arial"/>
        </w:rPr>
        <w:t xml:space="preserve">was performed </w:t>
      </w:r>
      <w:r w:rsidRPr="005A0DC4">
        <w:rPr>
          <w:rFonts w:ascii="Arial" w:hAnsi="Arial" w:cs="Arial"/>
        </w:rPr>
        <w:t xml:space="preserve">between the </w:t>
      </w:r>
      <w:r w:rsidRPr="0002291C">
        <w:rPr>
          <w:rFonts w:ascii="Arial" w:hAnsi="Arial" w:cs="Arial"/>
        </w:rPr>
        <w:t xml:space="preserve">proliferative </w:t>
      </w:r>
      <w:r w:rsidRPr="005A0DC4">
        <w:rPr>
          <w:rFonts w:ascii="Arial" w:hAnsi="Arial" w:cs="Arial"/>
        </w:rPr>
        <w:t xml:space="preserve">and </w:t>
      </w:r>
      <w:r w:rsidRPr="0002291C">
        <w:rPr>
          <w:rFonts w:ascii="Arial" w:hAnsi="Arial" w:cs="Arial"/>
        </w:rPr>
        <w:t xml:space="preserve">non-proliferative </w:t>
      </w:r>
      <w:proofErr w:type="spellStart"/>
      <w:r w:rsidRPr="0002291C">
        <w:rPr>
          <w:rFonts w:ascii="Arial" w:hAnsi="Arial" w:cs="Arial"/>
        </w:rPr>
        <w:t>AnPCs</w:t>
      </w:r>
      <w:proofErr w:type="spellEnd"/>
      <w:r w:rsidRPr="00171200">
        <w:rPr>
          <w:rFonts w:ascii="Arial" w:hAnsi="Arial" w:cs="Arial"/>
        </w:rPr>
        <w:t>: *</w:t>
      </w:r>
      <w:r>
        <w:rPr>
          <w:rFonts w:ascii="Arial" w:hAnsi="Arial" w:cs="Arial"/>
        </w:rPr>
        <w:t>**P</w:t>
      </w:r>
      <w:r w:rsidRPr="00171200">
        <w:rPr>
          <w:rFonts w:ascii="Arial" w:hAnsi="Arial" w:cs="Arial"/>
        </w:rPr>
        <w:t xml:space="preserve"> &lt; 0.001</w:t>
      </w:r>
      <w:r>
        <w:rPr>
          <w:rFonts w:ascii="Arial" w:hAnsi="Arial" w:cs="Arial"/>
        </w:rPr>
        <w:t>.</w:t>
      </w: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06897E" wp14:editId="68B66853">
            <wp:extent cx="5274310" cy="59924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Pr="00FD5B5F" w:rsidRDefault="0021421C" w:rsidP="0021421C">
      <w:pPr>
        <w:spacing w:line="276" w:lineRule="auto"/>
        <w:rPr>
          <w:rFonts w:ascii="Arial" w:hAnsi="Arial" w:cs="Arial"/>
          <w:b/>
          <w:bCs/>
        </w:rPr>
      </w:pPr>
      <w:r w:rsidRPr="00FD5B5F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7</w:t>
      </w:r>
      <w:r w:rsidRPr="00FD5B5F">
        <w:rPr>
          <w:rFonts w:ascii="Arial" w:hAnsi="Arial" w:cs="Arial"/>
          <w:b/>
          <w:bCs/>
        </w:rPr>
        <w:t xml:space="preserve"> Characterization of PHEX</w:t>
      </w:r>
      <w:r w:rsidRPr="00FD5B5F">
        <w:rPr>
          <w:rFonts w:ascii="Cambria Math" w:hAnsi="Cambria Math" w:cs="Cambria Math"/>
          <w:b/>
          <w:bCs/>
        </w:rPr>
        <w:t>⁺</w:t>
      </w:r>
      <w:r w:rsidRPr="00FD5B5F">
        <w:rPr>
          <w:rFonts w:ascii="Arial" w:hAnsi="Arial" w:cs="Arial"/>
          <w:b/>
          <w:bCs/>
        </w:rPr>
        <w:t xml:space="preserve"> cells and hedgehog (HH) signaling in chondrocyte</w:t>
      </w:r>
      <w:r>
        <w:rPr>
          <w:rFonts w:ascii="Arial" w:hAnsi="Arial" w:cs="Arial"/>
          <w:b/>
          <w:bCs/>
        </w:rPr>
        <w:t>s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proofErr w:type="spellStart"/>
      <w:r w:rsidRPr="0002291C">
        <w:rPr>
          <w:rFonts w:ascii="Arial" w:hAnsi="Arial" w:cs="Arial"/>
        </w:rPr>
        <w:t>Heatmap</w:t>
      </w:r>
      <w:proofErr w:type="spellEnd"/>
      <w:r w:rsidRPr="0002291C">
        <w:rPr>
          <w:rFonts w:ascii="Arial" w:hAnsi="Arial" w:cs="Arial"/>
        </w:rPr>
        <w:t xml:space="preserve"> illustrating the expression profiles of the top 20 most highly expressed genes in chondrocytes, hypertrophic chondrocytes, and PHEX</w:t>
      </w:r>
      <w:r w:rsidRPr="0002291C">
        <w:rPr>
          <w:rFonts w:ascii="Cambria Math" w:hAnsi="Cambria Math" w:cs="Cambria Math"/>
        </w:rPr>
        <w:t>⁺</w:t>
      </w:r>
      <w:r w:rsidRPr="0002291C">
        <w:rPr>
          <w:rFonts w:ascii="Arial" w:hAnsi="Arial" w:cs="Arial"/>
        </w:rPr>
        <w:t xml:space="preserve"> cells.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Dot plots showing predicted ligand</w:t>
      </w:r>
      <w:r w:rsidRPr="0002291C">
        <w:rPr>
          <w:rFonts w:ascii="Arial" w:hAnsi="Arial" w:cs="Arial" w:hint="eastAsia"/>
        </w:rPr>
        <w:t>-</w:t>
      </w:r>
      <w:r w:rsidRPr="0002291C">
        <w:rPr>
          <w:rFonts w:ascii="Arial" w:hAnsi="Arial" w:cs="Arial"/>
        </w:rPr>
        <w:t>receptor interactions (calculated as communication probability) with chondrocytes, hypertrophic chondrocytes, and PHEX</w:t>
      </w:r>
      <w:r w:rsidRPr="0002291C">
        <w:rPr>
          <w:rFonts w:ascii="Cambria Math" w:hAnsi="Cambria Math" w:cs="Cambria Math"/>
        </w:rPr>
        <w:t>⁺</w:t>
      </w:r>
      <w:r w:rsidRPr="0002291C">
        <w:rPr>
          <w:rFonts w:ascii="Arial" w:hAnsi="Arial" w:cs="Arial"/>
        </w:rPr>
        <w:t xml:space="preserve"> cells as sender cells and PHEX</w:t>
      </w:r>
      <w:r w:rsidRPr="0002291C">
        <w:rPr>
          <w:rFonts w:ascii="Cambria Math" w:hAnsi="Cambria Math" w:cs="Cambria Math"/>
        </w:rPr>
        <w:t>⁺</w:t>
      </w:r>
      <w:r w:rsidRPr="0002291C">
        <w:rPr>
          <w:rFonts w:ascii="Arial" w:hAnsi="Arial" w:cs="Arial"/>
        </w:rPr>
        <w:t xml:space="preserve"> cells as receivers.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plots depicting the expression levels of key genes involved in HH signaling pathways across chondrocytes, hypertrophic chondrocytes, and PHEX</w:t>
      </w:r>
      <w:r w:rsidRPr="005A0DC4">
        <w:rPr>
          <w:rFonts w:ascii="Cambria Math" w:hAnsi="Cambria Math" w:cs="Cambria Math"/>
        </w:rPr>
        <w:t>⁺</w:t>
      </w:r>
      <w:r w:rsidRPr="0002291C">
        <w:rPr>
          <w:rFonts w:ascii="Arial" w:hAnsi="Arial" w:cs="Arial"/>
        </w:rPr>
        <w:t xml:space="preserve"> cells.</w:t>
      </w:r>
      <w:r>
        <w:rPr>
          <w:rFonts w:ascii="Arial" w:hAnsi="Arial" w:cs="Arial"/>
        </w:rPr>
        <w:t xml:space="preserve"> </w:t>
      </w:r>
      <w:r w:rsidRPr="00171200">
        <w:rPr>
          <w:rFonts w:ascii="Arial" w:hAnsi="Arial" w:cs="Arial"/>
        </w:rPr>
        <w:t>Wilcoxon Rank Sum test</w:t>
      </w:r>
      <w:r>
        <w:rPr>
          <w:rFonts w:ascii="Arial" w:hAnsi="Arial" w:cs="Arial"/>
        </w:rPr>
        <w:t xml:space="preserve"> </w:t>
      </w:r>
      <w:r w:rsidRPr="00C04D47">
        <w:rPr>
          <w:rFonts w:ascii="Arial" w:hAnsi="Arial" w:cs="Arial"/>
        </w:rPr>
        <w:t xml:space="preserve">was performed </w:t>
      </w:r>
      <w:r w:rsidRPr="005A0DC4">
        <w:rPr>
          <w:rFonts w:ascii="Arial" w:hAnsi="Arial" w:cs="Arial"/>
        </w:rPr>
        <w:t>between the specified cell type/cluster and other cells</w:t>
      </w:r>
      <w:r w:rsidRPr="00171200">
        <w:rPr>
          <w:rFonts w:ascii="Arial" w:hAnsi="Arial" w:cs="Arial"/>
        </w:rPr>
        <w:t>: *</w:t>
      </w:r>
      <w:r>
        <w:rPr>
          <w:rFonts w:ascii="Arial" w:hAnsi="Arial" w:cs="Arial"/>
        </w:rPr>
        <w:t>P</w:t>
      </w:r>
      <w:r w:rsidRPr="00171200">
        <w:rPr>
          <w:rFonts w:ascii="Arial" w:hAnsi="Arial" w:cs="Arial"/>
        </w:rPr>
        <w:t xml:space="preserve"> &lt; 0.0</w:t>
      </w:r>
      <w:r>
        <w:rPr>
          <w:rFonts w:ascii="Arial" w:hAnsi="Arial" w:cs="Arial"/>
        </w:rPr>
        <w:t xml:space="preserve">5. 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UMAP plot showing the unsupervised clustering of all chondrocytes.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lastRenderedPageBreak/>
        <w:t>UMAP plot displaying the expression levels of PHEX.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plots showing PHEX expression levels across four chondrocyte clusters.</w:t>
      </w:r>
      <w:r w:rsidRPr="002147D1">
        <w:rPr>
          <w:rFonts w:ascii="Arial" w:hAnsi="Arial" w:cs="Arial"/>
        </w:rPr>
        <w:t xml:space="preserve"> </w:t>
      </w:r>
      <w:r w:rsidRPr="00171200">
        <w:rPr>
          <w:rFonts w:ascii="Arial" w:hAnsi="Arial" w:cs="Arial"/>
        </w:rPr>
        <w:t>*</w:t>
      </w:r>
      <w:r>
        <w:rPr>
          <w:rFonts w:ascii="Arial" w:hAnsi="Arial" w:cs="Arial"/>
        </w:rPr>
        <w:t>P</w:t>
      </w:r>
      <w:r w:rsidRPr="00171200">
        <w:rPr>
          <w:rFonts w:ascii="Arial" w:hAnsi="Arial" w:cs="Arial"/>
        </w:rPr>
        <w:t xml:space="preserve"> &lt; 0.0</w:t>
      </w:r>
      <w:r>
        <w:rPr>
          <w:rFonts w:ascii="Arial" w:hAnsi="Arial" w:cs="Arial"/>
        </w:rPr>
        <w:t>5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UMAP plot showing chondrocytes derived from all five tissue layers.</w:t>
      </w:r>
    </w:p>
    <w:p w:rsidR="0021421C" w:rsidRPr="000229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plots showing the expression levels of several key osteogenesis-related genes across four chondrocyte clusters.</w:t>
      </w:r>
      <w:r>
        <w:rPr>
          <w:rFonts w:ascii="Arial" w:hAnsi="Arial" w:cs="Arial"/>
        </w:rPr>
        <w:t xml:space="preserve"> </w:t>
      </w:r>
      <w:r w:rsidRPr="00171200">
        <w:rPr>
          <w:rFonts w:ascii="Arial" w:hAnsi="Arial" w:cs="Arial"/>
        </w:rPr>
        <w:t>*</w:t>
      </w:r>
      <w:r>
        <w:rPr>
          <w:rFonts w:ascii="Arial" w:hAnsi="Arial" w:cs="Arial"/>
        </w:rPr>
        <w:t>P</w:t>
      </w:r>
      <w:r w:rsidRPr="00171200">
        <w:rPr>
          <w:rFonts w:ascii="Arial" w:hAnsi="Arial" w:cs="Arial"/>
        </w:rPr>
        <w:t xml:space="preserve"> &lt; 0.0</w:t>
      </w:r>
      <w:r>
        <w:rPr>
          <w:rFonts w:ascii="Arial" w:hAnsi="Arial" w:cs="Arial"/>
        </w:rPr>
        <w:t>5</w:t>
      </w:r>
    </w:p>
    <w:p w:rsidR="0021421C" w:rsidRDefault="0021421C" w:rsidP="0021421C">
      <w:pPr>
        <w:pStyle w:val="a3"/>
        <w:numPr>
          <w:ilvl w:val="0"/>
          <w:numId w:val="7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Violin plots illustrating the expression levels of key genes in HH signaling pathway across four chondrocyte clusters.</w:t>
      </w:r>
      <w:r>
        <w:rPr>
          <w:rFonts w:ascii="Arial" w:hAnsi="Arial" w:cs="Arial"/>
        </w:rPr>
        <w:t xml:space="preserve"> </w:t>
      </w:r>
      <w:r w:rsidRPr="00171200">
        <w:rPr>
          <w:rFonts w:ascii="Arial" w:hAnsi="Arial" w:cs="Arial"/>
        </w:rPr>
        <w:t>*</w:t>
      </w:r>
      <w:r>
        <w:rPr>
          <w:rFonts w:ascii="Arial" w:hAnsi="Arial" w:cs="Arial"/>
        </w:rPr>
        <w:t>P</w:t>
      </w:r>
      <w:r w:rsidRPr="00171200">
        <w:rPr>
          <w:rFonts w:ascii="Arial" w:hAnsi="Arial" w:cs="Arial"/>
        </w:rPr>
        <w:t xml:space="preserve"> &lt; 0.0</w:t>
      </w:r>
      <w:r>
        <w:rPr>
          <w:rFonts w:ascii="Arial" w:hAnsi="Arial" w:cs="Arial"/>
        </w:rPr>
        <w:t>5</w:t>
      </w:r>
    </w:p>
    <w:p w:rsidR="0021421C" w:rsidRDefault="0021421C">
      <w:pPr>
        <w:rPr>
          <w:noProof/>
        </w:rPr>
      </w:pPr>
      <w:r>
        <w:rPr>
          <w:noProof/>
        </w:rPr>
        <w:drawing>
          <wp:inline distT="0" distB="0" distL="0" distR="0" wp14:anchorId="7ECE4E84" wp14:editId="20F4E59A">
            <wp:extent cx="5274310" cy="4076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Default="0021421C" w:rsidP="0021421C">
      <w:pPr>
        <w:spacing w:line="276" w:lineRule="auto"/>
        <w:rPr>
          <w:rFonts w:ascii="Arial" w:hAnsi="Arial" w:cs="Arial"/>
        </w:rPr>
      </w:pPr>
      <w:r w:rsidRPr="0074701B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8</w:t>
      </w:r>
      <w:r w:rsidRPr="0074701B">
        <w:rPr>
          <w:rFonts w:ascii="Arial" w:hAnsi="Arial" w:cs="Arial"/>
          <w:b/>
        </w:rPr>
        <w:t xml:space="preserve">. Analysis of </w:t>
      </w:r>
      <w:proofErr w:type="spellStart"/>
      <w:r>
        <w:rPr>
          <w:rFonts w:ascii="Arial" w:hAnsi="Arial" w:cs="Arial"/>
          <w:b/>
        </w:rPr>
        <w:t>p</w:t>
      </w:r>
      <w:r w:rsidRPr="0074701B">
        <w:rPr>
          <w:rFonts w:ascii="Arial" w:hAnsi="Arial" w:cs="Arial"/>
          <w:b/>
        </w:rPr>
        <w:t>seudotime</w:t>
      </w:r>
      <w:proofErr w:type="spellEnd"/>
      <w:r w:rsidRPr="0074701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</w:t>
      </w:r>
      <w:r w:rsidRPr="0074701B">
        <w:rPr>
          <w:rFonts w:ascii="Arial" w:hAnsi="Arial" w:cs="Arial"/>
          <w:b/>
        </w:rPr>
        <w:t>rajectories</w:t>
      </w:r>
      <w:r>
        <w:rPr>
          <w:rFonts w:ascii="Arial" w:hAnsi="Arial" w:cs="Arial"/>
          <w:b/>
        </w:rPr>
        <w:t xml:space="preserve"> based on </w:t>
      </w:r>
      <w:r w:rsidRPr="0070331D">
        <w:rPr>
          <w:rFonts w:ascii="Arial" w:hAnsi="Arial" w:cs="Arial"/>
          <w:b/>
        </w:rPr>
        <w:t>Stereo-</w:t>
      </w:r>
      <w:proofErr w:type="spellStart"/>
      <w:r w:rsidRPr="0070331D">
        <w:rPr>
          <w:rFonts w:ascii="Arial" w:hAnsi="Arial" w:cs="Arial"/>
          <w:b/>
        </w:rPr>
        <w:t>seq</w:t>
      </w:r>
      <w:proofErr w:type="spellEnd"/>
      <w:r w:rsidRPr="0070331D">
        <w:rPr>
          <w:rFonts w:ascii="Arial" w:hAnsi="Arial" w:cs="Arial"/>
          <w:b/>
        </w:rPr>
        <w:t xml:space="preserve"> data and snRNA-</w:t>
      </w:r>
      <w:proofErr w:type="spellStart"/>
      <w:r w:rsidRPr="0070331D">
        <w:rPr>
          <w:rFonts w:ascii="Arial" w:hAnsi="Arial" w:cs="Arial"/>
          <w:b/>
        </w:rPr>
        <w:t>seq</w:t>
      </w:r>
      <w:proofErr w:type="spellEnd"/>
      <w:r w:rsidRPr="0070331D">
        <w:rPr>
          <w:rFonts w:ascii="Arial" w:hAnsi="Arial" w:cs="Arial"/>
          <w:b/>
        </w:rPr>
        <w:t xml:space="preserve"> data</w:t>
      </w:r>
    </w:p>
    <w:p w:rsidR="0021421C" w:rsidRPr="0002291C" w:rsidRDefault="0021421C" w:rsidP="0021421C">
      <w:pPr>
        <w:pStyle w:val="a3"/>
        <w:numPr>
          <w:ilvl w:val="0"/>
          <w:numId w:val="8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Monocle3-inferred </w:t>
      </w:r>
      <w:proofErr w:type="spellStart"/>
      <w:r w:rsidRPr="0002291C">
        <w:rPr>
          <w:rFonts w:ascii="Arial" w:hAnsi="Arial" w:cs="Arial"/>
        </w:rPr>
        <w:t>pseudotime</w:t>
      </w:r>
      <w:proofErr w:type="spellEnd"/>
      <w:r w:rsidRPr="0002291C">
        <w:rPr>
          <w:rFonts w:ascii="Arial" w:hAnsi="Arial" w:cs="Arial"/>
        </w:rPr>
        <w:t xml:space="preserve"> trajectory (Stereo-</w:t>
      </w:r>
      <w:proofErr w:type="spellStart"/>
      <w:r w:rsidRPr="0002291C">
        <w:rPr>
          <w:rFonts w:ascii="Arial" w:hAnsi="Arial" w:cs="Arial"/>
        </w:rPr>
        <w:t>seq</w:t>
      </w:r>
      <w:proofErr w:type="spellEnd"/>
      <w:r w:rsidRPr="0002291C">
        <w:rPr>
          <w:rFonts w:ascii="Arial" w:hAnsi="Arial" w:cs="Arial"/>
        </w:rPr>
        <w:t xml:space="preserve"> data), illustrating the developmental progression from chondrocytes and hypertrophic chondrocytes through PHEX</w:t>
      </w:r>
      <w:r w:rsidRPr="0002291C">
        <w:rPr>
          <w:rFonts w:ascii="Cambria Math" w:hAnsi="Cambria Math" w:cs="Cambria Math"/>
        </w:rPr>
        <w:t>⁺</w:t>
      </w:r>
      <w:r w:rsidRPr="0002291C">
        <w:rPr>
          <w:rFonts w:ascii="Arial" w:hAnsi="Arial" w:cs="Arial"/>
        </w:rPr>
        <w:t xml:space="preserve"> cells toward O</w:t>
      </w:r>
      <w:r>
        <w:rPr>
          <w:rFonts w:ascii="Arial" w:hAnsi="Arial" w:cs="Arial"/>
        </w:rPr>
        <w:t>B-D</w:t>
      </w:r>
      <w:r w:rsidRPr="0002291C">
        <w:rPr>
          <w:rFonts w:ascii="Arial" w:hAnsi="Arial" w:cs="Arial"/>
        </w:rPr>
        <w:t>.</w:t>
      </w:r>
    </w:p>
    <w:p w:rsidR="0021421C" w:rsidRPr="0002291C" w:rsidRDefault="0021421C" w:rsidP="0021421C">
      <w:pPr>
        <w:pStyle w:val="a3"/>
        <w:numPr>
          <w:ilvl w:val="0"/>
          <w:numId w:val="8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 w:hint="eastAsia"/>
        </w:rPr>
        <w:t>Differentiation flow</w:t>
      </w:r>
      <w:r w:rsidRPr="0002291C">
        <w:rPr>
          <w:rFonts w:ascii="Arial" w:hAnsi="Arial" w:cs="Arial"/>
        </w:rPr>
        <w:t xml:space="preserve"> embedded in the UMAP space of cell types (Stereo-</w:t>
      </w:r>
      <w:proofErr w:type="spellStart"/>
      <w:r w:rsidRPr="0002291C">
        <w:rPr>
          <w:rFonts w:ascii="Arial" w:hAnsi="Arial" w:cs="Arial"/>
        </w:rPr>
        <w:t>seq</w:t>
      </w:r>
      <w:proofErr w:type="spellEnd"/>
      <w:r w:rsidRPr="0002291C">
        <w:rPr>
          <w:rFonts w:ascii="Arial" w:hAnsi="Arial" w:cs="Arial"/>
        </w:rPr>
        <w:t xml:space="preserve"> data), illustrating the developmental progression from chondrocytes and hypertrophic chondrocytes through PHEX</w:t>
      </w:r>
      <w:r w:rsidRPr="0002291C">
        <w:rPr>
          <w:rFonts w:ascii="Cambria Math" w:hAnsi="Cambria Math" w:cs="Cambria Math"/>
        </w:rPr>
        <w:t>⁺</w:t>
      </w:r>
      <w:r w:rsidRPr="0002291C">
        <w:rPr>
          <w:rFonts w:ascii="Arial" w:hAnsi="Arial" w:cs="Arial"/>
        </w:rPr>
        <w:t xml:space="preserve"> cells toward O</w:t>
      </w:r>
      <w:r>
        <w:rPr>
          <w:rFonts w:ascii="Arial" w:hAnsi="Arial" w:cs="Arial"/>
        </w:rPr>
        <w:t>B-D</w:t>
      </w:r>
      <w:r w:rsidRPr="0002291C">
        <w:rPr>
          <w:rFonts w:ascii="Arial" w:hAnsi="Arial" w:cs="Arial"/>
        </w:rPr>
        <w:t>.</w:t>
      </w:r>
    </w:p>
    <w:p w:rsidR="0021421C" w:rsidRPr="00171200" w:rsidRDefault="0021421C" w:rsidP="0021421C">
      <w:pPr>
        <w:pStyle w:val="a3"/>
        <w:numPr>
          <w:ilvl w:val="0"/>
          <w:numId w:val="8"/>
        </w:numPr>
        <w:spacing w:line="276" w:lineRule="auto"/>
        <w:ind w:firstLineChars="0"/>
      </w:pPr>
      <w:r w:rsidRPr="0002291C">
        <w:rPr>
          <w:rFonts w:ascii="Arial" w:eastAsia="宋体" w:hAnsi="Arial" w:cs="Arial"/>
          <w:kern w:val="0"/>
        </w:rPr>
        <w:t xml:space="preserve">Pearson </w:t>
      </w:r>
      <w:r w:rsidRPr="0002291C">
        <w:rPr>
          <w:rFonts w:ascii="Arial" w:hAnsi="Arial" w:cs="Arial"/>
        </w:rPr>
        <w:t xml:space="preserve">correlation analysis between </w:t>
      </w:r>
      <w:proofErr w:type="spellStart"/>
      <w:r w:rsidRPr="0002291C">
        <w:rPr>
          <w:rFonts w:ascii="Arial" w:hAnsi="Arial" w:cs="Arial"/>
        </w:rPr>
        <w:t>pseudotime</w:t>
      </w:r>
      <w:proofErr w:type="spellEnd"/>
      <w:r w:rsidRPr="0002291C">
        <w:rPr>
          <w:rFonts w:ascii="Arial" w:hAnsi="Arial" w:cs="Arial"/>
        </w:rPr>
        <w:t xml:space="preserve"> values inferred by </w:t>
      </w:r>
      <w:proofErr w:type="spellStart"/>
      <w:r w:rsidRPr="0002291C">
        <w:rPr>
          <w:rFonts w:ascii="Arial" w:hAnsi="Arial" w:cs="Arial"/>
        </w:rPr>
        <w:t>StaVia</w:t>
      </w:r>
      <w:proofErr w:type="spellEnd"/>
      <w:r w:rsidRPr="0002291C">
        <w:rPr>
          <w:rFonts w:ascii="Arial" w:hAnsi="Arial" w:cs="Arial"/>
        </w:rPr>
        <w:t xml:space="preserve"> and Monocle3</w:t>
      </w:r>
      <w:r>
        <w:rPr>
          <w:rFonts w:ascii="Arial" w:hAnsi="Arial" w:cs="Arial"/>
        </w:rPr>
        <w:t xml:space="preserve"> (Stereo-</w:t>
      </w:r>
      <w:proofErr w:type="spellStart"/>
      <w:r>
        <w:rPr>
          <w:rFonts w:ascii="Arial" w:hAnsi="Arial" w:cs="Arial"/>
        </w:rPr>
        <w:t>seq</w:t>
      </w:r>
      <w:proofErr w:type="spellEnd"/>
      <w:r>
        <w:rPr>
          <w:rFonts w:ascii="Arial" w:hAnsi="Arial" w:cs="Arial"/>
        </w:rPr>
        <w:t xml:space="preserve"> data).</w:t>
      </w:r>
    </w:p>
    <w:p w:rsidR="0021421C" w:rsidRPr="004D10F3" w:rsidRDefault="0021421C" w:rsidP="0021421C">
      <w:pPr>
        <w:pStyle w:val="a3"/>
        <w:numPr>
          <w:ilvl w:val="0"/>
          <w:numId w:val="8"/>
        </w:numPr>
        <w:spacing w:line="276" w:lineRule="auto"/>
        <w:ind w:firstLineChars="0"/>
      </w:pPr>
      <w:r w:rsidRPr="0002291C">
        <w:rPr>
          <w:rFonts w:ascii="Arial" w:hAnsi="Arial" w:cs="Arial"/>
        </w:rPr>
        <w:t xml:space="preserve">Monocle3-inferred </w:t>
      </w:r>
      <w:proofErr w:type="spellStart"/>
      <w:r w:rsidRPr="0002291C">
        <w:rPr>
          <w:rFonts w:ascii="Arial" w:hAnsi="Arial" w:cs="Arial"/>
        </w:rPr>
        <w:t>pseudotime</w:t>
      </w:r>
      <w:proofErr w:type="spellEnd"/>
      <w:r w:rsidRPr="0002291C">
        <w:rPr>
          <w:rFonts w:ascii="Arial" w:hAnsi="Arial" w:cs="Arial"/>
        </w:rPr>
        <w:t xml:space="preserve"> trajectory of </w:t>
      </w:r>
      <w:proofErr w:type="spellStart"/>
      <w:r w:rsidRPr="0002291C">
        <w:rPr>
          <w:rFonts w:ascii="Arial" w:hAnsi="Arial" w:cs="Arial"/>
        </w:rPr>
        <w:t>AnSC</w:t>
      </w:r>
      <w:proofErr w:type="spellEnd"/>
      <w:r w:rsidRPr="0002291C">
        <w:rPr>
          <w:rFonts w:ascii="Arial" w:hAnsi="Arial" w:cs="Arial"/>
        </w:rPr>
        <w:t>-derived cells (</w:t>
      </w:r>
      <w:bookmarkStart w:id="1" w:name="OLE_LINK32"/>
      <w:bookmarkStart w:id="2" w:name="OLE_LINK33"/>
      <w:r w:rsidRPr="0002291C">
        <w:rPr>
          <w:rFonts w:ascii="Arial" w:hAnsi="Arial" w:cs="Arial"/>
        </w:rPr>
        <w:t>snRNA-</w:t>
      </w:r>
      <w:proofErr w:type="spellStart"/>
      <w:r w:rsidRPr="0002291C">
        <w:rPr>
          <w:rFonts w:ascii="Arial" w:hAnsi="Arial" w:cs="Arial"/>
        </w:rPr>
        <w:t>seq</w:t>
      </w:r>
      <w:proofErr w:type="spellEnd"/>
      <w:r w:rsidRPr="0002291C">
        <w:rPr>
          <w:rFonts w:ascii="Arial" w:hAnsi="Arial" w:cs="Arial"/>
        </w:rPr>
        <w:t xml:space="preserve"> data</w:t>
      </w:r>
      <w:bookmarkEnd w:id="1"/>
      <w:bookmarkEnd w:id="2"/>
      <w:r w:rsidRPr="0002291C">
        <w:rPr>
          <w:rFonts w:ascii="Arial" w:hAnsi="Arial" w:cs="Arial"/>
        </w:rPr>
        <w:t>).</w:t>
      </w:r>
    </w:p>
    <w:p w:rsidR="0021421C" w:rsidRDefault="0021421C" w:rsidP="0021421C">
      <w:pPr>
        <w:pStyle w:val="a3"/>
        <w:spacing w:line="276" w:lineRule="auto"/>
        <w:ind w:left="420" w:firstLineChars="0" w:firstLine="0"/>
      </w:pPr>
    </w:p>
    <w:p w:rsidR="0021421C" w:rsidRDefault="002142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DCB12E" wp14:editId="6B3C1F61">
            <wp:extent cx="5274310" cy="32124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21C">
        <w:rPr>
          <w:noProof/>
        </w:rPr>
        <w:t xml:space="preserve"> </w:t>
      </w:r>
    </w:p>
    <w:p w:rsidR="0021421C" w:rsidRDefault="0021421C" w:rsidP="0021421C">
      <w:pPr>
        <w:spacing w:line="276" w:lineRule="auto"/>
        <w:rPr>
          <w:rFonts w:ascii="Arial" w:hAnsi="Arial" w:cs="Arial"/>
          <w:b/>
        </w:rPr>
      </w:pPr>
      <w:r w:rsidRPr="000737D2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9</w:t>
      </w:r>
      <w:r w:rsidRPr="000737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Analysis of the previous published snRNA-</w:t>
      </w:r>
      <w:proofErr w:type="spellStart"/>
      <w:r>
        <w:rPr>
          <w:rFonts w:ascii="Arial" w:hAnsi="Arial" w:cs="Arial"/>
          <w:b/>
        </w:rPr>
        <w:t>seq</w:t>
      </w:r>
      <w:proofErr w:type="spellEnd"/>
      <w:r>
        <w:rPr>
          <w:rFonts w:ascii="Arial" w:hAnsi="Arial" w:cs="Arial"/>
          <w:b/>
        </w:rPr>
        <w:t xml:space="preserve"> data</w:t>
      </w:r>
    </w:p>
    <w:p w:rsidR="0021421C" w:rsidRPr="0002291C" w:rsidRDefault="0021421C" w:rsidP="0021421C">
      <w:pPr>
        <w:pStyle w:val="a3"/>
        <w:numPr>
          <w:ilvl w:val="0"/>
          <w:numId w:val="9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UMAP plots showing the unsupervised clustering of all cells from the intervertebral disc (ID; top), embryonic long bone (EL; middle) and osteosarcoma (</w:t>
      </w:r>
      <w:proofErr w:type="spellStart"/>
      <w:r w:rsidRPr="0002291C">
        <w:rPr>
          <w:rFonts w:ascii="Arial" w:hAnsi="Arial" w:cs="Arial"/>
        </w:rPr>
        <w:t>Os</w:t>
      </w:r>
      <w:proofErr w:type="spellEnd"/>
      <w:r w:rsidRPr="0002291C">
        <w:rPr>
          <w:rFonts w:ascii="Arial" w:hAnsi="Arial" w:cs="Arial"/>
        </w:rPr>
        <w:t>; bottom).</w:t>
      </w:r>
    </w:p>
    <w:p w:rsidR="0021421C" w:rsidRPr="0002291C" w:rsidRDefault="0021421C" w:rsidP="0021421C">
      <w:pPr>
        <w:pStyle w:val="a3"/>
        <w:numPr>
          <w:ilvl w:val="0"/>
          <w:numId w:val="9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UMAP plots depicting all identified cell types in ID (top), EL (middle), and </w:t>
      </w:r>
      <w:proofErr w:type="spellStart"/>
      <w:r w:rsidRPr="0002291C">
        <w:rPr>
          <w:rFonts w:ascii="Arial" w:hAnsi="Arial" w:cs="Arial"/>
        </w:rPr>
        <w:t>Os</w:t>
      </w:r>
      <w:proofErr w:type="spellEnd"/>
      <w:r w:rsidRPr="0002291C">
        <w:rPr>
          <w:rFonts w:ascii="Arial" w:hAnsi="Arial" w:cs="Arial"/>
        </w:rPr>
        <w:t xml:space="preserve"> (bottom). Cell type abbreviations: NPPCs, nucleus pulposus progenitor cells; </w:t>
      </w:r>
      <w:proofErr w:type="spellStart"/>
      <w:r w:rsidRPr="0002291C">
        <w:rPr>
          <w:rFonts w:ascii="Arial" w:hAnsi="Arial" w:cs="Arial"/>
        </w:rPr>
        <w:t>HomCs</w:t>
      </w:r>
      <w:proofErr w:type="spellEnd"/>
      <w:r w:rsidRPr="0002291C">
        <w:rPr>
          <w:rFonts w:ascii="Arial" w:hAnsi="Arial" w:cs="Arial"/>
        </w:rPr>
        <w:t xml:space="preserve">, homeostatic chondrocytes; </w:t>
      </w:r>
      <w:proofErr w:type="spellStart"/>
      <w:r w:rsidRPr="0002291C">
        <w:rPr>
          <w:rFonts w:ascii="Arial" w:hAnsi="Arial" w:cs="Arial"/>
        </w:rPr>
        <w:t>preHTCs</w:t>
      </w:r>
      <w:proofErr w:type="spellEnd"/>
      <w:r w:rsidRPr="0002291C">
        <w:rPr>
          <w:rFonts w:ascii="Arial" w:hAnsi="Arial" w:cs="Arial"/>
        </w:rPr>
        <w:t xml:space="preserve">, </w:t>
      </w:r>
      <w:proofErr w:type="spellStart"/>
      <w:r w:rsidRPr="0002291C">
        <w:rPr>
          <w:rFonts w:ascii="Arial" w:hAnsi="Arial" w:cs="Arial"/>
        </w:rPr>
        <w:t>prehypertrophic</w:t>
      </w:r>
      <w:proofErr w:type="spellEnd"/>
      <w:r w:rsidRPr="0002291C">
        <w:rPr>
          <w:rFonts w:ascii="Arial" w:hAnsi="Arial" w:cs="Arial"/>
        </w:rPr>
        <w:t xml:space="preserve"> chondrocytes; HTCs, hypertrophic chondrocytes; PMSCs, </w:t>
      </w:r>
      <w:proofErr w:type="spellStart"/>
      <w:r w:rsidRPr="0002291C">
        <w:rPr>
          <w:rFonts w:ascii="Arial" w:hAnsi="Arial" w:cs="Arial"/>
        </w:rPr>
        <w:t>perichondrial</w:t>
      </w:r>
      <w:proofErr w:type="spellEnd"/>
      <w:r w:rsidRPr="0002291C">
        <w:rPr>
          <w:rFonts w:ascii="Arial" w:hAnsi="Arial" w:cs="Arial"/>
        </w:rPr>
        <w:t xml:space="preserve"> </w:t>
      </w:r>
      <w:bookmarkStart w:id="3" w:name="OLE_LINK28"/>
      <w:bookmarkStart w:id="4" w:name="OLE_LINK29"/>
      <w:r w:rsidRPr="0002291C">
        <w:rPr>
          <w:rFonts w:ascii="Arial" w:hAnsi="Arial" w:cs="Arial"/>
        </w:rPr>
        <w:t xml:space="preserve">mesenchymal </w:t>
      </w:r>
      <w:bookmarkEnd w:id="3"/>
      <w:bookmarkEnd w:id="4"/>
      <w:r w:rsidRPr="0002291C">
        <w:rPr>
          <w:rFonts w:ascii="Arial" w:hAnsi="Arial" w:cs="Arial"/>
        </w:rPr>
        <w:t xml:space="preserve">stromal cells; OCPs, </w:t>
      </w:r>
      <w:proofErr w:type="spellStart"/>
      <w:r w:rsidRPr="0002291C">
        <w:rPr>
          <w:rFonts w:ascii="Arial" w:hAnsi="Arial" w:cs="Arial"/>
        </w:rPr>
        <w:t>osteo-chondrogenic</w:t>
      </w:r>
      <w:proofErr w:type="spellEnd"/>
      <w:r w:rsidRPr="0002291C">
        <w:rPr>
          <w:rFonts w:ascii="Arial" w:hAnsi="Arial" w:cs="Arial"/>
        </w:rPr>
        <w:t xml:space="preserve"> progenitors; MSCs, mesenchymal stem cells; TILs, tumor-infiltrating lymphocytes.</w:t>
      </w:r>
    </w:p>
    <w:p w:rsidR="0021421C" w:rsidRPr="0002291C" w:rsidRDefault="0021421C" w:rsidP="0021421C">
      <w:pPr>
        <w:pStyle w:val="a3"/>
        <w:numPr>
          <w:ilvl w:val="0"/>
          <w:numId w:val="9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Dot plots illustrating the expression patterns of representative marker genes across different cell types in ID (top), EL (middle), and </w:t>
      </w:r>
      <w:proofErr w:type="spellStart"/>
      <w:r w:rsidRPr="0002291C">
        <w:rPr>
          <w:rFonts w:ascii="Arial" w:hAnsi="Arial" w:cs="Arial"/>
        </w:rPr>
        <w:t>Os</w:t>
      </w:r>
      <w:proofErr w:type="spellEnd"/>
      <w:r w:rsidRPr="0002291C">
        <w:rPr>
          <w:rFonts w:ascii="Arial" w:hAnsi="Arial" w:cs="Arial"/>
        </w:rPr>
        <w:t xml:space="preserve"> (bottom). </w:t>
      </w:r>
    </w:p>
    <w:p w:rsidR="0021421C" w:rsidRDefault="0021421C" w:rsidP="0021421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81EA63A" wp14:editId="5FB234E1">
            <wp:extent cx="4848225" cy="7962324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6349" cy="79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1C" w:rsidRDefault="0021421C" w:rsidP="0021421C">
      <w:pPr>
        <w:spacing w:line="276" w:lineRule="auto"/>
        <w:rPr>
          <w:rFonts w:ascii="Arial" w:hAnsi="Arial" w:cs="Arial"/>
          <w:b/>
        </w:rPr>
      </w:pPr>
      <w:r w:rsidRPr="000737D2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10</w:t>
      </w:r>
      <w:r w:rsidRPr="000737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Analysis of snRNA-</w:t>
      </w:r>
      <w:proofErr w:type="spellStart"/>
      <w:r>
        <w:rPr>
          <w:rFonts w:ascii="Arial" w:hAnsi="Arial" w:cs="Arial"/>
          <w:b/>
        </w:rPr>
        <w:t>seq</w:t>
      </w:r>
      <w:proofErr w:type="spellEnd"/>
      <w:r>
        <w:rPr>
          <w:rFonts w:ascii="Arial" w:hAnsi="Arial" w:cs="Arial"/>
          <w:b/>
        </w:rPr>
        <w:t xml:space="preserve"> and </w:t>
      </w:r>
      <w:proofErr w:type="spellStart"/>
      <w:r>
        <w:rPr>
          <w:rFonts w:ascii="Arial" w:hAnsi="Arial" w:cs="Arial"/>
          <w:b/>
        </w:rPr>
        <w:t>snATCA-seq</w:t>
      </w:r>
      <w:proofErr w:type="spellEnd"/>
      <w:r>
        <w:rPr>
          <w:rFonts w:ascii="Arial" w:hAnsi="Arial" w:cs="Arial"/>
          <w:b/>
        </w:rPr>
        <w:t xml:space="preserve"> data for </w:t>
      </w:r>
      <w:r w:rsidRPr="00B27535">
        <w:rPr>
          <w:rFonts w:ascii="Arial" w:hAnsi="Arial" w:cs="Arial"/>
          <w:b/>
        </w:rPr>
        <w:t>vascular cells</w:t>
      </w:r>
    </w:p>
    <w:p w:rsidR="0021421C" w:rsidRPr="0002291C" w:rsidRDefault="0021421C" w:rsidP="0021421C">
      <w:pPr>
        <w:pStyle w:val="a3"/>
        <w:numPr>
          <w:ilvl w:val="0"/>
          <w:numId w:val="10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Expression dynamics of key marker genes along the </w:t>
      </w:r>
      <w:proofErr w:type="spellStart"/>
      <w:r w:rsidRPr="0002291C">
        <w:rPr>
          <w:rFonts w:ascii="Arial" w:hAnsi="Arial" w:cs="Arial"/>
        </w:rPr>
        <w:t>pseudotime</w:t>
      </w:r>
      <w:proofErr w:type="spellEnd"/>
      <w:r w:rsidRPr="0002291C">
        <w:rPr>
          <w:rFonts w:ascii="Arial" w:hAnsi="Arial" w:cs="Arial"/>
        </w:rPr>
        <w:t xml:space="preserve"> axis.</w:t>
      </w:r>
      <w:r>
        <w:rPr>
          <w:rFonts w:ascii="Arial" w:hAnsi="Arial" w:cs="Arial"/>
        </w:rPr>
        <w:t xml:space="preserve"> </w:t>
      </w:r>
      <w:r w:rsidRPr="00D557AE">
        <w:rPr>
          <w:rFonts w:ascii="Arial" w:eastAsia="宋体" w:hAnsi="Arial" w:cs="Arial"/>
          <w:kern w:val="0"/>
        </w:rPr>
        <w:t xml:space="preserve">The proportion of </w:t>
      </w:r>
      <w:proofErr w:type="spellStart"/>
      <w:r w:rsidRPr="00D557AE">
        <w:rPr>
          <w:rFonts w:ascii="Arial" w:eastAsia="宋体" w:hAnsi="Arial" w:cs="Arial"/>
          <w:kern w:val="0"/>
        </w:rPr>
        <w:t>AnSC</w:t>
      </w:r>
      <w:proofErr w:type="spellEnd"/>
      <w:r w:rsidRPr="00D557AE">
        <w:rPr>
          <w:rFonts w:ascii="Arial" w:eastAsia="宋体" w:hAnsi="Arial" w:cs="Arial"/>
          <w:kern w:val="0"/>
        </w:rPr>
        <w:t xml:space="preserve">-derived cells along the </w:t>
      </w:r>
      <w:proofErr w:type="spellStart"/>
      <w:r w:rsidRPr="00D557AE">
        <w:rPr>
          <w:rFonts w:ascii="Arial" w:eastAsia="宋体" w:hAnsi="Arial" w:cs="Arial"/>
          <w:kern w:val="0"/>
        </w:rPr>
        <w:t>pseudotime</w:t>
      </w:r>
      <w:proofErr w:type="spellEnd"/>
      <w:r w:rsidRPr="00D557AE">
        <w:rPr>
          <w:rFonts w:ascii="Arial" w:eastAsia="宋体" w:hAnsi="Arial" w:cs="Arial"/>
          <w:kern w:val="0"/>
        </w:rPr>
        <w:t xml:space="preserve"> axis is als</w:t>
      </w:r>
      <w:r>
        <w:rPr>
          <w:rFonts w:ascii="Arial" w:eastAsia="宋体" w:hAnsi="Arial" w:cs="Arial"/>
          <w:kern w:val="0"/>
        </w:rPr>
        <w:t>o displayed in bins (top panel)</w:t>
      </w:r>
      <w:proofErr w:type="gramStart"/>
      <w:r>
        <w:rPr>
          <w:rFonts w:ascii="Arial" w:eastAsia="宋体" w:hAnsi="Arial" w:cs="Arial"/>
          <w:kern w:val="0"/>
        </w:rPr>
        <w:t>.</w:t>
      </w:r>
      <w:r w:rsidRPr="00D557AE">
        <w:rPr>
          <w:rFonts w:ascii="Arial" w:eastAsia="宋体" w:hAnsi="Arial" w:cs="Arial"/>
          <w:kern w:val="0"/>
        </w:rPr>
        <w:t>.</w:t>
      </w:r>
      <w:proofErr w:type="gramEnd"/>
    </w:p>
    <w:p w:rsidR="0021421C" w:rsidRPr="0002291C" w:rsidRDefault="0021421C" w:rsidP="0021421C">
      <w:pPr>
        <w:pStyle w:val="a3"/>
        <w:numPr>
          <w:ilvl w:val="0"/>
          <w:numId w:val="10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lastRenderedPageBreak/>
        <w:t>Bar plots of cell cycle phase distributions (G1, G2/M and S) in endothelial and mural cells across five layers. RM and PC had more mitotically active vascular cells.</w:t>
      </w:r>
    </w:p>
    <w:p w:rsidR="0021421C" w:rsidRDefault="0021421C" w:rsidP="0021421C">
      <w:pPr>
        <w:pStyle w:val="a3"/>
        <w:numPr>
          <w:ilvl w:val="0"/>
          <w:numId w:val="10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>Network diagram of activated TFs in activated mural cells, their targets, and enriched KEGG terms.</w:t>
      </w:r>
    </w:p>
    <w:p w:rsidR="0021421C" w:rsidRPr="005A0DC4" w:rsidRDefault="0021421C" w:rsidP="0021421C">
      <w:pPr>
        <w:pStyle w:val="a3"/>
        <w:numPr>
          <w:ilvl w:val="0"/>
          <w:numId w:val="10"/>
        </w:numPr>
        <w:spacing w:line="276" w:lineRule="auto"/>
        <w:ind w:firstLineChars="0"/>
        <w:rPr>
          <w:rFonts w:ascii="Arial" w:hAnsi="Arial" w:cs="Arial"/>
        </w:rPr>
      </w:pPr>
      <w:r w:rsidRPr="0002291C">
        <w:rPr>
          <w:rFonts w:ascii="Arial" w:hAnsi="Arial" w:cs="Arial"/>
        </w:rPr>
        <w:t xml:space="preserve">Bar plot showing enriched </w:t>
      </w:r>
      <w:r w:rsidRPr="00171200">
        <w:rPr>
          <w:rFonts w:ascii="Arial" w:hAnsi="Arial" w:cs="Arial"/>
        </w:rPr>
        <w:t>KEGG pathways</w:t>
      </w:r>
      <w:r w:rsidRPr="0002291C">
        <w:rPr>
          <w:rFonts w:ascii="Arial" w:hAnsi="Arial" w:cs="Arial"/>
        </w:rPr>
        <w:t xml:space="preserve"> associated with TFs enriched in </w:t>
      </w:r>
      <w:r>
        <w:rPr>
          <w:rFonts w:ascii="Arial" w:eastAsia="宋体" w:hAnsi="Arial" w:cs="Arial"/>
          <w:kern w:val="0"/>
        </w:rPr>
        <w:t>q</w:t>
      </w:r>
      <w:r w:rsidRPr="0002291C">
        <w:rPr>
          <w:rFonts w:ascii="Arial" w:eastAsia="宋体" w:hAnsi="Arial" w:cs="Arial"/>
          <w:kern w:val="0"/>
        </w:rPr>
        <w:t>uiescent states</w:t>
      </w:r>
      <w:r w:rsidRPr="0002291C">
        <w:rPr>
          <w:rFonts w:ascii="Arial" w:hAnsi="Arial" w:cs="Arial"/>
        </w:rPr>
        <w:t xml:space="preserve"> </w:t>
      </w:r>
      <w:r w:rsidRPr="00171200">
        <w:rPr>
          <w:rFonts w:ascii="Arial" w:hAnsi="Arial" w:cs="Arial"/>
        </w:rPr>
        <w:t>for endothelial (</w:t>
      </w:r>
      <w:r>
        <w:rPr>
          <w:rFonts w:ascii="Arial" w:hAnsi="Arial" w:cs="Arial"/>
        </w:rPr>
        <w:t>left</w:t>
      </w:r>
      <w:r w:rsidRPr="00171200">
        <w:rPr>
          <w:rFonts w:ascii="Arial" w:hAnsi="Arial" w:cs="Arial"/>
        </w:rPr>
        <w:t>) and mural cells (</w:t>
      </w:r>
      <w:r>
        <w:rPr>
          <w:rFonts w:ascii="Arial" w:hAnsi="Arial" w:cs="Arial"/>
        </w:rPr>
        <w:t>right</w:t>
      </w:r>
      <w:r w:rsidRPr="00171200">
        <w:rPr>
          <w:rFonts w:ascii="Arial" w:hAnsi="Arial" w:cs="Arial"/>
        </w:rPr>
        <w:t>)</w:t>
      </w:r>
      <w:r w:rsidRPr="0002291C">
        <w:rPr>
          <w:rFonts w:ascii="Arial" w:hAnsi="Arial" w:cs="Arial"/>
        </w:rPr>
        <w:t xml:space="preserve"> and their predicted target genes based on DAVID analysis.</w:t>
      </w:r>
    </w:p>
    <w:p w:rsidR="0021421C" w:rsidRPr="005A0DC4" w:rsidRDefault="0021421C" w:rsidP="0021421C">
      <w:pPr>
        <w:spacing w:line="276" w:lineRule="auto"/>
        <w:rPr>
          <w:rFonts w:ascii="Arial" w:hAnsi="Arial" w:cs="Arial"/>
          <w:b/>
        </w:rPr>
      </w:pPr>
    </w:p>
    <w:p w:rsidR="00524932" w:rsidRDefault="0021421C">
      <w:r>
        <w:rPr>
          <w:noProof/>
        </w:rPr>
        <w:drawing>
          <wp:inline distT="0" distB="0" distL="0" distR="0" wp14:anchorId="2D6BE119" wp14:editId="7FDBB1A1">
            <wp:extent cx="5274310" cy="5956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1C" w:rsidRDefault="0021421C" w:rsidP="0021421C">
      <w:pPr>
        <w:spacing w:line="276" w:lineRule="auto"/>
        <w:rPr>
          <w:rFonts w:ascii="Arial" w:hAnsi="Arial" w:cs="Arial"/>
        </w:rPr>
      </w:pPr>
      <w:r w:rsidRPr="000737D2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11</w:t>
      </w:r>
      <w:r w:rsidRPr="000737D2">
        <w:rPr>
          <w:rFonts w:ascii="Arial" w:hAnsi="Arial" w:cs="Arial"/>
          <w:b/>
        </w:rPr>
        <w:t xml:space="preserve"> </w:t>
      </w:r>
      <w:r w:rsidRPr="00171200">
        <w:rPr>
          <w:rFonts w:ascii="Arial" w:hAnsi="Arial" w:cs="Arial"/>
        </w:rPr>
        <w:t xml:space="preserve">Bar plots of KEGG pathways enriched in AGC vs. ID and </w:t>
      </w:r>
      <w:proofErr w:type="spellStart"/>
      <w:r w:rsidRPr="00171200">
        <w:rPr>
          <w:rFonts w:ascii="Arial" w:hAnsi="Arial" w:cs="Arial"/>
        </w:rPr>
        <w:t>Os</w:t>
      </w:r>
      <w:proofErr w:type="spellEnd"/>
      <w:r w:rsidRPr="00171200">
        <w:rPr>
          <w:rFonts w:ascii="Arial" w:hAnsi="Arial" w:cs="Arial"/>
        </w:rPr>
        <w:t xml:space="preserve"> for endothelial (a) and mural cells (b). Z-scores indicating enrichment (positive = activation, negative = suppression).</w:t>
      </w:r>
    </w:p>
    <w:p w:rsidR="0021421C" w:rsidRDefault="0021421C">
      <w:pPr>
        <w:rPr>
          <w:rFonts w:hint="eastAsia"/>
        </w:rPr>
      </w:pPr>
    </w:p>
    <w:sectPr w:rsidR="002142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905BB"/>
    <w:multiLevelType w:val="hybridMultilevel"/>
    <w:tmpl w:val="1D88414C"/>
    <w:lvl w:ilvl="0" w:tplc="27AA30D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10F69"/>
    <w:multiLevelType w:val="hybridMultilevel"/>
    <w:tmpl w:val="D624DC30"/>
    <w:lvl w:ilvl="0" w:tplc="27AA30DC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8B23BC6"/>
    <w:multiLevelType w:val="hybridMultilevel"/>
    <w:tmpl w:val="9F52903A"/>
    <w:lvl w:ilvl="0" w:tplc="27AA30DC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1A2988"/>
    <w:multiLevelType w:val="hybridMultilevel"/>
    <w:tmpl w:val="9642FEDE"/>
    <w:lvl w:ilvl="0" w:tplc="37507CD2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F9749366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FD02F9"/>
    <w:multiLevelType w:val="hybridMultilevel"/>
    <w:tmpl w:val="67769970"/>
    <w:lvl w:ilvl="0" w:tplc="27AA30D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3E2339"/>
    <w:multiLevelType w:val="hybridMultilevel"/>
    <w:tmpl w:val="E856B4A6"/>
    <w:lvl w:ilvl="0" w:tplc="27AA30DC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27069DB"/>
    <w:multiLevelType w:val="hybridMultilevel"/>
    <w:tmpl w:val="713C8714"/>
    <w:lvl w:ilvl="0" w:tplc="27AA30D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8D75AB"/>
    <w:multiLevelType w:val="hybridMultilevel"/>
    <w:tmpl w:val="F6DE4320"/>
    <w:lvl w:ilvl="0" w:tplc="27AA30DC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04566DF"/>
    <w:multiLevelType w:val="hybridMultilevel"/>
    <w:tmpl w:val="6EDC4C8E"/>
    <w:lvl w:ilvl="0" w:tplc="27AA30DC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BCF0105"/>
    <w:multiLevelType w:val="hybridMultilevel"/>
    <w:tmpl w:val="75F009C6"/>
    <w:lvl w:ilvl="0" w:tplc="27AA30DC">
      <w:start w:val="1"/>
      <w:numFmt w:val="lowerLetter"/>
      <w:lvlText w:val="%1.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1C"/>
    <w:rsid w:val="0021421C"/>
    <w:rsid w:val="0052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5255D-A36C-4F0F-A123-316CE2A4B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21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1022</Words>
  <Characters>5830</Characters>
  <Application>Microsoft Office Word</Application>
  <DocSecurity>0</DocSecurity>
  <Lines>48</Lines>
  <Paragraphs>13</Paragraphs>
  <ScaleCrop>false</ScaleCrop>
  <Company>P R C</Company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2025-06-18T02:58:00Z</dcterms:created>
  <dcterms:modified xsi:type="dcterms:W3CDTF">2025-06-18T03:06:00Z</dcterms:modified>
</cp:coreProperties>
</file>