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Look w:val="04A0" w:firstRow="1" w:lastRow="0" w:firstColumn="1" w:lastColumn="0" w:noHBand="0" w:noVBand="1"/>
      </w:tblPr>
      <w:tblGrid>
        <w:gridCol w:w="3005"/>
        <w:gridCol w:w="3005"/>
        <w:gridCol w:w="3006"/>
      </w:tblGrid>
      <w:tr w:rsidR="00775BF7" w:rsidRPr="006071C5" w14:paraId="5DFFAE11" w14:textId="77777777" w:rsidTr="00841FE2">
        <w:tc>
          <w:tcPr>
            <w:tcW w:w="9016" w:type="dxa"/>
            <w:gridSpan w:val="3"/>
          </w:tcPr>
          <w:p w14:paraId="2E751DA9"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Title and abstract</w:t>
            </w:r>
          </w:p>
        </w:tc>
      </w:tr>
      <w:tr w:rsidR="00775BF7" w:rsidRPr="006071C5" w14:paraId="736E8675" w14:textId="77777777" w:rsidTr="00841FE2">
        <w:tc>
          <w:tcPr>
            <w:tcW w:w="3005" w:type="dxa"/>
          </w:tcPr>
          <w:p w14:paraId="34C59B91"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Item</w:t>
            </w:r>
          </w:p>
        </w:tc>
        <w:tc>
          <w:tcPr>
            <w:tcW w:w="3005" w:type="dxa"/>
          </w:tcPr>
          <w:p w14:paraId="1BEDD7E7"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Description of the item</w:t>
            </w:r>
          </w:p>
        </w:tc>
        <w:tc>
          <w:tcPr>
            <w:tcW w:w="3006" w:type="dxa"/>
          </w:tcPr>
          <w:p w14:paraId="0E8084AC"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Example</w:t>
            </w:r>
          </w:p>
        </w:tc>
      </w:tr>
      <w:tr w:rsidR="00775BF7" w:rsidRPr="006071C5" w14:paraId="15303F6D" w14:textId="77777777" w:rsidTr="00841FE2">
        <w:tc>
          <w:tcPr>
            <w:tcW w:w="3005" w:type="dxa"/>
          </w:tcPr>
          <w:p w14:paraId="72293DBF"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Title and abstract</w:t>
            </w:r>
          </w:p>
        </w:tc>
        <w:tc>
          <w:tcPr>
            <w:tcW w:w="3005" w:type="dxa"/>
          </w:tcPr>
          <w:p w14:paraId="3332C358"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Information on how unit</w:t>
            </w:r>
          </w:p>
          <w:p w14:paraId="3D7CE3A8"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were allocated to</w:t>
            </w:r>
          </w:p>
          <w:p w14:paraId="7B3671F4"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interventions</w:t>
            </w:r>
          </w:p>
        </w:tc>
        <w:tc>
          <w:tcPr>
            <w:tcW w:w="3006" w:type="dxa"/>
          </w:tcPr>
          <w:p w14:paraId="72BE9A3E"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Participants were non</w:t>
            </w:r>
            <w:r>
              <w:rPr>
                <w:rFonts w:asciiTheme="minorHAnsi" w:hAnsiTheme="minorHAnsi" w:cstheme="minorHAnsi"/>
              </w:rPr>
              <w:t xml:space="preserve"> </w:t>
            </w:r>
            <w:r w:rsidRPr="006071C5">
              <w:rPr>
                <w:rFonts w:asciiTheme="minorHAnsi" w:hAnsiTheme="minorHAnsi" w:cstheme="minorHAnsi"/>
              </w:rPr>
              <w:t xml:space="preserve">randomly assigned to intervention and comparator groups based on their baseline KAP scores </w:t>
            </w:r>
            <w:r>
              <w:rPr>
                <w:rFonts w:asciiTheme="minorHAnsi" w:hAnsiTheme="minorHAnsi" w:cstheme="minorHAnsi"/>
              </w:rPr>
              <w:t>scoring less than 75%</w:t>
            </w:r>
            <w:r w:rsidRPr="006071C5">
              <w:rPr>
                <w:rFonts w:asciiTheme="minorHAnsi" w:hAnsiTheme="minorHAnsi" w:cstheme="minorHAnsi"/>
              </w:rPr>
              <w:t>.</w:t>
            </w:r>
          </w:p>
        </w:tc>
      </w:tr>
      <w:tr w:rsidR="00775BF7" w:rsidRPr="006071C5" w14:paraId="2B5511C7" w14:textId="77777777" w:rsidTr="00841FE2">
        <w:tc>
          <w:tcPr>
            <w:tcW w:w="3005" w:type="dxa"/>
          </w:tcPr>
          <w:p w14:paraId="76FDF8A9" w14:textId="77777777" w:rsidR="00775BF7" w:rsidRPr="006071C5" w:rsidRDefault="00775BF7" w:rsidP="00841FE2">
            <w:pPr>
              <w:jc w:val="left"/>
              <w:rPr>
                <w:rFonts w:asciiTheme="minorHAnsi" w:hAnsiTheme="minorHAnsi" w:cstheme="minorHAnsi"/>
              </w:rPr>
            </w:pPr>
          </w:p>
        </w:tc>
        <w:tc>
          <w:tcPr>
            <w:tcW w:w="3005" w:type="dxa"/>
          </w:tcPr>
          <w:p w14:paraId="083950DA"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Structured abstract recommended</w:t>
            </w:r>
          </w:p>
        </w:tc>
        <w:tc>
          <w:tcPr>
            <w:tcW w:w="3006" w:type="dxa"/>
          </w:tcPr>
          <w:p w14:paraId="19DF6C93" w14:textId="3B473176" w:rsidR="00775BF7" w:rsidRPr="006071C5" w:rsidRDefault="00775BF7" w:rsidP="00841FE2">
            <w:pPr>
              <w:jc w:val="left"/>
              <w:rPr>
                <w:rFonts w:asciiTheme="minorHAnsi" w:hAnsiTheme="minorHAnsi" w:cstheme="minorHAnsi"/>
              </w:rPr>
            </w:pPr>
            <w:r w:rsidRPr="006071C5">
              <w:rPr>
                <w:rFonts w:asciiTheme="minorHAnsi" w:hAnsiTheme="minorHAnsi" w:cstheme="minorHAnsi"/>
              </w:rPr>
              <w:t xml:space="preserve">The abstract is structured and includes the background, objective, methodology (includes group allocation, sample size results and statistical finding. And </w:t>
            </w:r>
            <w:r w:rsidR="003E4EA4" w:rsidRPr="006071C5">
              <w:rPr>
                <w:rFonts w:asciiTheme="minorHAnsi" w:hAnsiTheme="minorHAnsi" w:cstheme="minorHAnsi"/>
              </w:rPr>
              <w:t>also,</w:t>
            </w:r>
            <w:r w:rsidRPr="006071C5">
              <w:rPr>
                <w:rFonts w:asciiTheme="minorHAnsi" w:hAnsiTheme="minorHAnsi" w:cstheme="minorHAnsi"/>
              </w:rPr>
              <w:t xml:space="preserve"> conclusion highlighting the effect of the intervention.</w:t>
            </w:r>
          </w:p>
        </w:tc>
      </w:tr>
      <w:tr w:rsidR="00775BF7" w:rsidRPr="006071C5" w14:paraId="603468DB" w14:textId="77777777" w:rsidTr="00841FE2">
        <w:tc>
          <w:tcPr>
            <w:tcW w:w="3005" w:type="dxa"/>
          </w:tcPr>
          <w:p w14:paraId="7997D8FB" w14:textId="77777777" w:rsidR="00775BF7" w:rsidRPr="006071C5" w:rsidRDefault="00775BF7" w:rsidP="00841FE2">
            <w:pPr>
              <w:jc w:val="left"/>
              <w:rPr>
                <w:rFonts w:asciiTheme="minorHAnsi" w:hAnsiTheme="minorHAnsi" w:cstheme="minorHAnsi"/>
              </w:rPr>
            </w:pPr>
          </w:p>
        </w:tc>
        <w:tc>
          <w:tcPr>
            <w:tcW w:w="3005" w:type="dxa"/>
          </w:tcPr>
          <w:p w14:paraId="516BFF48"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Information on target population or study sample</w:t>
            </w:r>
          </w:p>
        </w:tc>
        <w:tc>
          <w:tcPr>
            <w:tcW w:w="3006" w:type="dxa"/>
          </w:tcPr>
          <w:p w14:paraId="372D4ECA" w14:textId="1A95743A" w:rsidR="00775BF7" w:rsidRPr="006071C5" w:rsidRDefault="00775BF7" w:rsidP="00841FE2">
            <w:pPr>
              <w:jc w:val="left"/>
              <w:rPr>
                <w:rFonts w:asciiTheme="minorHAnsi" w:hAnsiTheme="minorHAnsi" w:cstheme="minorHAnsi"/>
              </w:rPr>
            </w:pPr>
            <w:r w:rsidRPr="006071C5">
              <w:rPr>
                <w:rFonts w:asciiTheme="minorHAnsi" w:hAnsiTheme="minorHAnsi" w:cstheme="minorHAnsi"/>
              </w:rPr>
              <w:t xml:space="preserve">Parents of adolescents aged 12–15 years in urban Bengaluru were </w:t>
            </w:r>
            <w:r w:rsidR="003E4EA4">
              <w:rPr>
                <w:rFonts w:asciiTheme="minorHAnsi" w:hAnsiTheme="minorHAnsi" w:cstheme="minorHAnsi"/>
              </w:rPr>
              <w:t xml:space="preserve">recruited </w:t>
            </w:r>
            <w:r w:rsidR="003E4EA4" w:rsidRPr="006071C5">
              <w:rPr>
                <w:rFonts w:asciiTheme="minorHAnsi" w:hAnsiTheme="minorHAnsi" w:cstheme="minorHAnsi"/>
              </w:rPr>
              <w:t>from</w:t>
            </w:r>
            <w:r w:rsidRPr="006071C5">
              <w:rPr>
                <w:rFonts w:asciiTheme="minorHAnsi" w:hAnsiTheme="minorHAnsi" w:cstheme="minorHAnsi"/>
              </w:rPr>
              <w:t xml:space="preserve"> schools. Inclusion was based on KAP score &lt;75%, language ability, and consent. Parents were selected due to their role in influencing household preventive </w:t>
            </w:r>
            <w:r w:rsidR="003E4EA4" w:rsidRPr="006071C5">
              <w:rPr>
                <w:rFonts w:asciiTheme="minorHAnsi" w:hAnsiTheme="minorHAnsi" w:cstheme="minorHAnsi"/>
              </w:rPr>
              <w:t>behaviours</w:t>
            </w:r>
            <w:r w:rsidRPr="006071C5">
              <w:rPr>
                <w:rFonts w:asciiTheme="minorHAnsi" w:hAnsiTheme="minorHAnsi" w:cstheme="minorHAnsi"/>
              </w:rPr>
              <w:t>.</w:t>
            </w:r>
          </w:p>
        </w:tc>
      </w:tr>
      <w:tr w:rsidR="00775BF7" w:rsidRPr="006071C5" w14:paraId="18B46BAC" w14:textId="77777777" w:rsidTr="00841FE2">
        <w:tc>
          <w:tcPr>
            <w:tcW w:w="9016" w:type="dxa"/>
            <w:gridSpan w:val="3"/>
          </w:tcPr>
          <w:p w14:paraId="55A792B7"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Introduction</w:t>
            </w:r>
          </w:p>
        </w:tc>
      </w:tr>
      <w:tr w:rsidR="00775BF7" w:rsidRPr="006071C5" w14:paraId="4ACFEDC5" w14:textId="77777777" w:rsidTr="00841FE2">
        <w:tc>
          <w:tcPr>
            <w:tcW w:w="3005" w:type="dxa"/>
          </w:tcPr>
          <w:p w14:paraId="5C935C41"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Background</w:t>
            </w:r>
          </w:p>
        </w:tc>
        <w:tc>
          <w:tcPr>
            <w:tcW w:w="3005" w:type="dxa"/>
          </w:tcPr>
          <w:p w14:paraId="1C47215A"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Scientific background and</w:t>
            </w:r>
          </w:p>
          <w:p w14:paraId="6FD73735"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explanation of rationale</w:t>
            </w:r>
          </w:p>
        </w:tc>
        <w:tc>
          <w:tcPr>
            <w:tcW w:w="3006" w:type="dxa"/>
          </w:tcPr>
          <w:p w14:paraId="2E6DF154" w14:textId="6DBA8325" w:rsidR="00775BF7" w:rsidRPr="006071C5" w:rsidRDefault="00775BF7" w:rsidP="00841FE2">
            <w:pPr>
              <w:jc w:val="left"/>
              <w:rPr>
                <w:rFonts w:asciiTheme="minorHAnsi" w:hAnsiTheme="minorHAnsi" w:cstheme="minorHAnsi"/>
              </w:rPr>
            </w:pPr>
            <w:r w:rsidRPr="006071C5">
              <w:rPr>
                <w:rFonts w:asciiTheme="minorHAnsi" w:hAnsiTheme="minorHAnsi" w:cstheme="minorHAnsi"/>
              </w:rPr>
              <w:t xml:space="preserve">Arboviral diseases like dengue and malaria remain major public health threats </w:t>
            </w:r>
            <w:r w:rsidRPr="006071C5">
              <w:rPr>
                <w:rFonts w:asciiTheme="minorHAnsi" w:hAnsiTheme="minorHAnsi" w:cstheme="minorHAnsi"/>
              </w:rPr>
              <w:lastRenderedPageBreak/>
              <w:t xml:space="preserve">in urban India due to poor sanitation, urbanization, and gaps in community awareness. Health education has shown potential to improve knowledge, attitudes, and practices (KAP), but few studies assess its long-term and quality-of-life impact. This study addresses one </w:t>
            </w:r>
            <w:r w:rsidR="003E4EA4" w:rsidRPr="006071C5">
              <w:rPr>
                <w:rFonts w:asciiTheme="minorHAnsi" w:hAnsiTheme="minorHAnsi" w:cstheme="minorHAnsi"/>
              </w:rPr>
              <w:t>of those</w:t>
            </w:r>
            <w:r w:rsidRPr="006071C5">
              <w:rPr>
                <w:rFonts w:asciiTheme="minorHAnsi" w:hAnsiTheme="minorHAnsi" w:cstheme="minorHAnsi"/>
              </w:rPr>
              <w:t xml:space="preserve"> </w:t>
            </w:r>
            <w:r w:rsidR="003E4EA4" w:rsidRPr="006071C5">
              <w:rPr>
                <w:rFonts w:asciiTheme="minorHAnsi" w:hAnsiTheme="minorHAnsi" w:cstheme="minorHAnsi"/>
              </w:rPr>
              <w:t>gaps (</w:t>
            </w:r>
            <w:r w:rsidRPr="006071C5">
              <w:rPr>
                <w:rFonts w:asciiTheme="minorHAnsi" w:hAnsiTheme="minorHAnsi" w:cstheme="minorHAnsi"/>
              </w:rPr>
              <w:t>quality of life) in an urban Indian context.</w:t>
            </w:r>
          </w:p>
        </w:tc>
      </w:tr>
      <w:tr w:rsidR="00775BF7" w:rsidRPr="006071C5" w14:paraId="59BBF9B6" w14:textId="77777777" w:rsidTr="00841FE2">
        <w:tc>
          <w:tcPr>
            <w:tcW w:w="3005" w:type="dxa"/>
          </w:tcPr>
          <w:p w14:paraId="25E178A2" w14:textId="77777777" w:rsidR="00775BF7" w:rsidRPr="006071C5" w:rsidRDefault="00775BF7" w:rsidP="00841FE2">
            <w:pPr>
              <w:jc w:val="left"/>
              <w:rPr>
                <w:rFonts w:asciiTheme="minorHAnsi" w:hAnsiTheme="minorHAnsi" w:cstheme="minorHAnsi"/>
              </w:rPr>
            </w:pPr>
          </w:p>
        </w:tc>
        <w:tc>
          <w:tcPr>
            <w:tcW w:w="3005" w:type="dxa"/>
          </w:tcPr>
          <w:p w14:paraId="55DD9F10"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Theories used in designing</w:t>
            </w:r>
          </w:p>
          <w:p w14:paraId="322C1C34"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behavioural interventions</w:t>
            </w:r>
          </w:p>
        </w:tc>
        <w:tc>
          <w:tcPr>
            <w:tcW w:w="3006" w:type="dxa"/>
          </w:tcPr>
          <w:p w14:paraId="6142C63D"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NA</w:t>
            </w:r>
          </w:p>
        </w:tc>
      </w:tr>
      <w:tr w:rsidR="00775BF7" w:rsidRPr="006071C5" w14:paraId="6FF28ADD" w14:textId="77777777" w:rsidTr="00841FE2">
        <w:tc>
          <w:tcPr>
            <w:tcW w:w="9016" w:type="dxa"/>
            <w:gridSpan w:val="3"/>
          </w:tcPr>
          <w:p w14:paraId="1B679602"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Method</w:t>
            </w:r>
          </w:p>
        </w:tc>
      </w:tr>
      <w:tr w:rsidR="00775BF7" w:rsidRPr="006071C5" w14:paraId="2185FE96" w14:textId="77777777" w:rsidTr="00841FE2">
        <w:tc>
          <w:tcPr>
            <w:tcW w:w="3005" w:type="dxa"/>
          </w:tcPr>
          <w:p w14:paraId="46C62CB5"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Participants</w:t>
            </w:r>
          </w:p>
        </w:tc>
        <w:tc>
          <w:tcPr>
            <w:tcW w:w="3005" w:type="dxa"/>
          </w:tcPr>
          <w:p w14:paraId="3BADEF4D"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Eligibility criteria for</w:t>
            </w:r>
          </w:p>
          <w:p w14:paraId="1AC224C2"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participants, including criteria at different levels in</w:t>
            </w:r>
          </w:p>
          <w:p w14:paraId="2508DA67"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recruitment/sampling plan</w:t>
            </w:r>
          </w:p>
          <w:p w14:paraId="5FAF7689"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(e.g., cities, clinics, subjects)</w:t>
            </w:r>
          </w:p>
        </w:tc>
        <w:tc>
          <w:tcPr>
            <w:tcW w:w="3006" w:type="dxa"/>
          </w:tcPr>
          <w:p w14:paraId="69634CCB" w14:textId="5ABAE677" w:rsidR="00775BF7" w:rsidRPr="006071C5" w:rsidRDefault="00775BF7" w:rsidP="00841FE2">
            <w:pPr>
              <w:jc w:val="left"/>
              <w:rPr>
                <w:rFonts w:asciiTheme="minorHAnsi" w:hAnsiTheme="minorHAnsi" w:cstheme="minorHAnsi"/>
              </w:rPr>
            </w:pPr>
            <w:r w:rsidRPr="006071C5">
              <w:rPr>
                <w:rFonts w:asciiTheme="minorHAnsi" w:hAnsiTheme="minorHAnsi" w:cstheme="minorHAnsi"/>
              </w:rPr>
              <w:t>Participants were parents of adolescents aged 12–15 years from urban Bengaluru schools. Inclusion criteria: ability to</w:t>
            </w:r>
            <w:r w:rsidR="002C46E6">
              <w:rPr>
                <w:rFonts w:asciiTheme="minorHAnsi" w:hAnsiTheme="minorHAnsi" w:cstheme="minorHAnsi"/>
              </w:rPr>
              <w:t xml:space="preserve"> provide</w:t>
            </w:r>
            <w:r w:rsidRPr="006071C5">
              <w:rPr>
                <w:rFonts w:asciiTheme="minorHAnsi" w:hAnsiTheme="minorHAnsi" w:cstheme="minorHAnsi"/>
              </w:rPr>
              <w:t xml:space="preserve"> consent, basic understanding of English or Kannada, and KAP score &lt;75%. Exclusion: prior participation in arboviral education programs </w:t>
            </w:r>
            <w:r w:rsidR="002C46E6">
              <w:rPr>
                <w:rFonts w:asciiTheme="minorHAnsi" w:hAnsiTheme="minorHAnsi" w:cstheme="minorHAnsi"/>
              </w:rPr>
              <w:t>and not providing consent</w:t>
            </w:r>
            <w:r w:rsidRPr="006071C5">
              <w:rPr>
                <w:rFonts w:asciiTheme="minorHAnsi" w:hAnsiTheme="minorHAnsi" w:cstheme="minorHAnsi"/>
              </w:rPr>
              <w:t>. Schools were selected based on accessibility and administrative willingness.</w:t>
            </w:r>
          </w:p>
        </w:tc>
      </w:tr>
      <w:tr w:rsidR="00775BF7" w:rsidRPr="006071C5" w14:paraId="6F4A6808" w14:textId="77777777" w:rsidTr="00841FE2">
        <w:tc>
          <w:tcPr>
            <w:tcW w:w="3005" w:type="dxa"/>
          </w:tcPr>
          <w:p w14:paraId="2C84771E" w14:textId="77777777" w:rsidR="00775BF7" w:rsidRPr="006071C5" w:rsidRDefault="00775BF7" w:rsidP="00841FE2">
            <w:pPr>
              <w:jc w:val="left"/>
              <w:rPr>
                <w:rFonts w:asciiTheme="minorHAnsi" w:hAnsiTheme="minorHAnsi" w:cstheme="minorHAnsi"/>
              </w:rPr>
            </w:pPr>
          </w:p>
        </w:tc>
        <w:tc>
          <w:tcPr>
            <w:tcW w:w="3005" w:type="dxa"/>
          </w:tcPr>
          <w:p w14:paraId="70DA7D55" w14:textId="1B6EF724" w:rsidR="00775BF7" w:rsidRPr="006071C5" w:rsidRDefault="00775BF7" w:rsidP="00841FE2">
            <w:pPr>
              <w:jc w:val="left"/>
              <w:rPr>
                <w:rFonts w:asciiTheme="minorHAnsi" w:hAnsiTheme="minorHAnsi" w:cstheme="minorHAnsi"/>
              </w:rPr>
            </w:pPr>
            <w:r w:rsidRPr="006071C5">
              <w:rPr>
                <w:rFonts w:asciiTheme="minorHAnsi" w:hAnsiTheme="minorHAnsi" w:cstheme="minorHAnsi"/>
              </w:rPr>
              <w:t>Method of recruitment (e.g., referral, self-selection</w:t>
            </w:r>
            <w:r w:rsidR="009053C4" w:rsidRPr="006071C5">
              <w:rPr>
                <w:rFonts w:asciiTheme="minorHAnsi" w:hAnsiTheme="minorHAnsi" w:cstheme="minorHAnsi"/>
              </w:rPr>
              <w:t>), including</w:t>
            </w:r>
            <w:r w:rsidRPr="006071C5">
              <w:rPr>
                <w:rFonts w:asciiTheme="minorHAnsi" w:hAnsiTheme="minorHAnsi" w:cstheme="minorHAnsi"/>
              </w:rPr>
              <w:t xml:space="preserve"> the sampling method if a systematic sampling plan was implemented Recruitment setting</w:t>
            </w:r>
          </w:p>
        </w:tc>
        <w:tc>
          <w:tcPr>
            <w:tcW w:w="3006" w:type="dxa"/>
          </w:tcPr>
          <w:p w14:paraId="09071201"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 xml:space="preserve">Participants were </w:t>
            </w:r>
            <w:r>
              <w:rPr>
                <w:rFonts w:asciiTheme="minorHAnsi" w:hAnsiTheme="minorHAnsi" w:cstheme="minorHAnsi"/>
              </w:rPr>
              <w:t xml:space="preserve">randomly </w:t>
            </w:r>
            <w:r w:rsidRPr="006071C5">
              <w:rPr>
                <w:rFonts w:asciiTheme="minorHAnsi" w:hAnsiTheme="minorHAnsi" w:cstheme="minorHAnsi"/>
              </w:rPr>
              <w:t>recruited from selected schools in urban Bengaluru. Recruitment was conducted in the school setting, where eligible parents were invited to participate after informed consent and baseline KAP assessment.</w:t>
            </w:r>
          </w:p>
        </w:tc>
      </w:tr>
      <w:tr w:rsidR="00775BF7" w:rsidRPr="006071C5" w14:paraId="485742D2" w14:textId="77777777" w:rsidTr="00841FE2">
        <w:tc>
          <w:tcPr>
            <w:tcW w:w="3005" w:type="dxa"/>
          </w:tcPr>
          <w:p w14:paraId="1485F98A" w14:textId="77777777" w:rsidR="00775BF7" w:rsidRPr="006071C5" w:rsidRDefault="00775BF7" w:rsidP="00841FE2">
            <w:pPr>
              <w:jc w:val="left"/>
              <w:rPr>
                <w:rFonts w:asciiTheme="minorHAnsi" w:hAnsiTheme="minorHAnsi" w:cstheme="minorHAnsi"/>
              </w:rPr>
            </w:pPr>
          </w:p>
        </w:tc>
        <w:tc>
          <w:tcPr>
            <w:tcW w:w="3005" w:type="dxa"/>
          </w:tcPr>
          <w:p w14:paraId="72C2D5B5"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Settings and locations where the data were collected</w:t>
            </w:r>
          </w:p>
        </w:tc>
        <w:tc>
          <w:tcPr>
            <w:tcW w:w="3006" w:type="dxa"/>
          </w:tcPr>
          <w:p w14:paraId="378D71E5"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Data were collected in classrooms within selected schools in urban Bengaluru. Both the intervention sessions and pre/post assessments were conducted on-site during scheduled school hours.</w:t>
            </w:r>
          </w:p>
        </w:tc>
      </w:tr>
      <w:tr w:rsidR="00775BF7" w:rsidRPr="006071C5" w14:paraId="2B350458" w14:textId="77777777" w:rsidTr="00841FE2">
        <w:tc>
          <w:tcPr>
            <w:tcW w:w="3005" w:type="dxa"/>
          </w:tcPr>
          <w:p w14:paraId="56AB49F4"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Interventions</w:t>
            </w:r>
          </w:p>
        </w:tc>
        <w:tc>
          <w:tcPr>
            <w:tcW w:w="3005" w:type="dxa"/>
          </w:tcPr>
          <w:p w14:paraId="0441036A"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Details of the interventions</w:t>
            </w:r>
          </w:p>
          <w:p w14:paraId="4D2CB0F4"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intended for each study</w:t>
            </w:r>
          </w:p>
          <w:p w14:paraId="468D6A5D"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condition and how and when they were actually</w:t>
            </w:r>
          </w:p>
          <w:p w14:paraId="3A3656F0"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administered, specifically</w:t>
            </w:r>
          </w:p>
          <w:p w14:paraId="51B21745"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including</w:t>
            </w:r>
          </w:p>
        </w:tc>
        <w:tc>
          <w:tcPr>
            <w:tcW w:w="3006" w:type="dxa"/>
          </w:tcPr>
          <w:p w14:paraId="383382FD"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 xml:space="preserve">The intervention group received two weekly in-person health education sessions (45–60 minutes each) over three weeks, covering causes, transmission, symptoms, and prevention of dengue and malaria. Sessions were delivered by the principal investigator using verbal explanations and printed materials in school classrooms. The comparator </w:t>
            </w:r>
            <w:r w:rsidRPr="006071C5">
              <w:rPr>
                <w:rFonts w:asciiTheme="minorHAnsi" w:hAnsiTheme="minorHAnsi" w:cstheme="minorHAnsi"/>
              </w:rPr>
              <w:lastRenderedPageBreak/>
              <w:t>group received no intervention but completed pre- and post-assessments.</w:t>
            </w:r>
          </w:p>
        </w:tc>
      </w:tr>
      <w:tr w:rsidR="00775BF7" w:rsidRPr="006071C5" w14:paraId="08768544" w14:textId="77777777" w:rsidTr="00841FE2">
        <w:tc>
          <w:tcPr>
            <w:tcW w:w="3005" w:type="dxa"/>
          </w:tcPr>
          <w:p w14:paraId="2BF4750B" w14:textId="77777777" w:rsidR="00775BF7" w:rsidRPr="006071C5" w:rsidRDefault="00775BF7" w:rsidP="00841FE2">
            <w:pPr>
              <w:jc w:val="left"/>
              <w:rPr>
                <w:rFonts w:asciiTheme="minorHAnsi" w:hAnsiTheme="minorHAnsi" w:cstheme="minorHAnsi"/>
              </w:rPr>
            </w:pPr>
          </w:p>
        </w:tc>
        <w:tc>
          <w:tcPr>
            <w:tcW w:w="3005" w:type="dxa"/>
          </w:tcPr>
          <w:p w14:paraId="5C3AEF00"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Content: what was presented? Delivery method: how was the</w:t>
            </w:r>
          </w:p>
          <w:p w14:paraId="5BEFC231"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content presented?</w:t>
            </w:r>
          </w:p>
          <w:p w14:paraId="17F9C0EC"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Unit of delivery: how were the subjects grouped during delivery</w:t>
            </w:r>
          </w:p>
          <w:p w14:paraId="636ADF85"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Setting: where was the</w:t>
            </w:r>
          </w:p>
          <w:p w14:paraId="160DDD97"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intervention delivered</w:t>
            </w:r>
          </w:p>
          <w:p w14:paraId="2CFAAF64"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Deliverer: who delivered the intervention?</w:t>
            </w:r>
          </w:p>
        </w:tc>
        <w:tc>
          <w:tcPr>
            <w:tcW w:w="3006" w:type="dxa"/>
          </w:tcPr>
          <w:p w14:paraId="28275863"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The intervention consisted of structured health education sessions that covered the causes, symptoms, transmission, and prevention of dengue and malaria. The content was delivered through in-person sessions using verbal explanations and printed handouts. Participants were grouped by school, and all parents in the intervention group attended the sessions together. The sessions were held in classrooms within the school premises in urban Bengaluru. The intervention was delivered by the principal investigator.</w:t>
            </w:r>
          </w:p>
        </w:tc>
      </w:tr>
      <w:tr w:rsidR="00775BF7" w:rsidRPr="006071C5" w14:paraId="07D35AC6" w14:textId="77777777" w:rsidTr="00841FE2">
        <w:tc>
          <w:tcPr>
            <w:tcW w:w="3005" w:type="dxa"/>
          </w:tcPr>
          <w:p w14:paraId="45E33721" w14:textId="77777777" w:rsidR="00775BF7" w:rsidRPr="006071C5" w:rsidRDefault="00775BF7" w:rsidP="00841FE2">
            <w:pPr>
              <w:jc w:val="left"/>
              <w:rPr>
                <w:rFonts w:asciiTheme="minorHAnsi" w:hAnsiTheme="minorHAnsi" w:cstheme="minorHAnsi"/>
              </w:rPr>
            </w:pPr>
          </w:p>
        </w:tc>
        <w:tc>
          <w:tcPr>
            <w:tcW w:w="3005" w:type="dxa"/>
          </w:tcPr>
          <w:p w14:paraId="38C6B405"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 xml:space="preserve">Exposure quantity and duration: how many sessions or episodes or events were intended to be delivered? How long were they intended to last? Time span to deliver the intervention to each unit? </w:t>
            </w:r>
            <w:r w:rsidRPr="006071C5">
              <w:rPr>
                <w:rFonts w:asciiTheme="minorHAnsi" w:hAnsiTheme="minorHAnsi" w:cstheme="minorHAnsi"/>
              </w:rPr>
              <w:lastRenderedPageBreak/>
              <w:t>Activities to increase compliance or adherence (e.g., incentives)</w:t>
            </w:r>
          </w:p>
        </w:tc>
        <w:tc>
          <w:tcPr>
            <w:tcW w:w="3006" w:type="dxa"/>
          </w:tcPr>
          <w:p w14:paraId="39F50526"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lastRenderedPageBreak/>
              <w:t xml:space="preserve">The intervention was delivered over a three-week period, consisting of two structured health education sessions—one per week. Each session lasted approximately 45–60 minutes. The time span for </w:t>
            </w:r>
            <w:r w:rsidRPr="006071C5">
              <w:rPr>
                <w:rFonts w:asciiTheme="minorHAnsi" w:hAnsiTheme="minorHAnsi" w:cstheme="minorHAnsi"/>
              </w:rPr>
              <w:lastRenderedPageBreak/>
              <w:t>each participant group from recruitment to completion was three weeks, including baseline assessment, two sessions, and a post-test. No incentives were offered; however, interactive discussions and printed educational materials were used to enhance participant engagement and adherence.</w:t>
            </w:r>
          </w:p>
        </w:tc>
      </w:tr>
      <w:tr w:rsidR="00775BF7" w:rsidRPr="006071C5" w14:paraId="1F3B5D1A" w14:textId="77777777" w:rsidTr="00841FE2">
        <w:tc>
          <w:tcPr>
            <w:tcW w:w="3005" w:type="dxa"/>
          </w:tcPr>
          <w:p w14:paraId="524E1AD8"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lastRenderedPageBreak/>
              <w:t>Objectives</w:t>
            </w:r>
          </w:p>
        </w:tc>
        <w:tc>
          <w:tcPr>
            <w:tcW w:w="3005" w:type="dxa"/>
          </w:tcPr>
          <w:p w14:paraId="1968C429"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Specific objectives and</w:t>
            </w:r>
          </w:p>
          <w:p w14:paraId="633A1DC0"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hypotheses</w:t>
            </w:r>
          </w:p>
        </w:tc>
        <w:tc>
          <w:tcPr>
            <w:tcW w:w="3006" w:type="dxa"/>
          </w:tcPr>
          <w:p w14:paraId="47944C2E"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The study aimed to evaluate the effectiveness of a structured health education intervention in improving knowledge, attitudes, and practices (KAP) regarding arboviral disease prevention among parents in urban Bengaluru. A secondary objective was to assess its impact on quality of life. The null hypothesis stated that the intervention would have no significant effect on KAP or quality of life, while the alternative hypothesis proposed a significant improvement post-intervention.</w:t>
            </w:r>
          </w:p>
        </w:tc>
      </w:tr>
      <w:tr w:rsidR="00775BF7" w:rsidRPr="006071C5" w14:paraId="5439386F" w14:textId="77777777" w:rsidTr="00841FE2">
        <w:tc>
          <w:tcPr>
            <w:tcW w:w="3005" w:type="dxa"/>
          </w:tcPr>
          <w:p w14:paraId="436F607F"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lastRenderedPageBreak/>
              <w:t>Outcomes</w:t>
            </w:r>
          </w:p>
        </w:tc>
        <w:tc>
          <w:tcPr>
            <w:tcW w:w="3005" w:type="dxa"/>
          </w:tcPr>
          <w:p w14:paraId="22D5CEDE"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Clearly defined primary and</w:t>
            </w:r>
          </w:p>
          <w:p w14:paraId="7F6DCF3F"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secondary outcome measures</w:t>
            </w:r>
          </w:p>
        </w:tc>
        <w:tc>
          <w:tcPr>
            <w:tcW w:w="3006" w:type="dxa"/>
          </w:tcPr>
          <w:p w14:paraId="32B4915C"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The primary outcome measure was the change in Knowledge, Attitudes, and Practices (KAP) scores related to arboviral disease prevention, assessed using a validated KAP questionnaire. The secondary outcome was the change in health-related quality of life, measured using the EQ-5D-5L instrument before and after the intervention.</w:t>
            </w:r>
          </w:p>
        </w:tc>
      </w:tr>
      <w:tr w:rsidR="00775BF7" w:rsidRPr="006071C5" w14:paraId="0EE51A9A" w14:textId="77777777" w:rsidTr="00841FE2">
        <w:tc>
          <w:tcPr>
            <w:tcW w:w="3005" w:type="dxa"/>
          </w:tcPr>
          <w:p w14:paraId="3236D523" w14:textId="77777777" w:rsidR="00775BF7" w:rsidRPr="006071C5" w:rsidRDefault="00775BF7" w:rsidP="00841FE2">
            <w:pPr>
              <w:jc w:val="left"/>
              <w:rPr>
                <w:rFonts w:asciiTheme="minorHAnsi" w:hAnsiTheme="minorHAnsi" w:cstheme="minorHAnsi"/>
              </w:rPr>
            </w:pPr>
          </w:p>
        </w:tc>
        <w:tc>
          <w:tcPr>
            <w:tcW w:w="3005" w:type="dxa"/>
          </w:tcPr>
          <w:p w14:paraId="7C9B7F3F"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Methods used to collect data and any methods used to enhance the quality of</w:t>
            </w:r>
          </w:p>
          <w:p w14:paraId="746D846D"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measurements</w:t>
            </w:r>
          </w:p>
        </w:tc>
        <w:tc>
          <w:tcPr>
            <w:tcW w:w="3006" w:type="dxa"/>
          </w:tcPr>
          <w:p w14:paraId="287E4335" w14:textId="12DFC90F" w:rsidR="00775BF7" w:rsidRPr="006071C5" w:rsidRDefault="00775BF7" w:rsidP="00841FE2">
            <w:pPr>
              <w:jc w:val="left"/>
              <w:rPr>
                <w:rFonts w:asciiTheme="minorHAnsi" w:hAnsiTheme="minorHAnsi" w:cstheme="minorHAnsi"/>
              </w:rPr>
            </w:pPr>
            <w:r w:rsidRPr="006071C5">
              <w:rPr>
                <w:rFonts w:asciiTheme="minorHAnsi" w:hAnsiTheme="minorHAnsi" w:cstheme="minorHAnsi"/>
              </w:rPr>
              <w:t xml:space="preserve">Pre- and post-intervention data were collected using validated KAP and EQ-5D-5L questionnaires. Tools showed high reliability (KAP α = 0.72–0.8; EQ-5D-5L α = 0.82–0.85). Standardized administration in English and Kannada and confidentiality assurances </w:t>
            </w:r>
            <w:r w:rsidR="009053C4" w:rsidRPr="006071C5">
              <w:rPr>
                <w:rFonts w:asciiTheme="minorHAnsi" w:hAnsiTheme="minorHAnsi" w:cstheme="minorHAnsi"/>
              </w:rPr>
              <w:t>was</w:t>
            </w:r>
            <w:r w:rsidRPr="006071C5">
              <w:rPr>
                <w:rFonts w:asciiTheme="minorHAnsi" w:hAnsiTheme="minorHAnsi" w:cstheme="minorHAnsi"/>
              </w:rPr>
              <w:t xml:space="preserve"> used to enhance measurement quality.</w:t>
            </w:r>
          </w:p>
        </w:tc>
      </w:tr>
      <w:tr w:rsidR="00775BF7" w:rsidRPr="006071C5" w14:paraId="0E43CD4C" w14:textId="77777777" w:rsidTr="00841FE2">
        <w:tc>
          <w:tcPr>
            <w:tcW w:w="3005" w:type="dxa"/>
          </w:tcPr>
          <w:p w14:paraId="063A5154" w14:textId="77777777" w:rsidR="00775BF7" w:rsidRPr="006071C5" w:rsidRDefault="00775BF7" w:rsidP="00841FE2">
            <w:pPr>
              <w:jc w:val="left"/>
              <w:rPr>
                <w:rFonts w:asciiTheme="minorHAnsi" w:hAnsiTheme="minorHAnsi" w:cstheme="minorHAnsi"/>
              </w:rPr>
            </w:pPr>
          </w:p>
        </w:tc>
        <w:tc>
          <w:tcPr>
            <w:tcW w:w="3005" w:type="dxa"/>
          </w:tcPr>
          <w:p w14:paraId="064EACA8"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Information on validated</w:t>
            </w:r>
          </w:p>
          <w:p w14:paraId="134251CC"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instruments such as</w:t>
            </w:r>
          </w:p>
          <w:p w14:paraId="7248AB64"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psychometric and biometric properties</w:t>
            </w:r>
          </w:p>
        </w:tc>
        <w:tc>
          <w:tcPr>
            <w:tcW w:w="3006" w:type="dxa"/>
          </w:tcPr>
          <w:p w14:paraId="68E40294"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 xml:space="preserve">The KAP questionnaire demonstrated good reliability (Cronbach’s α = 0.72–0.8) and strong construct validity in Indian </w:t>
            </w:r>
            <w:r w:rsidRPr="006071C5">
              <w:rPr>
                <w:rFonts w:asciiTheme="minorHAnsi" w:hAnsiTheme="minorHAnsi" w:cstheme="minorHAnsi"/>
              </w:rPr>
              <w:lastRenderedPageBreak/>
              <w:t>urban settings. The EQ-5D-5L tool had high internal consistency (α = 0.82–0.85) and is validated for use in the Indian population to assess quality of life across five dimensions.</w:t>
            </w:r>
          </w:p>
        </w:tc>
      </w:tr>
      <w:tr w:rsidR="00775BF7" w:rsidRPr="006071C5" w14:paraId="4C4B4420" w14:textId="77777777" w:rsidTr="00841FE2">
        <w:tc>
          <w:tcPr>
            <w:tcW w:w="3005" w:type="dxa"/>
          </w:tcPr>
          <w:p w14:paraId="5A2794CE"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lastRenderedPageBreak/>
              <w:t>Sample size</w:t>
            </w:r>
          </w:p>
        </w:tc>
        <w:tc>
          <w:tcPr>
            <w:tcW w:w="3005" w:type="dxa"/>
          </w:tcPr>
          <w:p w14:paraId="3B848584"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How sample size was</w:t>
            </w:r>
          </w:p>
          <w:p w14:paraId="6602FB42"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determined and, when</w:t>
            </w:r>
          </w:p>
          <w:p w14:paraId="1B6DF8CF"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applicable, explanation of any interim analyses and</w:t>
            </w:r>
          </w:p>
          <w:p w14:paraId="64EECAE7"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stopping rules</w:t>
            </w:r>
          </w:p>
        </w:tc>
        <w:tc>
          <w:tcPr>
            <w:tcW w:w="3006" w:type="dxa"/>
          </w:tcPr>
          <w:p w14:paraId="37EAF87A"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Sample size was calculated using an expected effect size of 0.67, SD of 15, and a minimum detectable difference of 10, ensuring 80% power at a 5% significance level. A 10% for attrition led to a final sample size of 60 (30 per group).</w:t>
            </w:r>
          </w:p>
        </w:tc>
      </w:tr>
      <w:tr w:rsidR="00775BF7" w:rsidRPr="006071C5" w14:paraId="515AECFD" w14:textId="77777777" w:rsidTr="00841FE2">
        <w:tc>
          <w:tcPr>
            <w:tcW w:w="3005" w:type="dxa"/>
          </w:tcPr>
          <w:p w14:paraId="7E81575D"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Assignment method</w:t>
            </w:r>
          </w:p>
        </w:tc>
        <w:tc>
          <w:tcPr>
            <w:tcW w:w="3005" w:type="dxa"/>
          </w:tcPr>
          <w:p w14:paraId="43017F86"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Unit of assignment (the unit being assigned to study condition, e.g., individual, group, community)</w:t>
            </w:r>
          </w:p>
        </w:tc>
        <w:tc>
          <w:tcPr>
            <w:tcW w:w="3006" w:type="dxa"/>
          </w:tcPr>
          <w:p w14:paraId="2B861185"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The unit of assignment was the individual parent of adolescents aged 12–15 years residing in urban Bengaluru. Participants were assigned to the intervention or comparator group based on their baseline KAP scores, with those scoring below 75% included in the study to receive the health education intervention.</w:t>
            </w:r>
          </w:p>
        </w:tc>
      </w:tr>
      <w:tr w:rsidR="00775BF7" w:rsidRPr="006071C5" w14:paraId="4ABDD922" w14:textId="77777777" w:rsidTr="00841FE2">
        <w:tc>
          <w:tcPr>
            <w:tcW w:w="3005" w:type="dxa"/>
          </w:tcPr>
          <w:p w14:paraId="28427F4D" w14:textId="77777777" w:rsidR="00775BF7" w:rsidRPr="006071C5" w:rsidRDefault="00775BF7" w:rsidP="00841FE2">
            <w:pPr>
              <w:jc w:val="left"/>
              <w:rPr>
                <w:rFonts w:asciiTheme="minorHAnsi" w:hAnsiTheme="minorHAnsi" w:cstheme="minorHAnsi"/>
              </w:rPr>
            </w:pPr>
          </w:p>
        </w:tc>
        <w:tc>
          <w:tcPr>
            <w:tcW w:w="3005" w:type="dxa"/>
          </w:tcPr>
          <w:p w14:paraId="1A1A7B33" w14:textId="37C1D506" w:rsidR="00775BF7" w:rsidRPr="006071C5" w:rsidRDefault="00775BF7" w:rsidP="00841FE2">
            <w:pPr>
              <w:jc w:val="left"/>
              <w:rPr>
                <w:rFonts w:asciiTheme="minorHAnsi" w:hAnsiTheme="minorHAnsi" w:cstheme="minorHAnsi"/>
              </w:rPr>
            </w:pPr>
            <w:r w:rsidRPr="006071C5">
              <w:rPr>
                <w:rFonts w:asciiTheme="minorHAnsi" w:hAnsiTheme="minorHAnsi" w:cstheme="minorHAnsi"/>
              </w:rPr>
              <w:t>Method used to assign units to study conditions, including details of any restriction (</w:t>
            </w:r>
            <w:r w:rsidR="009053C4" w:rsidRPr="006071C5">
              <w:rPr>
                <w:rFonts w:asciiTheme="minorHAnsi" w:hAnsiTheme="minorHAnsi" w:cstheme="minorHAnsi"/>
              </w:rPr>
              <w:t>e.g., blocking</w:t>
            </w:r>
            <w:r w:rsidRPr="006071C5">
              <w:rPr>
                <w:rFonts w:asciiTheme="minorHAnsi" w:hAnsiTheme="minorHAnsi" w:cstheme="minorHAnsi"/>
              </w:rPr>
              <w:t>, stratification, minimization)</w:t>
            </w:r>
          </w:p>
        </w:tc>
        <w:tc>
          <w:tcPr>
            <w:tcW w:w="3006" w:type="dxa"/>
          </w:tcPr>
          <w:p w14:paraId="04F51F49"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 xml:space="preserve"> Participants were assigned to study conditions based on their baseline KAP scores; those scoring below 75% were included and divided into intervention and comparator groups. No blocking, or stratification was applied.</w:t>
            </w:r>
          </w:p>
        </w:tc>
      </w:tr>
      <w:tr w:rsidR="00775BF7" w:rsidRPr="006071C5" w14:paraId="0A72DA9F" w14:textId="77777777" w:rsidTr="00841FE2">
        <w:tc>
          <w:tcPr>
            <w:tcW w:w="3005" w:type="dxa"/>
          </w:tcPr>
          <w:p w14:paraId="703FCE3B" w14:textId="77777777" w:rsidR="00775BF7" w:rsidRPr="006071C5" w:rsidRDefault="00775BF7" w:rsidP="00841FE2">
            <w:pPr>
              <w:jc w:val="left"/>
              <w:rPr>
                <w:rFonts w:asciiTheme="minorHAnsi" w:hAnsiTheme="minorHAnsi" w:cstheme="minorHAnsi"/>
              </w:rPr>
            </w:pPr>
          </w:p>
        </w:tc>
        <w:tc>
          <w:tcPr>
            <w:tcW w:w="3005" w:type="dxa"/>
          </w:tcPr>
          <w:p w14:paraId="5AD7A851"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Inclusion of aspects employed to help minimize potential bias induced due to non-randomization (e.g., matching)</w:t>
            </w:r>
          </w:p>
        </w:tc>
        <w:tc>
          <w:tcPr>
            <w:tcW w:w="3006" w:type="dxa"/>
          </w:tcPr>
          <w:p w14:paraId="1E610112"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To minimize bias due to non-randomization, both groups were matched based on similar baseline characteristics, including age and KAP scores. Validated tools and standardized data collection procedures were used to ensure consistency across groups.</w:t>
            </w:r>
          </w:p>
        </w:tc>
      </w:tr>
      <w:tr w:rsidR="00775BF7" w:rsidRPr="006071C5" w14:paraId="6317C44A" w14:textId="77777777" w:rsidTr="00841FE2">
        <w:tc>
          <w:tcPr>
            <w:tcW w:w="3005" w:type="dxa"/>
          </w:tcPr>
          <w:p w14:paraId="7339B962"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Blinding</w:t>
            </w:r>
          </w:p>
        </w:tc>
        <w:tc>
          <w:tcPr>
            <w:tcW w:w="3005" w:type="dxa"/>
          </w:tcPr>
          <w:p w14:paraId="0889EA94"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Whether or not participants, those administering the</w:t>
            </w:r>
          </w:p>
          <w:p w14:paraId="2DF8DA8D"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interventions, and those</w:t>
            </w:r>
          </w:p>
          <w:p w14:paraId="3EE52233" w14:textId="68379A7D" w:rsidR="00775BF7" w:rsidRPr="006071C5" w:rsidRDefault="00775BF7" w:rsidP="00841FE2">
            <w:pPr>
              <w:jc w:val="left"/>
              <w:rPr>
                <w:rFonts w:asciiTheme="minorHAnsi" w:hAnsiTheme="minorHAnsi" w:cstheme="minorHAnsi"/>
              </w:rPr>
            </w:pPr>
            <w:r w:rsidRPr="006071C5">
              <w:rPr>
                <w:rFonts w:asciiTheme="minorHAnsi" w:hAnsiTheme="minorHAnsi" w:cstheme="minorHAnsi"/>
              </w:rPr>
              <w:t xml:space="preserve">assessing the outcomes were blinded to study condition assignment; if </w:t>
            </w:r>
            <w:r w:rsidR="009053C4" w:rsidRPr="006071C5">
              <w:rPr>
                <w:rFonts w:asciiTheme="minorHAnsi" w:hAnsiTheme="minorHAnsi" w:cstheme="minorHAnsi"/>
              </w:rPr>
              <w:t>so, statement</w:t>
            </w:r>
            <w:r w:rsidRPr="006071C5">
              <w:rPr>
                <w:rFonts w:asciiTheme="minorHAnsi" w:hAnsiTheme="minorHAnsi" w:cstheme="minorHAnsi"/>
              </w:rPr>
              <w:t xml:space="preserve"> regarding how the blinding was accomplished and how it was assessed.</w:t>
            </w:r>
          </w:p>
        </w:tc>
        <w:tc>
          <w:tcPr>
            <w:tcW w:w="3006" w:type="dxa"/>
          </w:tcPr>
          <w:p w14:paraId="775DC33C"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 xml:space="preserve">Blinding was not formally employed due to the nature of the intervention. However, participants were not informed of group assignment criteria. The same investigator administered the intervention and conducted assessments using standardized, validated </w:t>
            </w:r>
            <w:r w:rsidRPr="006071C5">
              <w:rPr>
                <w:rFonts w:asciiTheme="minorHAnsi" w:hAnsiTheme="minorHAnsi" w:cstheme="minorHAnsi"/>
              </w:rPr>
              <w:lastRenderedPageBreak/>
              <w:t>tools to reduce measurement bias.</w:t>
            </w:r>
          </w:p>
        </w:tc>
      </w:tr>
      <w:tr w:rsidR="00775BF7" w:rsidRPr="006071C5" w14:paraId="72FAE46C" w14:textId="77777777" w:rsidTr="00841FE2">
        <w:tc>
          <w:tcPr>
            <w:tcW w:w="3005" w:type="dxa"/>
          </w:tcPr>
          <w:p w14:paraId="21D22F84"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lastRenderedPageBreak/>
              <w:t>Unit of analysis</w:t>
            </w:r>
          </w:p>
        </w:tc>
        <w:tc>
          <w:tcPr>
            <w:tcW w:w="3005" w:type="dxa"/>
          </w:tcPr>
          <w:p w14:paraId="17758C42"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Description of the smallest unit analysed to assess</w:t>
            </w:r>
          </w:p>
          <w:p w14:paraId="13928763"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intervention effects (e.g.,</w:t>
            </w:r>
          </w:p>
          <w:p w14:paraId="77609869"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individual, group, or</w:t>
            </w:r>
          </w:p>
          <w:p w14:paraId="4FC3DDDE"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community)</w:t>
            </w:r>
          </w:p>
        </w:tc>
        <w:tc>
          <w:tcPr>
            <w:tcW w:w="3006" w:type="dxa"/>
          </w:tcPr>
          <w:p w14:paraId="282372E1"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The smallest unit analysed was the individual parent. Analyses were based on individual-level responses to the KAP and EQ-5D-5L questionnaires.</w:t>
            </w:r>
          </w:p>
        </w:tc>
      </w:tr>
      <w:tr w:rsidR="00775BF7" w:rsidRPr="006071C5" w14:paraId="6D39A135" w14:textId="77777777" w:rsidTr="00841FE2">
        <w:tc>
          <w:tcPr>
            <w:tcW w:w="3005" w:type="dxa"/>
          </w:tcPr>
          <w:p w14:paraId="1E19F667" w14:textId="77777777" w:rsidR="00775BF7" w:rsidRPr="006071C5" w:rsidRDefault="00775BF7" w:rsidP="00841FE2">
            <w:pPr>
              <w:jc w:val="left"/>
              <w:rPr>
                <w:rFonts w:asciiTheme="minorHAnsi" w:hAnsiTheme="minorHAnsi" w:cstheme="minorHAnsi"/>
              </w:rPr>
            </w:pPr>
          </w:p>
        </w:tc>
        <w:tc>
          <w:tcPr>
            <w:tcW w:w="3005" w:type="dxa"/>
          </w:tcPr>
          <w:p w14:paraId="650E87EF"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If the unit of analysis differs</w:t>
            </w:r>
          </w:p>
          <w:p w14:paraId="7981D6B4"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from the unit of assignment, the analytical method used to account for this (e.g., adjusting the standard error estimates by the design effect or using</w:t>
            </w:r>
          </w:p>
          <w:p w14:paraId="0516B367"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multilevel analysis)</w:t>
            </w:r>
          </w:p>
        </w:tc>
        <w:tc>
          <w:tcPr>
            <w:tcW w:w="3006" w:type="dxa"/>
          </w:tcPr>
          <w:p w14:paraId="52ED1B35"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NA</w:t>
            </w:r>
          </w:p>
        </w:tc>
      </w:tr>
      <w:tr w:rsidR="00775BF7" w:rsidRPr="006071C5" w14:paraId="1D7467CB" w14:textId="77777777" w:rsidTr="00841FE2">
        <w:tc>
          <w:tcPr>
            <w:tcW w:w="3005" w:type="dxa"/>
          </w:tcPr>
          <w:p w14:paraId="56EA701B"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Statistical analysis</w:t>
            </w:r>
          </w:p>
        </w:tc>
        <w:tc>
          <w:tcPr>
            <w:tcW w:w="3005" w:type="dxa"/>
          </w:tcPr>
          <w:p w14:paraId="7ADB8D67"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Statistical methods used to</w:t>
            </w:r>
          </w:p>
          <w:p w14:paraId="53CCA134"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compare study groups for</w:t>
            </w:r>
          </w:p>
          <w:p w14:paraId="6C511A3C"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primary methods</w:t>
            </w:r>
          </w:p>
          <w:p w14:paraId="7E686189"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outcome(s), including complex methods of correlated data</w:t>
            </w:r>
          </w:p>
        </w:tc>
        <w:tc>
          <w:tcPr>
            <w:tcW w:w="3006" w:type="dxa"/>
          </w:tcPr>
          <w:p w14:paraId="0572BAC9"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Non-parametric tests were used due to the small sample size and non-normal data. The Wilcoxon Signed-Rank Test assessed within-group changes, and the Mann-Whitney U Test compared post-intervention scores between groups for the primary outcome (KAP scores).</w:t>
            </w:r>
          </w:p>
        </w:tc>
      </w:tr>
      <w:tr w:rsidR="00775BF7" w:rsidRPr="006071C5" w14:paraId="1ACFC277" w14:textId="77777777" w:rsidTr="00841FE2">
        <w:tc>
          <w:tcPr>
            <w:tcW w:w="3005" w:type="dxa"/>
          </w:tcPr>
          <w:p w14:paraId="15BEA81F" w14:textId="77777777" w:rsidR="00775BF7" w:rsidRPr="006071C5" w:rsidRDefault="00775BF7" w:rsidP="00841FE2">
            <w:pPr>
              <w:jc w:val="left"/>
              <w:rPr>
                <w:rFonts w:asciiTheme="minorHAnsi" w:hAnsiTheme="minorHAnsi" w:cstheme="minorHAnsi"/>
              </w:rPr>
            </w:pPr>
          </w:p>
        </w:tc>
        <w:tc>
          <w:tcPr>
            <w:tcW w:w="3005" w:type="dxa"/>
          </w:tcPr>
          <w:p w14:paraId="4E446AC7"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Statistical methods used for additional analyses, such as a subgroup analyses and adjusted analysis</w:t>
            </w:r>
          </w:p>
        </w:tc>
        <w:tc>
          <w:tcPr>
            <w:tcW w:w="3006" w:type="dxa"/>
          </w:tcPr>
          <w:p w14:paraId="31C13301" w14:textId="60DA0F85" w:rsidR="00775BF7" w:rsidRPr="006071C5" w:rsidRDefault="00775BF7" w:rsidP="00841FE2">
            <w:pPr>
              <w:jc w:val="left"/>
              <w:rPr>
                <w:rFonts w:asciiTheme="minorHAnsi" w:hAnsiTheme="minorHAnsi" w:cstheme="minorHAnsi"/>
              </w:rPr>
            </w:pPr>
            <w:r w:rsidRPr="006071C5">
              <w:rPr>
                <w:rFonts w:asciiTheme="minorHAnsi" w:hAnsiTheme="minorHAnsi" w:cstheme="minorHAnsi"/>
              </w:rPr>
              <w:t xml:space="preserve">For additional </w:t>
            </w:r>
            <w:r w:rsidR="009053C4" w:rsidRPr="006071C5">
              <w:rPr>
                <w:rFonts w:asciiTheme="minorHAnsi" w:hAnsiTheme="minorHAnsi" w:cstheme="minorHAnsi"/>
              </w:rPr>
              <w:t>analysis</w:t>
            </w:r>
            <w:r w:rsidRPr="006071C5">
              <w:rPr>
                <w:rFonts w:asciiTheme="minorHAnsi" w:hAnsiTheme="minorHAnsi" w:cstheme="minorHAnsi"/>
              </w:rPr>
              <w:t xml:space="preserve"> subgroup and adjusted analyses were not performed due to the </w:t>
            </w:r>
            <w:r w:rsidRPr="006071C5">
              <w:rPr>
                <w:rFonts w:asciiTheme="minorHAnsi" w:hAnsiTheme="minorHAnsi" w:cstheme="minorHAnsi"/>
              </w:rPr>
              <w:lastRenderedPageBreak/>
              <w:t>study’s sample size and design.</w:t>
            </w:r>
          </w:p>
          <w:p w14:paraId="5BCE779E" w14:textId="77777777" w:rsidR="00775BF7" w:rsidRPr="006071C5" w:rsidRDefault="00775BF7" w:rsidP="00841FE2">
            <w:pPr>
              <w:jc w:val="left"/>
              <w:rPr>
                <w:rFonts w:asciiTheme="minorHAnsi" w:hAnsiTheme="minorHAnsi" w:cstheme="minorHAnsi"/>
              </w:rPr>
            </w:pPr>
          </w:p>
        </w:tc>
      </w:tr>
      <w:tr w:rsidR="00775BF7" w:rsidRPr="006071C5" w14:paraId="4D1AF39B" w14:textId="77777777" w:rsidTr="00841FE2">
        <w:tc>
          <w:tcPr>
            <w:tcW w:w="3005" w:type="dxa"/>
          </w:tcPr>
          <w:p w14:paraId="2F640F72" w14:textId="77777777" w:rsidR="00775BF7" w:rsidRPr="006071C5" w:rsidRDefault="00775BF7" w:rsidP="00841FE2">
            <w:pPr>
              <w:jc w:val="left"/>
              <w:rPr>
                <w:rFonts w:asciiTheme="minorHAnsi" w:hAnsiTheme="minorHAnsi" w:cstheme="minorHAnsi"/>
              </w:rPr>
            </w:pPr>
          </w:p>
        </w:tc>
        <w:tc>
          <w:tcPr>
            <w:tcW w:w="3005" w:type="dxa"/>
          </w:tcPr>
          <w:p w14:paraId="2CB15571"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Methods for imputing missing data, if used</w:t>
            </w:r>
          </w:p>
        </w:tc>
        <w:tc>
          <w:tcPr>
            <w:tcW w:w="3006" w:type="dxa"/>
          </w:tcPr>
          <w:p w14:paraId="2A279F67"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Missing data were handled using complete case analysis, participants with incomplete pre or post intervention data were excluded, so no imputation methods were applied</w:t>
            </w:r>
          </w:p>
        </w:tc>
      </w:tr>
      <w:tr w:rsidR="00775BF7" w:rsidRPr="006071C5" w14:paraId="27D6CA0A" w14:textId="77777777" w:rsidTr="00841FE2">
        <w:tc>
          <w:tcPr>
            <w:tcW w:w="3005" w:type="dxa"/>
          </w:tcPr>
          <w:p w14:paraId="1E005C33" w14:textId="77777777" w:rsidR="00775BF7" w:rsidRPr="006071C5" w:rsidRDefault="00775BF7" w:rsidP="00841FE2">
            <w:pPr>
              <w:jc w:val="left"/>
              <w:rPr>
                <w:rFonts w:asciiTheme="minorHAnsi" w:hAnsiTheme="minorHAnsi" w:cstheme="minorHAnsi"/>
              </w:rPr>
            </w:pPr>
          </w:p>
        </w:tc>
        <w:tc>
          <w:tcPr>
            <w:tcW w:w="3005" w:type="dxa"/>
          </w:tcPr>
          <w:p w14:paraId="0EDDD0AB"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Statistical software or</w:t>
            </w:r>
          </w:p>
          <w:p w14:paraId="6E9AF62D"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programs used</w:t>
            </w:r>
          </w:p>
        </w:tc>
        <w:tc>
          <w:tcPr>
            <w:tcW w:w="3006" w:type="dxa"/>
          </w:tcPr>
          <w:p w14:paraId="49E3162E"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R software version 4.5.0(R Foundation for Statistical Computing, Vienna, Austria</w:t>
            </w:r>
          </w:p>
        </w:tc>
      </w:tr>
      <w:tr w:rsidR="00775BF7" w:rsidRPr="006071C5" w14:paraId="1E5824E7" w14:textId="77777777" w:rsidTr="00841FE2">
        <w:tc>
          <w:tcPr>
            <w:tcW w:w="9016" w:type="dxa"/>
            <w:gridSpan w:val="3"/>
          </w:tcPr>
          <w:p w14:paraId="7611A79D"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Results</w:t>
            </w:r>
          </w:p>
        </w:tc>
      </w:tr>
      <w:tr w:rsidR="00775BF7" w:rsidRPr="006071C5" w14:paraId="57DFB63D" w14:textId="77777777" w:rsidTr="00841FE2">
        <w:tc>
          <w:tcPr>
            <w:tcW w:w="3005" w:type="dxa"/>
          </w:tcPr>
          <w:p w14:paraId="368C76EE"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Participant flow</w:t>
            </w:r>
          </w:p>
        </w:tc>
        <w:tc>
          <w:tcPr>
            <w:tcW w:w="3005" w:type="dxa"/>
          </w:tcPr>
          <w:p w14:paraId="45BB471A"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Enrolment: the numbers of</w:t>
            </w:r>
          </w:p>
          <w:p w14:paraId="3CA38497"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participants screened for</w:t>
            </w:r>
          </w:p>
          <w:p w14:paraId="68226E05"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eligibility, found to be eligible or not eligible, declined to be enrolled, and enrolled in the study</w:t>
            </w:r>
          </w:p>
          <w:p w14:paraId="0BE39581"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Assignment: the numbers of participants assigned to a study condition</w:t>
            </w:r>
          </w:p>
          <w:p w14:paraId="34EB279E"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Allocation and intervention</w:t>
            </w:r>
          </w:p>
          <w:p w14:paraId="3C5BA341"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exposure: the number of</w:t>
            </w:r>
          </w:p>
          <w:p w14:paraId="2292B9B3"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participants assigned to each study condition and the number of participants who received each intervention</w:t>
            </w:r>
          </w:p>
        </w:tc>
        <w:tc>
          <w:tcPr>
            <w:tcW w:w="3006" w:type="dxa"/>
          </w:tcPr>
          <w:p w14:paraId="71EACDA2"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 xml:space="preserve">A total of 120 participants were initially screened for eligibility. Based on predefined criteria, 60 were found eligible and enrolled—30 each in the intervention and comparator groups. All enrolled participants completed the assigned study condition. In the intervention group, all 30 participants attended both health education sessions and completed pre- and post-intervention assessments. Similarly, all </w:t>
            </w:r>
            <w:r w:rsidRPr="006071C5">
              <w:rPr>
                <w:rFonts w:asciiTheme="minorHAnsi" w:hAnsiTheme="minorHAnsi" w:cstheme="minorHAnsi"/>
              </w:rPr>
              <w:lastRenderedPageBreak/>
              <w:t>30 in the comparator group completed both assessments without receiving any intervention.</w:t>
            </w:r>
          </w:p>
        </w:tc>
      </w:tr>
      <w:tr w:rsidR="00775BF7" w:rsidRPr="006071C5" w14:paraId="005FD562" w14:textId="77777777" w:rsidTr="00841FE2">
        <w:tc>
          <w:tcPr>
            <w:tcW w:w="3005" w:type="dxa"/>
          </w:tcPr>
          <w:p w14:paraId="3C5F1BB3" w14:textId="77777777" w:rsidR="00775BF7" w:rsidRPr="006071C5" w:rsidRDefault="00775BF7" w:rsidP="00841FE2">
            <w:pPr>
              <w:jc w:val="left"/>
              <w:rPr>
                <w:rFonts w:asciiTheme="minorHAnsi" w:hAnsiTheme="minorHAnsi" w:cstheme="minorHAnsi"/>
              </w:rPr>
            </w:pPr>
          </w:p>
        </w:tc>
        <w:tc>
          <w:tcPr>
            <w:tcW w:w="3005" w:type="dxa"/>
          </w:tcPr>
          <w:p w14:paraId="27B67E31"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Follow-up: the number of</w:t>
            </w:r>
          </w:p>
          <w:p w14:paraId="1F13E150"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participants who completed the follow- up or did not complete the follow-up (i.e., lost to follow-up), by study</w:t>
            </w:r>
          </w:p>
          <w:p w14:paraId="58B786CA"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condition</w:t>
            </w:r>
          </w:p>
        </w:tc>
        <w:tc>
          <w:tcPr>
            <w:tcW w:w="3006" w:type="dxa"/>
          </w:tcPr>
          <w:p w14:paraId="13BACD3A"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NA</w:t>
            </w:r>
          </w:p>
        </w:tc>
      </w:tr>
      <w:tr w:rsidR="00775BF7" w:rsidRPr="006071C5" w14:paraId="3177ECC9" w14:textId="77777777" w:rsidTr="00841FE2">
        <w:tc>
          <w:tcPr>
            <w:tcW w:w="3005" w:type="dxa"/>
          </w:tcPr>
          <w:p w14:paraId="7789C3A0" w14:textId="77777777" w:rsidR="00775BF7" w:rsidRPr="006071C5" w:rsidRDefault="00775BF7" w:rsidP="00841FE2">
            <w:pPr>
              <w:jc w:val="left"/>
              <w:rPr>
                <w:rFonts w:asciiTheme="minorHAnsi" w:hAnsiTheme="minorHAnsi" w:cstheme="minorHAnsi"/>
              </w:rPr>
            </w:pPr>
          </w:p>
        </w:tc>
        <w:tc>
          <w:tcPr>
            <w:tcW w:w="3005" w:type="dxa"/>
          </w:tcPr>
          <w:p w14:paraId="7B22C5B6"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Analysis: the number of</w:t>
            </w:r>
          </w:p>
          <w:p w14:paraId="0007D7A0"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participants included in or</w:t>
            </w:r>
          </w:p>
          <w:p w14:paraId="47E7B605"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excluded from the main</w:t>
            </w:r>
          </w:p>
          <w:p w14:paraId="1F3EADB2"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analysis, by study condition</w:t>
            </w:r>
          </w:p>
        </w:tc>
        <w:tc>
          <w:tcPr>
            <w:tcW w:w="3006" w:type="dxa"/>
          </w:tcPr>
          <w:p w14:paraId="429A388A"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All 60 participants—30 in the intervention group and 30 in the comparator group—were included in the main analysis. No participants were excluded, and there were no dropouts or missing data in either group.</w:t>
            </w:r>
          </w:p>
        </w:tc>
      </w:tr>
      <w:tr w:rsidR="00775BF7" w:rsidRPr="006071C5" w14:paraId="65C151CA" w14:textId="77777777" w:rsidTr="00841FE2">
        <w:tc>
          <w:tcPr>
            <w:tcW w:w="3005" w:type="dxa"/>
          </w:tcPr>
          <w:p w14:paraId="60C3AF03" w14:textId="77777777" w:rsidR="00775BF7" w:rsidRPr="006071C5" w:rsidRDefault="00775BF7" w:rsidP="00841FE2">
            <w:pPr>
              <w:jc w:val="left"/>
              <w:rPr>
                <w:rFonts w:asciiTheme="minorHAnsi" w:hAnsiTheme="minorHAnsi" w:cstheme="minorHAnsi"/>
              </w:rPr>
            </w:pPr>
          </w:p>
        </w:tc>
        <w:tc>
          <w:tcPr>
            <w:tcW w:w="3005" w:type="dxa"/>
          </w:tcPr>
          <w:p w14:paraId="4E1DF7AE"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Description of protocol</w:t>
            </w:r>
          </w:p>
          <w:p w14:paraId="6EB3B622"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deviations from study as</w:t>
            </w:r>
          </w:p>
          <w:p w14:paraId="7F5F3414"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planned, along with reasons</w:t>
            </w:r>
          </w:p>
        </w:tc>
        <w:tc>
          <w:tcPr>
            <w:tcW w:w="3006" w:type="dxa"/>
          </w:tcPr>
          <w:p w14:paraId="025DDBAE"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There were no protocol deviations during the study. All procedures, including recruitment, intervention delivery, and data collection, were carried out as planned.</w:t>
            </w:r>
          </w:p>
        </w:tc>
      </w:tr>
      <w:tr w:rsidR="00775BF7" w:rsidRPr="006071C5" w14:paraId="706A50B4" w14:textId="77777777" w:rsidTr="00841FE2">
        <w:tc>
          <w:tcPr>
            <w:tcW w:w="3005" w:type="dxa"/>
          </w:tcPr>
          <w:p w14:paraId="446B9956"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Recruitment</w:t>
            </w:r>
          </w:p>
        </w:tc>
        <w:tc>
          <w:tcPr>
            <w:tcW w:w="3005" w:type="dxa"/>
          </w:tcPr>
          <w:p w14:paraId="6EE658BF"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Dates defining the periods of recruitment and follow-up</w:t>
            </w:r>
          </w:p>
        </w:tc>
        <w:tc>
          <w:tcPr>
            <w:tcW w:w="3006" w:type="dxa"/>
          </w:tcPr>
          <w:p w14:paraId="15E795CB"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 xml:space="preserve">Recruitment and baseline assessments were conducted in March 2025, while the intervention sessions and (post-test) </w:t>
            </w:r>
            <w:r w:rsidRPr="006071C5">
              <w:rPr>
                <w:rFonts w:asciiTheme="minorHAnsi" w:hAnsiTheme="minorHAnsi" w:cstheme="minorHAnsi"/>
              </w:rPr>
              <w:lastRenderedPageBreak/>
              <w:t>assessments were completed by May 2025.</w:t>
            </w:r>
          </w:p>
        </w:tc>
      </w:tr>
      <w:tr w:rsidR="00775BF7" w:rsidRPr="006071C5" w14:paraId="1A8493DF" w14:textId="77777777" w:rsidTr="00841FE2">
        <w:tc>
          <w:tcPr>
            <w:tcW w:w="3005" w:type="dxa"/>
          </w:tcPr>
          <w:p w14:paraId="39A6FFEE"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lastRenderedPageBreak/>
              <w:t>Baseline data</w:t>
            </w:r>
          </w:p>
        </w:tc>
        <w:tc>
          <w:tcPr>
            <w:tcW w:w="3005" w:type="dxa"/>
          </w:tcPr>
          <w:p w14:paraId="56B50EB9"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Baseline demographic and</w:t>
            </w:r>
          </w:p>
          <w:p w14:paraId="7B02B10F"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clinical characteristics of</w:t>
            </w:r>
          </w:p>
          <w:p w14:paraId="314F9532"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participants in each study</w:t>
            </w:r>
          </w:p>
          <w:p w14:paraId="551B65AC"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condition</w:t>
            </w:r>
          </w:p>
        </w:tc>
        <w:tc>
          <w:tcPr>
            <w:tcW w:w="3006" w:type="dxa"/>
          </w:tcPr>
          <w:p w14:paraId="17184E67"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Baseline demographic data, including age, gender, and education level, were collected for all participants in both groups. The intervention and comparator groups were comparable in terms of age distribution, gender ratio, and educational background. Clinical characteristics were not applicable as the study focused on health education outcomes.</w:t>
            </w:r>
          </w:p>
        </w:tc>
      </w:tr>
      <w:tr w:rsidR="00775BF7" w:rsidRPr="006071C5" w14:paraId="41828D38" w14:textId="77777777" w:rsidTr="00841FE2">
        <w:tc>
          <w:tcPr>
            <w:tcW w:w="3005" w:type="dxa"/>
          </w:tcPr>
          <w:p w14:paraId="6B298C4E" w14:textId="77777777" w:rsidR="00775BF7" w:rsidRPr="006071C5" w:rsidRDefault="00775BF7" w:rsidP="00841FE2">
            <w:pPr>
              <w:jc w:val="left"/>
              <w:rPr>
                <w:rFonts w:asciiTheme="minorHAnsi" w:hAnsiTheme="minorHAnsi" w:cstheme="minorHAnsi"/>
              </w:rPr>
            </w:pPr>
          </w:p>
        </w:tc>
        <w:tc>
          <w:tcPr>
            <w:tcW w:w="3005" w:type="dxa"/>
          </w:tcPr>
          <w:p w14:paraId="33F87250"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Baseline characteristics for</w:t>
            </w:r>
          </w:p>
          <w:p w14:paraId="5D464924"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each study condition relevant to specific disease prevention research</w:t>
            </w:r>
          </w:p>
        </w:tc>
        <w:tc>
          <w:tcPr>
            <w:tcW w:w="3006" w:type="dxa"/>
          </w:tcPr>
          <w:p w14:paraId="6C70E15D"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At baseline, both the intervention and comparator groups had similar KAP scores related to arboviral disease prevention, indicating no significant differences in initial knowledge or practices. This comparability supports the internal validity of the intervention’s impact.</w:t>
            </w:r>
          </w:p>
        </w:tc>
      </w:tr>
      <w:tr w:rsidR="00775BF7" w:rsidRPr="006071C5" w14:paraId="0EA4F000" w14:textId="77777777" w:rsidTr="00841FE2">
        <w:tc>
          <w:tcPr>
            <w:tcW w:w="3005" w:type="dxa"/>
          </w:tcPr>
          <w:p w14:paraId="48706E7E" w14:textId="77777777" w:rsidR="00775BF7" w:rsidRPr="006071C5" w:rsidRDefault="00775BF7" w:rsidP="00841FE2">
            <w:pPr>
              <w:jc w:val="left"/>
              <w:rPr>
                <w:rFonts w:asciiTheme="minorHAnsi" w:hAnsiTheme="minorHAnsi" w:cstheme="minorHAnsi"/>
              </w:rPr>
            </w:pPr>
          </w:p>
        </w:tc>
        <w:tc>
          <w:tcPr>
            <w:tcW w:w="3005" w:type="dxa"/>
          </w:tcPr>
          <w:p w14:paraId="1C4BA6C0"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 xml:space="preserve">Baseline comparisons of those lost to follow-up and </w:t>
            </w:r>
            <w:r w:rsidRPr="006071C5">
              <w:rPr>
                <w:rFonts w:asciiTheme="minorHAnsi" w:hAnsiTheme="minorHAnsi" w:cstheme="minorHAnsi"/>
              </w:rPr>
              <w:lastRenderedPageBreak/>
              <w:t>those retained, overall and by study condition</w:t>
            </w:r>
          </w:p>
        </w:tc>
        <w:tc>
          <w:tcPr>
            <w:tcW w:w="3006" w:type="dxa"/>
          </w:tcPr>
          <w:p w14:paraId="1D48D876"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lastRenderedPageBreak/>
              <w:t>NA</w:t>
            </w:r>
          </w:p>
        </w:tc>
      </w:tr>
      <w:tr w:rsidR="00775BF7" w:rsidRPr="006071C5" w14:paraId="0D78C77B" w14:textId="77777777" w:rsidTr="00841FE2">
        <w:tc>
          <w:tcPr>
            <w:tcW w:w="3005" w:type="dxa"/>
          </w:tcPr>
          <w:p w14:paraId="6897EE43" w14:textId="77777777" w:rsidR="00775BF7" w:rsidRPr="006071C5" w:rsidRDefault="00775BF7" w:rsidP="00841FE2">
            <w:pPr>
              <w:jc w:val="left"/>
              <w:rPr>
                <w:rFonts w:asciiTheme="minorHAnsi" w:hAnsiTheme="minorHAnsi" w:cstheme="minorHAnsi"/>
              </w:rPr>
            </w:pPr>
          </w:p>
        </w:tc>
        <w:tc>
          <w:tcPr>
            <w:tcW w:w="3005" w:type="dxa"/>
          </w:tcPr>
          <w:p w14:paraId="279C7E5F"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Comparison between study</w:t>
            </w:r>
          </w:p>
          <w:p w14:paraId="39A8C9EB"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population at baseline and</w:t>
            </w:r>
          </w:p>
          <w:p w14:paraId="1B571A2F"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target population of interest</w:t>
            </w:r>
          </w:p>
        </w:tc>
        <w:tc>
          <w:tcPr>
            <w:tcW w:w="3006" w:type="dxa"/>
          </w:tcPr>
          <w:p w14:paraId="7794406F"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The study population—parents of adolescents aged 12–15 years from urban schools in Bengaluru—was representative of the broader urban population targeted for arboviral disease prevention. Their demographic and socio-economic diversity reflects the characteristics of the intended target group in similar urban settings.</w:t>
            </w:r>
          </w:p>
        </w:tc>
      </w:tr>
      <w:tr w:rsidR="00775BF7" w:rsidRPr="006071C5" w14:paraId="4F92C149" w14:textId="77777777" w:rsidTr="00841FE2">
        <w:tc>
          <w:tcPr>
            <w:tcW w:w="3005" w:type="dxa"/>
          </w:tcPr>
          <w:p w14:paraId="6D89758D"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Baseline equivalence</w:t>
            </w:r>
          </w:p>
        </w:tc>
        <w:tc>
          <w:tcPr>
            <w:tcW w:w="3005" w:type="dxa"/>
          </w:tcPr>
          <w:p w14:paraId="4D6F8115"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Data on study group</w:t>
            </w:r>
          </w:p>
          <w:p w14:paraId="49B7DAF8"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equivalence at baseline and</w:t>
            </w:r>
          </w:p>
          <w:p w14:paraId="2D583BDB"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statistical methods used to</w:t>
            </w:r>
          </w:p>
          <w:p w14:paraId="2CFCF948"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control for baseline differences</w:t>
            </w:r>
          </w:p>
        </w:tc>
        <w:tc>
          <w:tcPr>
            <w:tcW w:w="3006" w:type="dxa"/>
          </w:tcPr>
          <w:p w14:paraId="7FF405E3"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At baseline, the intervention and comparator groups were statistically equivalent in terms of KAP scores (Mann-Whitney U = 450, p = 0.994), confirming group comparability. Since there were no significant differences, no additional statistical adjustments were necessary to control for baseline differences.</w:t>
            </w:r>
          </w:p>
        </w:tc>
      </w:tr>
      <w:tr w:rsidR="00775BF7" w:rsidRPr="006071C5" w14:paraId="23D87E81" w14:textId="77777777" w:rsidTr="00841FE2">
        <w:tc>
          <w:tcPr>
            <w:tcW w:w="3005" w:type="dxa"/>
          </w:tcPr>
          <w:p w14:paraId="4C0DF60B"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Numbers analysed</w:t>
            </w:r>
          </w:p>
        </w:tc>
        <w:tc>
          <w:tcPr>
            <w:tcW w:w="3005" w:type="dxa"/>
          </w:tcPr>
          <w:p w14:paraId="4EA4ECBF"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Number of participants</w:t>
            </w:r>
          </w:p>
          <w:p w14:paraId="281B32AE"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 xml:space="preserve">(denominator) included in each analysis for each study </w:t>
            </w:r>
            <w:r w:rsidRPr="006071C5">
              <w:rPr>
                <w:rFonts w:asciiTheme="minorHAnsi" w:hAnsiTheme="minorHAnsi" w:cstheme="minorHAnsi"/>
              </w:rPr>
              <w:lastRenderedPageBreak/>
              <w:t>condition, particularly when the</w:t>
            </w:r>
          </w:p>
          <w:p w14:paraId="36740824"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denominators change for</w:t>
            </w:r>
          </w:p>
          <w:p w14:paraId="1C691922"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different outcomes; statement of the results in absolute numbers when feasible</w:t>
            </w:r>
          </w:p>
        </w:tc>
        <w:tc>
          <w:tcPr>
            <w:tcW w:w="3006" w:type="dxa"/>
          </w:tcPr>
          <w:p w14:paraId="06F5EED8"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lastRenderedPageBreak/>
              <w:t xml:space="preserve">All 30 participants in both the intervention and comparator groups were included in the analyses for </w:t>
            </w:r>
            <w:r w:rsidRPr="006071C5">
              <w:rPr>
                <w:rFonts w:asciiTheme="minorHAnsi" w:hAnsiTheme="minorHAnsi" w:cstheme="minorHAnsi"/>
              </w:rPr>
              <w:lastRenderedPageBreak/>
              <w:t>both primary (KAP scores) and secondary (EQ-5D-5L quality of life) outcomes. There were no changes in denominators across outcomes. Results were reported in absolute numbers, including means, standard deviations, test statistics, and p-values.</w:t>
            </w:r>
          </w:p>
        </w:tc>
      </w:tr>
      <w:tr w:rsidR="00775BF7" w:rsidRPr="006071C5" w14:paraId="7EF33B49" w14:textId="77777777" w:rsidTr="00841FE2">
        <w:tc>
          <w:tcPr>
            <w:tcW w:w="3005" w:type="dxa"/>
          </w:tcPr>
          <w:p w14:paraId="4379F0E2" w14:textId="77777777" w:rsidR="00775BF7" w:rsidRPr="006071C5" w:rsidRDefault="00775BF7" w:rsidP="00841FE2">
            <w:pPr>
              <w:jc w:val="left"/>
              <w:rPr>
                <w:rFonts w:asciiTheme="minorHAnsi" w:hAnsiTheme="minorHAnsi" w:cstheme="minorHAnsi"/>
              </w:rPr>
            </w:pPr>
          </w:p>
        </w:tc>
        <w:tc>
          <w:tcPr>
            <w:tcW w:w="3005" w:type="dxa"/>
          </w:tcPr>
          <w:p w14:paraId="381AD5A9"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Indication of whether the</w:t>
            </w:r>
          </w:p>
          <w:p w14:paraId="788379C6"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analysis strategy was</w:t>
            </w:r>
          </w:p>
          <w:p w14:paraId="66E3A8C6" w14:textId="121E83B7" w:rsidR="00775BF7" w:rsidRPr="006071C5" w:rsidRDefault="00775BF7" w:rsidP="00841FE2">
            <w:pPr>
              <w:jc w:val="left"/>
              <w:rPr>
                <w:rFonts w:asciiTheme="minorHAnsi" w:hAnsiTheme="minorHAnsi" w:cstheme="minorHAnsi"/>
              </w:rPr>
            </w:pPr>
            <w:r w:rsidRPr="006071C5">
              <w:rPr>
                <w:rFonts w:asciiTheme="minorHAnsi" w:hAnsiTheme="minorHAnsi" w:cstheme="minorHAnsi"/>
              </w:rPr>
              <w:t>“</w:t>
            </w:r>
            <w:r w:rsidR="009053C4" w:rsidRPr="006071C5">
              <w:rPr>
                <w:rFonts w:asciiTheme="minorHAnsi" w:hAnsiTheme="minorHAnsi" w:cstheme="minorHAnsi"/>
              </w:rPr>
              <w:t>Intention</w:t>
            </w:r>
            <w:r w:rsidRPr="006071C5">
              <w:rPr>
                <w:rFonts w:asciiTheme="minorHAnsi" w:hAnsiTheme="minorHAnsi" w:cstheme="minorHAnsi"/>
              </w:rPr>
              <w:t xml:space="preserve"> to treat” or, if not, description of how non-compliers were treated in the analyses</w:t>
            </w:r>
          </w:p>
        </w:tc>
        <w:tc>
          <w:tcPr>
            <w:tcW w:w="3006" w:type="dxa"/>
          </w:tcPr>
          <w:p w14:paraId="46CE99E8"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NA</w:t>
            </w:r>
          </w:p>
        </w:tc>
      </w:tr>
      <w:tr w:rsidR="00775BF7" w:rsidRPr="006071C5" w14:paraId="153CD38D" w14:textId="77777777" w:rsidTr="00841FE2">
        <w:tc>
          <w:tcPr>
            <w:tcW w:w="3005" w:type="dxa"/>
          </w:tcPr>
          <w:p w14:paraId="54364FD6"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Outcomes and estimation</w:t>
            </w:r>
          </w:p>
        </w:tc>
        <w:tc>
          <w:tcPr>
            <w:tcW w:w="3005" w:type="dxa"/>
          </w:tcPr>
          <w:p w14:paraId="42A1A95F"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For each primary and</w:t>
            </w:r>
          </w:p>
          <w:p w14:paraId="4EEB792D"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secondary outcome, a</w:t>
            </w:r>
          </w:p>
          <w:p w14:paraId="3A94A11E"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summary of results for each estimation study condition, and the estimated effect size and a</w:t>
            </w:r>
          </w:p>
          <w:p w14:paraId="72F5D9B5"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confidence interval to indicate the precision</w:t>
            </w:r>
          </w:p>
        </w:tc>
        <w:tc>
          <w:tcPr>
            <w:tcW w:w="3006" w:type="dxa"/>
          </w:tcPr>
          <w:p w14:paraId="5CADDE7A"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 xml:space="preserve">For the primary outcome, the intervention group showed a significant improvement in KAP scores (mean pre-test: 20.9 ± 2.23; post-test: 26.6 ± 2.08; Z = 4.70, p &lt; 0.001) with a large effect size (r = 0.873). The comparator group showed no significant change (Z = 0.899, p = 0.368). Between-group post-test comparison also showed significant differences (U = 18, p &lt; 0.001, r = 0.828). For the </w:t>
            </w:r>
            <w:r w:rsidRPr="006071C5">
              <w:rPr>
                <w:rFonts w:asciiTheme="minorHAnsi" w:hAnsiTheme="minorHAnsi" w:cstheme="minorHAnsi"/>
              </w:rPr>
              <w:lastRenderedPageBreak/>
              <w:t>secondary outcome (EQ-5D-5L), no significant changes were observed within or between groups, and effect sizes were negligible (r = 0.000, p = 1.000).</w:t>
            </w:r>
          </w:p>
        </w:tc>
      </w:tr>
      <w:tr w:rsidR="00775BF7" w:rsidRPr="006071C5" w14:paraId="1B3518BE" w14:textId="77777777" w:rsidTr="00841FE2">
        <w:tc>
          <w:tcPr>
            <w:tcW w:w="3005" w:type="dxa"/>
          </w:tcPr>
          <w:p w14:paraId="598C8AE8" w14:textId="77777777" w:rsidR="00775BF7" w:rsidRPr="006071C5" w:rsidRDefault="00775BF7" w:rsidP="00841FE2">
            <w:pPr>
              <w:jc w:val="left"/>
              <w:rPr>
                <w:rFonts w:asciiTheme="minorHAnsi" w:hAnsiTheme="minorHAnsi" w:cstheme="minorHAnsi"/>
              </w:rPr>
            </w:pPr>
          </w:p>
        </w:tc>
        <w:tc>
          <w:tcPr>
            <w:tcW w:w="3005" w:type="dxa"/>
          </w:tcPr>
          <w:p w14:paraId="7FB9D971"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Inclusion of null and</w:t>
            </w:r>
          </w:p>
          <w:p w14:paraId="17D7CB39"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Negative findings</w:t>
            </w:r>
          </w:p>
        </w:tc>
        <w:tc>
          <w:tcPr>
            <w:tcW w:w="3006" w:type="dxa"/>
          </w:tcPr>
          <w:p w14:paraId="4C9C1742"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NA</w:t>
            </w:r>
          </w:p>
        </w:tc>
      </w:tr>
      <w:tr w:rsidR="00775BF7" w:rsidRPr="006071C5" w14:paraId="6DAC8480" w14:textId="77777777" w:rsidTr="00841FE2">
        <w:tc>
          <w:tcPr>
            <w:tcW w:w="3005" w:type="dxa"/>
          </w:tcPr>
          <w:p w14:paraId="5F02FBBA" w14:textId="77777777" w:rsidR="00775BF7" w:rsidRPr="006071C5" w:rsidRDefault="00775BF7" w:rsidP="00841FE2">
            <w:pPr>
              <w:jc w:val="left"/>
              <w:rPr>
                <w:rFonts w:asciiTheme="minorHAnsi" w:hAnsiTheme="minorHAnsi" w:cstheme="minorHAnsi"/>
              </w:rPr>
            </w:pPr>
          </w:p>
        </w:tc>
        <w:tc>
          <w:tcPr>
            <w:tcW w:w="3005" w:type="dxa"/>
          </w:tcPr>
          <w:p w14:paraId="107FEC16"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Inclusion of results from</w:t>
            </w:r>
          </w:p>
          <w:p w14:paraId="1690AF7B"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testing pre-specified causal</w:t>
            </w:r>
          </w:p>
          <w:p w14:paraId="47A8D0F5"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pathways through which the intervention was intended to operate, if any</w:t>
            </w:r>
          </w:p>
        </w:tc>
        <w:tc>
          <w:tcPr>
            <w:tcW w:w="3006" w:type="dxa"/>
          </w:tcPr>
          <w:p w14:paraId="32652796"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NA</w:t>
            </w:r>
          </w:p>
        </w:tc>
      </w:tr>
      <w:tr w:rsidR="00775BF7" w:rsidRPr="006071C5" w14:paraId="3B329B72" w14:textId="77777777" w:rsidTr="00841FE2">
        <w:tc>
          <w:tcPr>
            <w:tcW w:w="3005" w:type="dxa"/>
          </w:tcPr>
          <w:p w14:paraId="0E6408A1"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Ancillary analyses</w:t>
            </w:r>
          </w:p>
        </w:tc>
        <w:tc>
          <w:tcPr>
            <w:tcW w:w="3005" w:type="dxa"/>
          </w:tcPr>
          <w:p w14:paraId="2EABD225"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Summary of other analyses</w:t>
            </w:r>
          </w:p>
          <w:p w14:paraId="10A99E20"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performed, including subgroup or restricted analyses, indicating which are pre-specified or exploratory</w:t>
            </w:r>
          </w:p>
        </w:tc>
        <w:tc>
          <w:tcPr>
            <w:tcW w:w="3006" w:type="dxa"/>
          </w:tcPr>
          <w:p w14:paraId="5623EC71"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No subgroup or restricted analyses were performed. All analyses were pre-specified and focused on comparing within-group and between-group differences in KAP and quality of life scores using non-parametric tests. No exploratory analyses were conducted.</w:t>
            </w:r>
          </w:p>
        </w:tc>
      </w:tr>
      <w:tr w:rsidR="00775BF7" w:rsidRPr="006071C5" w14:paraId="0385CD78" w14:textId="77777777" w:rsidTr="00841FE2">
        <w:tc>
          <w:tcPr>
            <w:tcW w:w="3005" w:type="dxa"/>
          </w:tcPr>
          <w:p w14:paraId="1F822993"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Adverse events</w:t>
            </w:r>
          </w:p>
        </w:tc>
        <w:tc>
          <w:tcPr>
            <w:tcW w:w="3005" w:type="dxa"/>
          </w:tcPr>
          <w:p w14:paraId="5F81B8FA"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Summary of all important adverse events or</w:t>
            </w:r>
          </w:p>
          <w:p w14:paraId="0EA24117" w14:textId="3786B018" w:rsidR="00775BF7" w:rsidRPr="006071C5" w:rsidRDefault="00775BF7" w:rsidP="00841FE2">
            <w:pPr>
              <w:jc w:val="left"/>
              <w:rPr>
                <w:rFonts w:asciiTheme="minorHAnsi" w:hAnsiTheme="minorHAnsi" w:cstheme="minorHAnsi"/>
              </w:rPr>
            </w:pPr>
            <w:r w:rsidRPr="006071C5">
              <w:rPr>
                <w:rFonts w:asciiTheme="minorHAnsi" w:hAnsiTheme="minorHAnsi" w:cstheme="minorHAnsi"/>
              </w:rPr>
              <w:t xml:space="preserve">Unintended effects in each study </w:t>
            </w:r>
            <w:r w:rsidR="009053C4" w:rsidRPr="006071C5">
              <w:rPr>
                <w:rFonts w:asciiTheme="minorHAnsi" w:hAnsiTheme="minorHAnsi" w:cstheme="minorHAnsi"/>
              </w:rPr>
              <w:t>condition (</w:t>
            </w:r>
            <w:r w:rsidRPr="006071C5">
              <w:rPr>
                <w:rFonts w:asciiTheme="minorHAnsi" w:hAnsiTheme="minorHAnsi" w:cstheme="minorHAnsi"/>
              </w:rPr>
              <w:t>including summary measures,</w:t>
            </w:r>
          </w:p>
          <w:p w14:paraId="01A7C2E9"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effect size estimates, and</w:t>
            </w:r>
          </w:p>
          <w:p w14:paraId="1BED16ED"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confidence intervals)</w:t>
            </w:r>
          </w:p>
        </w:tc>
        <w:tc>
          <w:tcPr>
            <w:tcW w:w="3006" w:type="dxa"/>
          </w:tcPr>
          <w:p w14:paraId="71953100"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 xml:space="preserve">No adverse events or unintended effects were reported in either the intervention or comparator group during the study period. The educational intervention was low-risk, and all participants </w:t>
            </w:r>
            <w:r w:rsidRPr="006071C5">
              <w:rPr>
                <w:rFonts w:asciiTheme="minorHAnsi" w:hAnsiTheme="minorHAnsi" w:cstheme="minorHAnsi"/>
              </w:rPr>
              <w:lastRenderedPageBreak/>
              <w:t>completed the sessions and assessments without any reported issues.</w:t>
            </w:r>
          </w:p>
        </w:tc>
      </w:tr>
      <w:tr w:rsidR="00775BF7" w:rsidRPr="006071C5" w14:paraId="0228D121" w14:textId="77777777" w:rsidTr="00841FE2">
        <w:tc>
          <w:tcPr>
            <w:tcW w:w="9016" w:type="dxa"/>
            <w:gridSpan w:val="3"/>
          </w:tcPr>
          <w:p w14:paraId="3F282539"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lastRenderedPageBreak/>
              <w:t>Discussion</w:t>
            </w:r>
          </w:p>
        </w:tc>
      </w:tr>
      <w:tr w:rsidR="00775BF7" w:rsidRPr="006071C5" w14:paraId="084A7276" w14:textId="77777777" w:rsidTr="00841FE2">
        <w:tc>
          <w:tcPr>
            <w:tcW w:w="3005" w:type="dxa"/>
          </w:tcPr>
          <w:p w14:paraId="72EB9529"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Interpretation</w:t>
            </w:r>
          </w:p>
        </w:tc>
        <w:tc>
          <w:tcPr>
            <w:tcW w:w="3005" w:type="dxa"/>
          </w:tcPr>
          <w:p w14:paraId="52C62C40"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Interpretation of the results, taking into account study hypotheses, sources of potential bias,</w:t>
            </w:r>
          </w:p>
          <w:p w14:paraId="179C6274"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imprecision of measures, multiplicative analyses, and other limitations or weaknesses of the study</w:t>
            </w:r>
          </w:p>
        </w:tc>
        <w:tc>
          <w:tcPr>
            <w:tcW w:w="3006" w:type="dxa"/>
          </w:tcPr>
          <w:p w14:paraId="6579AF64"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The results support the study hypothesis that structured health education improves KAP related to arboviral disease prevention. No significant impact was observed on quality of life. Interpretation considers potential biases such as nonrandomized group allocation and short follow-up duration. Despite strong internal validity, limitations include lack of long-term outcome data, small sample size, and absence of blinding, which may affect generalizability and precision.</w:t>
            </w:r>
          </w:p>
        </w:tc>
      </w:tr>
      <w:tr w:rsidR="00775BF7" w:rsidRPr="006071C5" w14:paraId="5B12D494" w14:textId="77777777" w:rsidTr="00841FE2">
        <w:tc>
          <w:tcPr>
            <w:tcW w:w="3005" w:type="dxa"/>
          </w:tcPr>
          <w:p w14:paraId="2B15D842" w14:textId="77777777" w:rsidR="00775BF7" w:rsidRPr="006071C5" w:rsidRDefault="00775BF7" w:rsidP="00841FE2">
            <w:pPr>
              <w:jc w:val="left"/>
              <w:rPr>
                <w:rFonts w:asciiTheme="minorHAnsi" w:hAnsiTheme="minorHAnsi" w:cstheme="minorHAnsi"/>
              </w:rPr>
            </w:pPr>
          </w:p>
        </w:tc>
        <w:tc>
          <w:tcPr>
            <w:tcW w:w="3005" w:type="dxa"/>
          </w:tcPr>
          <w:p w14:paraId="00162915"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Discussion of results taking</w:t>
            </w:r>
          </w:p>
          <w:p w14:paraId="6D32BA95"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into account the mechanism by which the intervention was</w:t>
            </w:r>
          </w:p>
          <w:p w14:paraId="4E2CC98F"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intended to work (causal</w:t>
            </w:r>
          </w:p>
          <w:p w14:paraId="273D5BED"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pathways) or alternative</w:t>
            </w:r>
          </w:p>
          <w:p w14:paraId="77FC58EE"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mechanisms or explanations</w:t>
            </w:r>
          </w:p>
        </w:tc>
        <w:tc>
          <w:tcPr>
            <w:tcW w:w="3006" w:type="dxa"/>
          </w:tcPr>
          <w:p w14:paraId="26EC8764"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 xml:space="preserve">The intervention was designed to improve KAP by increasing awareness and understanding of arboviral disease prevention through structured education. The observed improvements likely reflect this intended </w:t>
            </w:r>
            <w:r w:rsidRPr="006071C5">
              <w:rPr>
                <w:rFonts w:asciiTheme="minorHAnsi" w:hAnsiTheme="minorHAnsi" w:cstheme="minorHAnsi"/>
              </w:rPr>
              <w:lastRenderedPageBreak/>
              <w:t>causal pathway. No change in quality of life suggests that enhanced knowledge alone may not immediately affect perceived well-being. Alternative explanations, such as existing high baseline QoL or the short duration of follow-up, may have limited observable changes in secondary outcomes.</w:t>
            </w:r>
          </w:p>
        </w:tc>
      </w:tr>
      <w:tr w:rsidR="00775BF7" w:rsidRPr="006071C5" w14:paraId="64A32BC6" w14:textId="77777777" w:rsidTr="00841FE2">
        <w:tc>
          <w:tcPr>
            <w:tcW w:w="3005" w:type="dxa"/>
          </w:tcPr>
          <w:p w14:paraId="7C721604" w14:textId="77777777" w:rsidR="00775BF7" w:rsidRPr="006071C5" w:rsidRDefault="00775BF7" w:rsidP="00841FE2">
            <w:pPr>
              <w:jc w:val="left"/>
              <w:rPr>
                <w:rFonts w:asciiTheme="minorHAnsi" w:hAnsiTheme="minorHAnsi" w:cstheme="minorHAnsi"/>
              </w:rPr>
            </w:pPr>
          </w:p>
        </w:tc>
        <w:tc>
          <w:tcPr>
            <w:tcW w:w="3005" w:type="dxa"/>
          </w:tcPr>
          <w:p w14:paraId="3FC39901"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Discussion of the success of</w:t>
            </w:r>
          </w:p>
          <w:p w14:paraId="4DD19773"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and barriers to implementing the intervention, fidelity of</w:t>
            </w:r>
          </w:p>
          <w:p w14:paraId="7CABF9AE"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implementation</w:t>
            </w:r>
          </w:p>
        </w:tc>
        <w:tc>
          <w:tcPr>
            <w:tcW w:w="3006" w:type="dxa"/>
          </w:tcPr>
          <w:p w14:paraId="6C967F6B"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NA</w:t>
            </w:r>
          </w:p>
        </w:tc>
      </w:tr>
      <w:tr w:rsidR="00775BF7" w:rsidRPr="006071C5" w14:paraId="79840863" w14:textId="77777777" w:rsidTr="00841FE2">
        <w:tc>
          <w:tcPr>
            <w:tcW w:w="3005" w:type="dxa"/>
          </w:tcPr>
          <w:p w14:paraId="62D3272A" w14:textId="77777777" w:rsidR="00775BF7" w:rsidRPr="006071C5" w:rsidRDefault="00775BF7" w:rsidP="00841FE2">
            <w:pPr>
              <w:jc w:val="left"/>
              <w:rPr>
                <w:rFonts w:asciiTheme="minorHAnsi" w:hAnsiTheme="minorHAnsi" w:cstheme="minorHAnsi"/>
              </w:rPr>
            </w:pPr>
          </w:p>
        </w:tc>
        <w:tc>
          <w:tcPr>
            <w:tcW w:w="3005" w:type="dxa"/>
          </w:tcPr>
          <w:p w14:paraId="59926719"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Discussion of research,</w:t>
            </w:r>
          </w:p>
          <w:p w14:paraId="608A190D"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programmatic, or policy</w:t>
            </w:r>
          </w:p>
          <w:p w14:paraId="2CEFE1F0"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implications</w:t>
            </w:r>
          </w:p>
        </w:tc>
        <w:tc>
          <w:tcPr>
            <w:tcW w:w="3006" w:type="dxa"/>
          </w:tcPr>
          <w:p w14:paraId="09BB8257"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NA</w:t>
            </w:r>
          </w:p>
        </w:tc>
      </w:tr>
      <w:tr w:rsidR="00775BF7" w:rsidRPr="006071C5" w14:paraId="1E044C5D" w14:textId="77777777" w:rsidTr="00841FE2">
        <w:tc>
          <w:tcPr>
            <w:tcW w:w="3005" w:type="dxa"/>
          </w:tcPr>
          <w:p w14:paraId="5942B46D"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 xml:space="preserve">Generalizability </w:t>
            </w:r>
          </w:p>
        </w:tc>
        <w:tc>
          <w:tcPr>
            <w:tcW w:w="3005" w:type="dxa"/>
          </w:tcPr>
          <w:p w14:paraId="6F109A2D"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Generalizability (external</w:t>
            </w:r>
          </w:p>
          <w:p w14:paraId="6AF7B5B8"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validity) of the trial findings, taking into account the study population, the characteristics of the intervention, length of</w:t>
            </w:r>
          </w:p>
          <w:p w14:paraId="3C0339F9"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follow-up, incentives,</w:t>
            </w:r>
          </w:p>
          <w:p w14:paraId="62D3CF1C"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compliance rates, specific</w:t>
            </w:r>
          </w:p>
          <w:p w14:paraId="72BD5436"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sites/settings involved in the study, and other contextual issues</w:t>
            </w:r>
          </w:p>
        </w:tc>
        <w:tc>
          <w:tcPr>
            <w:tcW w:w="3006" w:type="dxa"/>
          </w:tcPr>
          <w:p w14:paraId="6454A329"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 xml:space="preserve">The findings are moderately generalizable to similar urban school-based populations in India, particularly among parents with low baseline health literacy. The structured, low-cost intervention is adaptable to comparable settings. However, limited generalizability arises from </w:t>
            </w:r>
            <w:r w:rsidRPr="006071C5">
              <w:rPr>
                <w:rFonts w:asciiTheme="minorHAnsi" w:hAnsiTheme="minorHAnsi" w:cstheme="minorHAnsi"/>
              </w:rPr>
              <w:lastRenderedPageBreak/>
              <w:t>the short follow-up period, single geographic location, small sample size, and absence of incentives or multi-site replication. High compliance and full participation support internal validity but may not reflect broader community engagement levels.</w:t>
            </w:r>
          </w:p>
        </w:tc>
      </w:tr>
      <w:tr w:rsidR="00775BF7" w:rsidRPr="006071C5" w14:paraId="5AA0E29E" w14:textId="77777777" w:rsidTr="00841FE2">
        <w:tc>
          <w:tcPr>
            <w:tcW w:w="3005" w:type="dxa"/>
          </w:tcPr>
          <w:p w14:paraId="25F257EA"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lastRenderedPageBreak/>
              <w:t>Overall evidence</w:t>
            </w:r>
          </w:p>
        </w:tc>
        <w:tc>
          <w:tcPr>
            <w:tcW w:w="3005" w:type="dxa"/>
          </w:tcPr>
          <w:p w14:paraId="5D237476" w14:textId="77777777" w:rsidR="00775BF7" w:rsidRPr="006071C5" w:rsidRDefault="00775BF7" w:rsidP="00841FE2">
            <w:pPr>
              <w:jc w:val="left"/>
              <w:rPr>
                <w:rFonts w:asciiTheme="minorHAnsi" w:hAnsiTheme="minorHAnsi" w:cstheme="minorHAnsi"/>
              </w:rPr>
            </w:pPr>
            <w:r w:rsidRPr="006071C5">
              <w:rPr>
                <w:rFonts w:asciiTheme="minorHAnsi" w:hAnsiTheme="minorHAnsi" w:cstheme="minorHAnsi"/>
              </w:rPr>
              <w:t>General interpretation of the results in the context of current evidence and current theory</w:t>
            </w:r>
          </w:p>
        </w:tc>
        <w:tc>
          <w:tcPr>
            <w:tcW w:w="3006" w:type="dxa"/>
          </w:tcPr>
          <w:p w14:paraId="3437C582" w14:textId="3F2EB7FA" w:rsidR="00775BF7" w:rsidRPr="006071C5" w:rsidRDefault="00775BF7" w:rsidP="00841FE2">
            <w:pPr>
              <w:jc w:val="left"/>
              <w:rPr>
                <w:rFonts w:asciiTheme="minorHAnsi" w:hAnsiTheme="minorHAnsi" w:cstheme="minorHAnsi"/>
              </w:rPr>
            </w:pPr>
            <w:r w:rsidRPr="006071C5">
              <w:rPr>
                <w:rFonts w:asciiTheme="minorHAnsi" w:hAnsiTheme="minorHAnsi" w:cstheme="minorHAnsi"/>
              </w:rPr>
              <w:t xml:space="preserve">The results align with existing evidence that structured health education can significantly improve knowledge and preventive practices for vector-borne diseases. The findings support </w:t>
            </w:r>
            <w:r w:rsidR="009053C4" w:rsidRPr="006071C5">
              <w:rPr>
                <w:rFonts w:asciiTheme="minorHAnsi" w:hAnsiTheme="minorHAnsi" w:cstheme="minorHAnsi"/>
              </w:rPr>
              <w:t>behavioural</w:t>
            </w:r>
            <w:r w:rsidRPr="006071C5">
              <w:rPr>
                <w:rFonts w:asciiTheme="minorHAnsi" w:hAnsiTheme="minorHAnsi" w:cstheme="minorHAnsi"/>
              </w:rPr>
              <w:t xml:space="preserve"> theories such as the KAP framework and elements of the Health Belief Model, which emphasize that improved awareness leads to better health </w:t>
            </w:r>
            <w:r w:rsidR="009053C4" w:rsidRPr="006071C5">
              <w:rPr>
                <w:rFonts w:asciiTheme="minorHAnsi" w:hAnsiTheme="minorHAnsi" w:cstheme="minorHAnsi"/>
              </w:rPr>
              <w:t>behaviours</w:t>
            </w:r>
            <w:r w:rsidRPr="006071C5">
              <w:rPr>
                <w:rFonts w:asciiTheme="minorHAnsi" w:hAnsiTheme="minorHAnsi" w:cstheme="minorHAnsi"/>
              </w:rPr>
              <w:t>. However, the lack of change in quality of life highlights the need for longer-term, multi-faceted interventions to influence broader health outcomes.</w:t>
            </w:r>
          </w:p>
        </w:tc>
      </w:tr>
    </w:tbl>
    <w:p w14:paraId="7DB15837" w14:textId="77777777" w:rsidR="005A4887" w:rsidRPr="00D743C5" w:rsidRDefault="005A4887" w:rsidP="00D743C5"/>
    <w:sectPr w:rsidR="005A4887" w:rsidRPr="00D743C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5143"/>
    <w:rsid w:val="00086BFA"/>
    <w:rsid w:val="0009202D"/>
    <w:rsid w:val="00105B69"/>
    <w:rsid w:val="0014398A"/>
    <w:rsid w:val="00170E1B"/>
    <w:rsid w:val="001B10FD"/>
    <w:rsid w:val="001F05A3"/>
    <w:rsid w:val="001F1FEA"/>
    <w:rsid w:val="001F72AD"/>
    <w:rsid w:val="00203076"/>
    <w:rsid w:val="002243A2"/>
    <w:rsid w:val="002610EE"/>
    <w:rsid w:val="00297040"/>
    <w:rsid w:val="002976A4"/>
    <w:rsid w:val="002C23C6"/>
    <w:rsid w:val="002C46E6"/>
    <w:rsid w:val="003216C5"/>
    <w:rsid w:val="00321C90"/>
    <w:rsid w:val="003479C5"/>
    <w:rsid w:val="003E4EA4"/>
    <w:rsid w:val="004079DF"/>
    <w:rsid w:val="0045353D"/>
    <w:rsid w:val="00456E5E"/>
    <w:rsid w:val="00461855"/>
    <w:rsid w:val="004A506C"/>
    <w:rsid w:val="004B2035"/>
    <w:rsid w:val="004F2C25"/>
    <w:rsid w:val="005003B9"/>
    <w:rsid w:val="00522835"/>
    <w:rsid w:val="005A4887"/>
    <w:rsid w:val="00616222"/>
    <w:rsid w:val="00625435"/>
    <w:rsid w:val="006768A8"/>
    <w:rsid w:val="006966D2"/>
    <w:rsid w:val="006B516A"/>
    <w:rsid w:val="007208A5"/>
    <w:rsid w:val="00734857"/>
    <w:rsid w:val="00775BF7"/>
    <w:rsid w:val="007F0052"/>
    <w:rsid w:val="007F388B"/>
    <w:rsid w:val="00801FD8"/>
    <w:rsid w:val="00812D58"/>
    <w:rsid w:val="008156FB"/>
    <w:rsid w:val="00820842"/>
    <w:rsid w:val="00852182"/>
    <w:rsid w:val="008575E2"/>
    <w:rsid w:val="00862CB3"/>
    <w:rsid w:val="00872F15"/>
    <w:rsid w:val="00873764"/>
    <w:rsid w:val="00883724"/>
    <w:rsid w:val="00885089"/>
    <w:rsid w:val="00893A92"/>
    <w:rsid w:val="009053C4"/>
    <w:rsid w:val="009135A4"/>
    <w:rsid w:val="00927F26"/>
    <w:rsid w:val="00953E38"/>
    <w:rsid w:val="00962176"/>
    <w:rsid w:val="009A62F0"/>
    <w:rsid w:val="009B0957"/>
    <w:rsid w:val="009B408B"/>
    <w:rsid w:val="009C5592"/>
    <w:rsid w:val="00A307AA"/>
    <w:rsid w:val="00A40639"/>
    <w:rsid w:val="00A413CE"/>
    <w:rsid w:val="00A47EDE"/>
    <w:rsid w:val="00A63C20"/>
    <w:rsid w:val="00A643A3"/>
    <w:rsid w:val="00A64518"/>
    <w:rsid w:val="00A807B9"/>
    <w:rsid w:val="00BA2722"/>
    <w:rsid w:val="00BA5981"/>
    <w:rsid w:val="00BB6772"/>
    <w:rsid w:val="00C06A6C"/>
    <w:rsid w:val="00C120C5"/>
    <w:rsid w:val="00C3184F"/>
    <w:rsid w:val="00C45143"/>
    <w:rsid w:val="00C610AC"/>
    <w:rsid w:val="00CB0C4E"/>
    <w:rsid w:val="00CB3079"/>
    <w:rsid w:val="00CF5AFD"/>
    <w:rsid w:val="00D26673"/>
    <w:rsid w:val="00D50C68"/>
    <w:rsid w:val="00D61E18"/>
    <w:rsid w:val="00D743C5"/>
    <w:rsid w:val="00D9786B"/>
    <w:rsid w:val="00DA6F1D"/>
    <w:rsid w:val="00DD550B"/>
    <w:rsid w:val="00DE454B"/>
    <w:rsid w:val="00DF02D3"/>
    <w:rsid w:val="00E24542"/>
    <w:rsid w:val="00E87E40"/>
    <w:rsid w:val="00EA2FE2"/>
    <w:rsid w:val="00EA5626"/>
    <w:rsid w:val="00EA79B9"/>
    <w:rsid w:val="00EB5C88"/>
    <w:rsid w:val="00F669EE"/>
    <w:rsid w:val="00FA202E"/>
    <w:rsid w:val="00FF0C88"/>
  </w:rsids>
  <m:mathPr>
    <m:mathFont m:val="Cambria Math"/>
    <m:brkBin m:val="before"/>
    <m:brkBinSub m:val="--"/>
    <m:smallFrac m:val="0"/>
    <m:dispDef/>
    <m:lMargin m:val="0"/>
    <m:rMargin m:val="0"/>
    <m:defJc m:val="centerGroup"/>
    <m:wrapIndent m:val="1440"/>
    <m:intLim m:val="subSup"/>
    <m:naryLim m:val="undOvr"/>
  </m:mathPr>
  <w:themeFontLang w:val="en-IN"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079311"/>
  <w15:chartTrackingRefBased/>
  <w15:docId w15:val="{84E453A9-906E-4483-89A2-C55BA96641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8"/>
        <w:lang w:val="en-IN" w:eastAsia="en-US" w:bidi="th-TH"/>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5BF7"/>
    <w:pPr>
      <w:spacing w:after="0" w:line="360" w:lineRule="auto"/>
      <w:jc w:val="both"/>
    </w:pPr>
    <w:rPr>
      <w:rFonts w:ascii="Times New Roman" w:eastAsia="Times New Roman" w:hAnsi="Times New Roman" w:cs="Times New Roman"/>
      <w:kern w:val="0"/>
      <w:sz w:val="24"/>
      <w:szCs w:val="24"/>
      <w:lang w:val="en-GB" w:bidi="ar-SA"/>
      <w14:ligatures w14:val="none"/>
    </w:rPr>
  </w:style>
  <w:style w:type="paragraph" w:styleId="Heading1">
    <w:name w:val="heading 1"/>
    <w:basedOn w:val="Normal"/>
    <w:next w:val="Normal"/>
    <w:link w:val="Heading1Char"/>
    <w:uiPriority w:val="9"/>
    <w:qFormat/>
    <w:rsid w:val="00C45143"/>
    <w:pPr>
      <w:keepNext/>
      <w:keepLines/>
      <w:spacing w:before="360" w:after="80" w:line="259" w:lineRule="auto"/>
      <w:jc w:val="left"/>
      <w:outlineLvl w:val="0"/>
    </w:pPr>
    <w:rPr>
      <w:rFonts w:asciiTheme="majorHAnsi" w:eastAsiaTheme="majorEastAsia" w:hAnsiTheme="majorHAnsi" w:cstheme="majorBidi"/>
      <w:color w:val="2F5496" w:themeColor="accent1" w:themeShade="BF"/>
      <w:kern w:val="2"/>
      <w:sz w:val="40"/>
      <w:szCs w:val="50"/>
      <w:lang w:val="en-IN" w:bidi="th-TH"/>
      <w14:ligatures w14:val="standardContextual"/>
    </w:rPr>
  </w:style>
  <w:style w:type="paragraph" w:styleId="Heading2">
    <w:name w:val="heading 2"/>
    <w:basedOn w:val="Normal"/>
    <w:next w:val="Normal"/>
    <w:link w:val="Heading2Char"/>
    <w:uiPriority w:val="9"/>
    <w:semiHidden/>
    <w:unhideWhenUsed/>
    <w:qFormat/>
    <w:rsid w:val="00C45143"/>
    <w:pPr>
      <w:keepNext/>
      <w:keepLines/>
      <w:spacing w:before="160" w:after="80" w:line="259" w:lineRule="auto"/>
      <w:jc w:val="left"/>
      <w:outlineLvl w:val="1"/>
    </w:pPr>
    <w:rPr>
      <w:rFonts w:asciiTheme="majorHAnsi" w:eastAsiaTheme="majorEastAsia" w:hAnsiTheme="majorHAnsi" w:cstheme="majorBidi"/>
      <w:color w:val="2F5496" w:themeColor="accent1" w:themeShade="BF"/>
      <w:kern w:val="2"/>
      <w:sz w:val="32"/>
      <w:szCs w:val="40"/>
      <w:lang w:val="en-IN" w:bidi="th-TH"/>
      <w14:ligatures w14:val="standardContextual"/>
    </w:rPr>
  </w:style>
  <w:style w:type="paragraph" w:styleId="Heading3">
    <w:name w:val="heading 3"/>
    <w:basedOn w:val="Normal"/>
    <w:next w:val="Normal"/>
    <w:link w:val="Heading3Char"/>
    <w:uiPriority w:val="9"/>
    <w:semiHidden/>
    <w:unhideWhenUsed/>
    <w:qFormat/>
    <w:rsid w:val="00C45143"/>
    <w:pPr>
      <w:keepNext/>
      <w:keepLines/>
      <w:spacing w:before="160" w:after="80" w:line="259" w:lineRule="auto"/>
      <w:jc w:val="left"/>
      <w:outlineLvl w:val="2"/>
    </w:pPr>
    <w:rPr>
      <w:rFonts w:asciiTheme="minorHAnsi" w:eastAsiaTheme="majorEastAsia" w:hAnsiTheme="minorHAnsi" w:cstheme="majorBidi"/>
      <w:color w:val="2F5496" w:themeColor="accent1" w:themeShade="BF"/>
      <w:kern w:val="2"/>
      <w:sz w:val="28"/>
      <w:szCs w:val="35"/>
      <w:lang w:val="en-IN" w:bidi="th-TH"/>
      <w14:ligatures w14:val="standardContextual"/>
    </w:rPr>
  </w:style>
  <w:style w:type="paragraph" w:styleId="Heading4">
    <w:name w:val="heading 4"/>
    <w:basedOn w:val="Normal"/>
    <w:next w:val="Normal"/>
    <w:link w:val="Heading4Char"/>
    <w:uiPriority w:val="9"/>
    <w:semiHidden/>
    <w:unhideWhenUsed/>
    <w:qFormat/>
    <w:rsid w:val="00C45143"/>
    <w:pPr>
      <w:keepNext/>
      <w:keepLines/>
      <w:spacing w:before="80" w:after="40" w:line="259" w:lineRule="auto"/>
      <w:jc w:val="left"/>
      <w:outlineLvl w:val="3"/>
    </w:pPr>
    <w:rPr>
      <w:rFonts w:asciiTheme="minorHAnsi" w:eastAsiaTheme="majorEastAsia" w:hAnsiTheme="minorHAnsi" w:cstheme="majorBidi"/>
      <w:i/>
      <w:iCs/>
      <w:color w:val="2F5496" w:themeColor="accent1" w:themeShade="BF"/>
      <w:kern w:val="2"/>
      <w:sz w:val="22"/>
      <w:szCs w:val="28"/>
      <w:lang w:val="en-IN" w:bidi="th-TH"/>
      <w14:ligatures w14:val="standardContextual"/>
    </w:rPr>
  </w:style>
  <w:style w:type="paragraph" w:styleId="Heading5">
    <w:name w:val="heading 5"/>
    <w:basedOn w:val="Normal"/>
    <w:next w:val="Normal"/>
    <w:link w:val="Heading5Char"/>
    <w:uiPriority w:val="9"/>
    <w:semiHidden/>
    <w:unhideWhenUsed/>
    <w:qFormat/>
    <w:rsid w:val="00C45143"/>
    <w:pPr>
      <w:keepNext/>
      <w:keepLines/>
      <w:spacing w:before="80" w:after="40" w:line="259" w:lineRule="auto"/>
      <w:jc w:val="left"/>
      <w:outlineLvl w:val="4"/>
    </w:pPr>
    <w:rPr>
      <w:rFonts w:asciiTheme="minorHAnsi" w:eastAsiaTheme="majorEastAsia" w:hAnsiTheme="minorHAnsi" w:cstheme="majorBidi"/>
      <w:color w:val="2F5496" w:themeColor="accent1" w:themeShade="BF"/>
      <w:kern w:val="2"/>
      <w:sz w:val="22"/>
      <w:szCs w:val="28"/>
      <w:lang w:val="en-IN" w:bidi="th-TH"/>
      <w14:ligatures w14:val="standardContextual"/>
    </w:rPr>
  </w:style>
  <w:style w:type="paragraph" w:styleId="Heading6">
    <w:name w:val="heading 6"/>
    <w:basedOn w:val="Normal"/>
    <w:next w:val="Normal"/>
    <w:link w:val="Heading6Char"/>
    <w:uiPriority w:val="9"/>
    <w:semiHidden/>
    <w:unhideWhenUsed/>
    <w:qFormat/>
    <w:rsid w:val="00C45143"/>
    <w:pPr>
      <w:keepNext/>
      <w:keepLines/>
      <w:spacing w:before="40" w:line="259" w:lineRule="auto"/>
      <w:jc w:val="left"/>
      <w:outlineLvl w:val="5"/>
    </w:pPr>
    <w:rPr>
      <w:rFonts w:asciiTheme="minorHAnsi" w:eastAsiaTheme="majorEastAsia" w:hAnsiTheme="minorHAnsi" w:cstheme="majorBidi"/>
      <w:i/>
      <w:iCs/>
      <w:color w:val="595959" w:themeColor="text1" w:themeTint="A6"/>
      <w:kern w:val="2"/>
      <w:sz w:val="22"/>
      <w:szCs w:val="28"/>
      <w:lang w:val="en-IN" w:bidi="th-TH"/>
      <w14:ligatures w14:val="standardContextual"/>
    </w:rPr>
  </w:style>
  <w:style w:type="paragraph" w:styleId="Heading7">
    <w:name w:val="heading 7"/>
    <w:basedOn w:val="Normal"/>
    <w:next w:val="Normal"/>
    <w:link w:val="Heading7Char"/>
    <w:uiPriority w:val="9"/>
    <w:semiHidden/>
    <w:unhideWhenUsed/>
    <w:qFormat/>
    <w:rsid w:val="00C45143"/>
    <w:pPr>
      <w:keepNext/>
      <w:keepLines/>
      <w:spacing w:before="40" w:line="259" w:lineRule="auto"/>
      <w:jc w:val="left"/>
      <w:outlineLvl w:val="6"/>
    </w:pPr>
    <w:rPr>
      <w:rFonts w:asciiTheme="minorHAnsi" w:eastAsiaTheme="majorEastAsia" w:hAnsiTheme="minorHAnsi" w:cstheme="majorBidi"/>
      <w:color w:val="595959" w:themeColor="text1" w:themeTint="A6"/>
      <w:kern w:val="2"/>
      <w:sz w:val="22"/>
      <w:szCs w:val="28"/>
      <w:lang w:val="en-IN" w:bidi="th-TH"/>
      <w14:ligatures w14:val="standardContextual"/>
    </w:rPr>
  </w:style>
  <w:style w:type="paragraph" w:styleId="Heading8">
    <w:name w:val="heading 8"/>
    <w:basedOn w:val="Normal"/>
    <w:next w:val="Normal"/>
    <w:link w:val="Heading8Char"/>
    <w:uiPriority w:val="9"/>
    <w:semiHidden/>
    <w:unhideWhenUsed/>
    <w:qFormat/>
    <w:rsid w:val="00C45143"/>
    <w:pPr>
      <w:keepNext/>
      <w:keepLines/>
      <w:spacing w:line="259" w:lineRule="auto"/>
      <w:jc w:val="left"/>
      <w:outlineLvl w:val="7"/>
    </w:pPr>
    <w:rPr>
      <w:rFonts w:asciiTheme="minorHAnsi" w:eastAsiaTheme="majorEastAsia" w:hAnsiTheme="minorHAnsi" w:cstheme="majorBidi"/>
      <w:i/>
      <w:iCs/>
      <w:color w:val="272727" w:themeColor="text1" w:themeTint="D8"/>
      <w:kern w:val="2"/>
      <w:sz w:val="22"/>
      <w:szCs w:val="28"/>
      <w:lang w:val="en-IN" w:bidi="th-TH"/>
      <w14:ligatures w14:val="standardContextual"/>
    </w:rPr>
  </w:style>
  <w:style w:type="paragraph" w:styleId="Heading9">
    <w:name w:val="heading 9"/>
    <w:basedOn w:val="Normal"/>
    <w:next w:val="Normal"/>
    <w:link w:val="Heading9Char"/>
    <w:uiPriority w:val="9"/>
    <w:semiHidden/>
    <w:unhideWhenUsed/>
    <w:qFormat/>
    <w:rsid w:val="00C45143"/>
    <w:pPr>
      <w:keepNext/>
      <w:keepLines/>
      <w:spacing w:line="259" w:lineRule="auto"/>
      <w:jc w:val="left"/>
      <w:outlineLvl w:val="8"/>
    </w:pPr>
    <w:rPr>
      <w:rFonts w:asciiTheme="minorHAnsi" w:eastAsiaTheme="majorEastAsia" w:hAnsiTheme="minorHAnsi" w:cstheme="majorBidi"/>
      <w:color w:val="272727" w:themeColor="text1" w:themeTint="D8"/>
      <w:kern w:val="2"/>
      <w:sz w:val="22"/>
      <w:szCs w:val="28"/>
      <w:lang w:val="en-IN" w:bidi="th-TH"/>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45143"/>
    <w:rPr>
      <w:rFonts w:asciiTheme="majorHAnsi" w:eastAsiaTheme="majorEastAsia" w:hAnsiTheme="majorHAnsi" w:cstheme="majorBidi"/>
      <w:color w:val="2F5496" w:themeColor="accent1" w:themeShade="BF"/>
      <w:sz w:val="40"/>
      <w:szCs w:val="50"/>
    </w:rPr>
  </w:style>
  <w:style w:type="character" w:customStyle="1" w:styleId="Heading2Char">
    <w:name w:val="Heading 2 Char"/>
    <w:basedOn w:val="DefaultParagraphFont"/>
    <w:link w:val="Heading2"/>
    <w:uiPriority w:val="9"/>
    <w:semiHidden/>
    <w:rsid w:val="00C45143"/>
    <w:rPr>
      <w:rFonts w:asciiTheme="majorHAnsi" w:eastAsiaTheme="majorEastAsia" w:hAnsiTheme="majorHAnsi" w:cstheme="majorBidi"/>
      <w:color w:val="2F5496" w:themeColor="accent1" w:themeShade="BF"/>
      <w:sz w:val="32"/>
      <w:szCs w:val="40"/>
    </w:rPr>
  </w:style>
  <w:style w:type="character" w:customStyle="1" w:styleId="Heading3Char">
    <w:name w:val="Heading 3 Char"/>
    <w:basedOn w:val="DefaultParagraphFont"/>
    <w:link w:val="Heading3"/>
    <w:uiPriority w:val="9"/>
    <w:semiHidden/>
    <w:rsid w:val="00C45143"/>
    <w:rPr>
      <w:rFonts w:eastAsiaTheme="majorEastAsia" w:cstheme="majorBidi"/>
      <w:color w:val="2F5496" w:themeColor="accent1" w:themeShade="BF"/>
      <w:sz w:val="28"/>
      <w:szCs w:val="35"/>
    </w:rPr>
  </w:style>
  <w:style w:type="character" w:customStyle="1" w:styleId="Heading4Char">
    <w:name w:val="Heading 4 Char"/>
    <w:basedOn w:val="DefaultParagraphFont"/>
    <w:link w:val="Heading4"/>
    <w:uiPriority w:val="9"/>
    <w:semiHidden/>
    <w:rsid w:val="00C4514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C4514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C4514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4514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4514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45143"/>
    <w:rPr>
      <w:rFonts w:eastAsiaTheme="majorEastAsia" w:cstheme="majorBidi"/>
      <w:color w:val="272727" w:themeColor="text1" w:themeTint="D8"/>
    </w:rPr>
  </w:style>
  <w:style w:type="paragraph" w:styleId="Title">
    <w:name w:val="Title"/>
    <w:basedOn w:val="Normal"/>
    <w:next w:val="Normal"/>
    <w:link w:val="TitleChar"/>
    <w:uiPriority w:val="10"/>
    <w:qFormat/>
    <w:rsid w:val="00C45143"/>
    <w:pPr>
      <w:spacing w:after="80" w:line="240" w:lineRule="auto"/>
      <w:contextualSpacing/>
      <w:jc w:val="left"/>
    </w:pPr>
    <w:rPr>
      <w:rFonts w:asciiTheme="majorHAnsi" w:eastAsiaTheme="majorEastAsia" w:hAnsiTheme="majorHAnsi" w:cstheme="majorBidi"/>
      <w:spacing w:val="-10"/>
      <w:kern w:val="28"/>
      <w:sz w:val="56"/>
      <w:szCs w:val="71"/>
      <w:lang w:val="en-IN" w:bidi="th-TH"/>
      <w14:ligatures w14:val="standardContextual"/>
    </w:rPr>
  </w:style>
  <w:style w:type="character" w:customStyle="1" w:styleId="TitleChar">
    <w:name w:val="Title Char"/>
    <w:basedOn w:val="DefaultParagraphFont"/>
    <w:link w:val="Title"/>
    <w:uiPriority w:val="10"/>
    <w:rsid w:val="00C45143"/>
    <w:rPr>
      <w:rFonts w:asciiTheme="majorHAnsi" w:eastAsiaTheme="majorEastAsia" w:hAnsiTheme="majorHAnsi" w:cstheme="majorBidi"/>
      <w:spacing w:val="-10"/>
      <w:kern w:val="28"/>
      <w:sz w:val="56"/>
      <w:szCs w:val="71"/>
    </w:rPr>
  </w:style>
  <w:style w:type="paragraph" w:styleId="Subtitle">
    <w:name w:val="Subtitle"/>
    <w:basedOn w:val="Normal"/>
    <w:next w:val="Normal"/>
    <w:link w:val="SubtitleChar"/>
    <w:uiPriority w:val="11"/>
    <w:qFormat/>
    <w:rsid w:val="00C45143"/>
    <w:pPr>
      <w:numPr>
        <w:ilvl w:val="1"/>
      </w:numPr>
      <w:spacing w:after="160" w:line="259" w:lineRule="auto"/>
      <w:jc w:val="left"/>
    </w:pPr>
    <w:rPr>
      <w:rFonts w:asciiTheme="minorHAnsi" w:eastAsiaTheme="majorEastAsia" w:hAnsiTheme="minorHAnsi" w:cstheme="majorBidi"/>
      <w:color w:val="595959" w:themeColor="text1" w:themeTint="A6"/>
      <w:spacing w:val="15"/>
      <w:kern w:val="2"/>
      <w:sz w:val="28"/>
      <w:szCs w:val="35"/>
      <w:lang w:val="en-IN" w:bidi="th-TH"/>
      <w14:ligatures w14:val="standardContextual"/>
    </w:rPr>
  </w:style>
  <w:style w:type="character" w:customStyle="1" w:styleId="SubtitleChar">
    <w:name w:val="Subtitle Char"/>
    <w:basedOn w:val="DefaultParagraphFont"/>
    <w:link w:val="Subtitle"/>
    <w:uiPriority w:val="11"/>
    <w:rsid w:val="00C45143"/>
    <w:rPr>
      <w:rFonts w:eastAsiaTheme="majorEastAsia" w:cstheme="majorBidi"/>
      <w:color w:val="595959" w:themeColor="text1" w:themeTint="A6"/>
      <w:spacing w:val="15"/>
      <w:sz w:val="28"/>
      <w:szCs w:val="35"/>
    </w:rPr>
  </w:style>
  <w:style w:type="paragraph" w:styleId="Quote">
    <w:name w:val="Quote"/>
    <w:basedOn w:val="Normal"/>
    <w:next w:val="Normal"/>
    <w:link w:val="QuoteChar"/>
    <w:uiPriority w:val="29"/>
    <w:qFormat/>
    <w:rsid w:val="00C45143"/>
    <w:pPr>
      <w:spacing w:before="160" w:after="160" w:line="259" w:lineRule="auto"/>
      <w:jc w:val="center"/>
    </w:pPr>
    <w:rPr>
      <w:rFonts w:asciiTheme="minorHAnsi" w:eastAsiaTheme="minorHAnsi" w:hAnsiTheme="minorHAnsi" w:cstheme="minorBidi"/>
      <w:i/>
      <w:iCs/>
      <w:color w:val="404040" w:themeColor="text1" w:themeTint="BF"/>
      <w:kern w:val="2"/>
      <w:sz w:val="22"/>
      <w:szCs w:val="28"/>
      <w:lang w:val="en-IN" w:bidi="th-TH"/>
      <w14:ligatures w14:val="standardContextual"/>
    </w:rPr>
  </w:style>
  <w:style w:type="character" w:customStyle="1" w:styleId="QuoteChar">
    <w:name w:val="Quote Char"/>
    <w:basedOn w:val="DefaultParagraphFont"/>
    <w:link w:val="Quote"/>
    <w:uiPriority w:val="29"/>
    <w:rsid w:val="00C45143"/>
    <w:rPr>
      <w:i/>
      <w:iCs/>
      <w:color w:val="404040" w:themeColor="text1" w:themeTint="BF"/>
    </w:rPr>
  </w:style>
  <w:style w:type="paragraph" w:styleId="ListParagraph">
    <w:name w:val="List Paragraph"/>
    <w:basedOn w:val="Normal"/>
    <w:uiPriority w:val="34"/>
    <w:qFormat/>
    <w:rsid w:val="00C45143"/>
    <w:pPr>
      <w:spacing w:after="160" w:line="259" w:lineRule="auto"/>
      <w:ind w:left="720"/>
      <w:contextualSpacing/>
      <w:jc w:val="left"/>
    </w:pPr>
    <w:rPr>
      <w:rFonts w:asciiTheme="minorHAnsi" w:eastAsiaTheme="minorHAnsi" w:hAnsiTheme="minorHAnsi" w:cstheme="minorBidi"/>
      <w:kern w:val="2"/>
      <w:sz w:val="22"/>
      <w:szCs w:val="28"/>
      <w:lang w:val="en-IN" w:bidi="th-TH"/>
      <w14:ligatures w14:val="standardContextual"/>
    </w:rPr>
  </w:style>
  <w:style w:type="character" w:styleId="IntenseEmphasis">
    <w:name w:val="Intense Emphasis"/>
    <w:basedOn w:val="DefaultParagraphFont"/>
    <w:uiPriority w:val="21"/>
    <w:qFormat/>
    <w:rsid w:val="00C45143"/>
    <w:rPr>
      <w:i/>
      <w:iCs/>
      <w:color w:val="2F5496" w:themeColor="accent1" w:themeShade="BF"/>
    </w:rPr>
  </w:style>
  <w:style w:type="paragraph" w:styleId="IntenseQuote">
    <w:name w:val="Intense Quote"/>
    <w:basedOn w:val="Normal"/>
    <w:next w:val="Normal"/>
    <w:link w:val="IntenseQuoteChar"/>
    <w:uiPriority w:val="30"/>
    <w:qFormat/>
    <w:rsid w:val="00C45143"/>
    <w:pPr>
      <w:pBdr>
        <w:top w:val="single" w:sz="4" w:space="10" w:color="2F5496" w:themeColor="accent1" w:themeShade="BF"/>
        <w:bottom w:val="single" w:sz="4" w:space="10" w:color="2F5496" w:themeColor="accent1" w:themeShade="BF"/>
      </w:pBdr>
      <w:spacing w:before="360" w:after="360" w:line="259" w:lineRule="auto"/>
      <w:ind w:left="864" w:right="864"/>
      <w:jc w:val="center"/>
    </w:pPr>
    <w:rPr>
      <w:rFonts w:asciiTheme="minorHAnsi" w:eastAsiaTheme="minorHAnsi" w:hAnsiTheme="minorHAnsi" w:cstheme="minorBidi"/>
      <w:i/>
      <w:iCs/>
      <w:color w:val="2F5496" w:themeColor="accent1" w:themeShade="BF"/>
      <w:kern w:val="2"/>
      <w:sz w:val="22"/>
      <w:szCs w:val="28"/>
      <w:lang w:val="en-IN" w:bidi="th-TH"/>
      <w14:ligatures w14:val="standardContextual"/>
    </w:rPr>
  </w:style>
  <w:style w:type="character" w:customStyle="1" w:styleId="IntenseQuoteChar">
    <w:name w:val="Intense Quote Char"/>
    <w:basedOn w:val="DefaultParagraphFont"/>
    <w:link w:val="IntenseQuote"/>
    <w:uiPriority w:val="30"/>
    <w:rsid w:val="00C45143"/>
    <w:rPr>
      <w:i/>
      <w:iCs/>
      <w:color w:val="2F5496" w:themeColor="accent1" w:themeShade="BF"/>
    </w:rPr>
  </w:style>
  <w:style w:type="character" w:styleId="IntenseReference">
    <w:name w:val="Intense Reference"/>
    <w:basedOn w:val="DefaultParagraphFont"/>
    <w:uiPriority w:val="32"/>
    <w:qFormat/>
    <w:rsid w:val="00C45143"/>
    <w:rPr>
      <w:b/>
      <w:bCs/>
      <w:smallCaps/>
      <w:color w:val="2F5496" w:themeColor="accent1" w:themeShade="BF"/>
      <w:spacing w:val="5"/>
    </w:rPr>
  </w:style>
  <w:style w:type="table" w:styleId="TableGrid">
    <w:name w:val="Table Grid"/>
    <w:basedOn w:val="TableNormal"/>
    <w:uiPriority w:val="39"/>
    <w:rsid w:val="003216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199</TotalTime>
  <Pages>18</Pages>
  <Words>2801</Words>
  <Characters>15972</Characters>
  <Application>Microsoft Office Word</Application>
  <DocSecurity>0</DocSecurity>
  <Lines>133</Lines>
  <Paragraphs>37</Paragraphs>
  <ScaleCrop>false</ScaleCrop>
  <Company/>
  <LinksUpToDate>false</LinksUpToDate>
  <CharactersWithSpaces>18736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SNEHA SINGH</dc:creator>
  <cp:keywords/>
  <dc:description/>
  <cp:lastModifiedBy>SNEHA SINGH</cp:lastModifiedBy>
  <cp:revision>93</cp:revision>
  <dcterms:created xsi:type="dcterms:W3CDTF">2025-05-21T07:21:00Z</dcterms:created>
  <dcterms:modified xsi:type="dcterms:W3CDTF">2025-06-15T15:38:00Z</dcterms:modified>
</cp:coreProperties>
</file>