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9EC" w:rsidRDefault="00C949EC" w:rsidP="00C949EC">
      <w:pPr>
        <w:spacing w:after="0" w:line="360" w:lineRule="auto"/>
        <w:ind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SUPPLEMENTARY MATERIAL</w:t>
      </w:r>
    </w:p>
    <w:p w:rsidR="00C949EC" w:rsidRDefault="00C949EC" w:rsidP="00C949EC">
      <w:pPr>
        <w:spacing w:after="0" w:line="360" w:lineRule="auto"/>
        <w:ind w:right="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49EC" w:rsidRDefault="00C949EC" w:rsidP="00C949EC">
      <w:pPr>
        <w:spacing w:line="360" w:lineRule="auto"/>
        <w:ind w:left="141" w:right="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1: Diagnostic Criteria for Rare Disorder Groups included in the registry</w:t>
      </w:r>
    </w:p>
    <w:tbl>
      <w:tblPr>
        <w:tblW w:w="95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2715"/>
        <w:gridCol w:w="5175"/>
      </w:tblGrid>
      <w:tr w:rsidR="00C949EC" w:rsidTr="00174960">
        <w:trPr>
          <w:trHeight w:val="1290"/>
        </w:trPr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 I</w:t>
            </w:r>
          </w:p>
        </w:tc>
        <w:tc>
          <w:tcPr>
            <w:tcW w:w="27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Storage disorders (Lysosomal Storage Disorders &amp; Glycogen Storage Disorders)</w:t>
            </w:r>
          </w:p>
        </w:tc>
        <w:tc>
          <w:tcPr>
            <w:tcW w:w="51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Confirmed diagnosis based on suggestive phenotype enzyme assay with or without molecular confirmation. GSDs I &amp; III with confirmed molecular diagnosis only.</w:t>
            </w:r>
          </w:p>
        </w:tc>
      </w:tr>
      <w:tr w:rsidR="00C949EC" w:rsidTr="00174960">
        <w:trPr>
          <w:trHeight w:val="1095"/>
        </w:trPr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 II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Small Molecule </w:t>
            </w:r>
          </w:p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Inborn Errors of Metabolisms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Confirmed diagnosis based on biochemical workup (TMS/GCMS/HPLC) with or without molecular confirmation with suggestive phenotype</w:t>
            </w:r>
          </w:p>
        </w:tc>
      </w:tr>
      <w:tr w:rsidR="00C949EC" w:rsidTr="00174960">
        <w:trPr>
          <w:trHeight w:val="1635"/>
        </w:trPr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 III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Hematological Disorders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Patient diagnosed to have beta thalassemia, sickle cell syndrome, or other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hemoglobinopathy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based on results of Cation exchange HPLC, capillary zone electrophoresis, or molecular methods will be included in the study.  </w:t>
            </w:r>
          </w:p>
        </w:tc>
      </w:tr>
      <w:tr w:rsidR="00C949EC" w:rsidTr="00174960">
        <w:trPr>
          <w:trHeight w:val="600"/>
        </w:trPr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 IV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Skeletal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dysplasias</w:t>
            </w:r>
            <w:proofErr w:type="spellEnd"/>
          </w:p>
        </w:tc>
        <w:tc>
          <w:tcPr>
            <w:tcW w:w="51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Suggestive phenotype &amp; Skeletal survey with or without molecular confirmation</w:t>
            </w:r>
          </w:p>
        </w:tc>
      </w:tr>
      <w:tr w:rsidR="00C949EC" w:rsidTr="00174960">
        <w:trPr>
          <w:trHeight w:val="3645"/>
        </w:trPr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 V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Primary Immune deficiencies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) Predominantly antibody deficiencies</w:t>
            </w:r>
          </w:p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Immunodeficiencies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affecting cellular and humoral immunity</w:t>
            </w:r>
          </w:p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iii) Combined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immunodeficiencies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with associated syndromic features</w:t>
            </w:r>
          </w:p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iv) Congenital defects of phagocyte number, function, or both</w:t>
            </w:r>
          </w:p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v) Defects in Intrinsic and Innate Immunity.</w:t>
            </w:r>
          </w:p>
          <w:p w:rsidR="00C949EC" w:rsidRDefault="00C949EC" w:rsidP="00C94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Detailed inclusion / diagnostic criteria for selected diseases under each condition are enclosed in Annexure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below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949EC" w:rsidTr="00174960">
        <w:trPr>
          <w:trHeight w:val="2340"/>
        </w:trPr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 VI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Neuromuscular Disorders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DMD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clinical + CPK + genetic tests - MLPA of 79 exons showing deletion/ If deletion negative, muscle biopsy with IHC suggestive of DMD</w:t>
            </w:r>
          </w:p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SMA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clinical + minimum - genetic tests showing exon 7 / 8 deletion</w:t>
            </w:r>
          </w:p>
          <w:p w:rsidR="00C949EC" w:rsidRDefault="00C949EC" w:rsidP="0017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LGMD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clinical + muscle biopsy with IHC / genetic tests confirming the diagnosis</w:t>
            </w:r>
          </w:p>
        </w:tc>
      </w:tr>
    </w:tbl>
    <w:p w:rsidR="00C949EC" w:rsidRDefault="00C949EC" w:rsidP="00C949EC">
      <w:pPr>
        <w:spacing w:after="0" w:line="360" w:lineRule="auto"/>
        <w:ind w:right="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49EC" w:rsidRDefault="00C949EC" w:rsidP="00C949EC">
      <w:pPr>
        <w:spacing w:after="0" w:line="360" w:lineRule="auto"/>
        <w:ind w:right="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49EC" w:rsidRDefault="00C949EC" w:rsidP="00C949EC">
      <w:pPr>
        <w:spacing w:after="0" w:line="360" w:lineRule="auto"/>
        <w:ind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ANNEXURE 1</w:t>
      </w:r>
      <w:bookmarkStart w:id="0" w:name="_GoBack"/>
      <w:bookmarkEnd w:id="0"/>
    </w:p>
    <w:p w:rsidR="00C949EC" w:rsidRDefault="00C949EC" w:rsidP="00C949E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Detailed inclusion / diagnostic criteria for selected diseases under each condition of PID:</w:t>
      </w:r>
    </w:p>
    <w:p w:rsidR="00C949EC" w:rsidRDefault="00C949EC" w:rsidP="00C949EC">
      <w:pPr>
        <w:spacing w:after="0" w:line="360" w:lineRule="auto"/>
        <w:ind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C949EC" w:rsidRDefault="00C949EC" w:rsidP="00C949EC">
      <w:pPr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0BD305EC" wp14:editId="3996F505">
            <wp:extent cx="5838825" cy="3552825"/>
            <wp:effectExtent l="0" t="0" r="0" b="0"/>
            <wp:docPr id="6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4"/>
                    <a:srcRect l="961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552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6F4282D3" wp14:editId="65A1D9D4">
            <wp:extent cx="5862638" cy="3724275"/>
            <wp:effectExtent l="0" t="0" r="0" b="0"/>
            <wp:docPr id="64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2638" cy="3724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lastRenderedPageBreak/>
        <w:drawing>
          <wp:inline distT="114300" distB="114300" distL="114300" distR="114300" wp14:anchorId="0D2E798D" wp14:editId="4AF9E067">
            <wp:extent cx="5943600" cy="4318000"/>
            <wp:effectExtent l="0" t="0" r="0" b="0"/>
            <wp:docPr id="6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6F22A283" wp14:editId="1EC1664A">
            <wp:extent cx="5919788" cy="571500"/>
            <wp:effectExtent l="0" t="0" r="0" b="0"/>
            <wp:docPr id="6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9788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lastRenderedPageBreak/>
        <w:drawing>
          <wp:inline distT="114300" distB="114300" distL="114300" distR="114300" wp14:anchorId="7C7DF188" wp14:editId="06A7E7A5">
            <wp:extent cx="5943600" cy="4305300"/>
            <wp:effectExtent l="0" t="0" r="0" b="0"/>
            <wp:docPr id="65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726E5485" wp14:editId="0DAD5945">
            <wp:extent cx="5943600" cy="3670300"/>
            <wp:effectExtent l="0" t="0" r="0" b="0"/>
            <wp:docPr id="6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4E4675B8" wp14:editId="001F02E4">
            <wp:extent cx="5943600" cy="2527300"/>
            <wp:effectExtent l="0" t="0" r="0" b="0"/>
            <wp:docPr id="6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27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40BE9FA6" wp14:editId="6BFF6D55">
            <wp:extent cx="5943600" cy="4330700"/>
            <wp:effectExtent l="0" t="0" r="0" b="0"/>
            <wp:docPr id="69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30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lastRenderedPageBreak/>
        <w:drawing>
          <wp:inline distT="114300" distB="114300" distL="114300" distR="114300" wp14:anchorId="41124FCA" wp14:editId="768BC03C">
            <wp:extent cx="5943600" cy="2755900"/>
            <wp:effectExtent l="0" t="0" r="0" b="0"/>
            <wp:docPr id="7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6A5AC56A" wp14:editId="37546B05">
            <wp:extent cx="5943600" cy="4412735"/>
            <wp:effectExtent l="0" t="0" r="0" b="0"/>
            <wp:docPr id="71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12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lastRenderedPageBreak/>
        <w:drawing>
          <wp:inline distT="114300" distB="114300" distL="114300" distR="114300" wp14:anchorId="3C9A6DCB" wp14:editId="0B72C975">
            <wp:extent cx="5943600" cy="1957388"/>
            <wp:effectExtent l="0" t="0" r="0" b="0"/>
            <wp:docPr id="7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73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4DA756A2" wp14:editId="27B3697B">
            <wp:extent cx="5953125" cy="4069835"/>
            <wp:effectExtent l="0" t="0" r="0" b="0"/>
            <wp:docPr id="73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40698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lastRenderedPageBreak/>
        <w:drawing>
          <wp:inline distT="114300" distB="114300" distL="114300" distR="114300" wp14:anchorId="28E26B5A" wp14:editId="113D231B">
            <wp:extent cx="5943600" cy="2870200"/>
            <wp:effectExtent l="0" t="0" r="0" b="0"/>
            <wp:docPr id="75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71787A41" wp14:editId="35F6F957">
            <wp:extent cx="5943600" cy="1638300"/>
            <wp:effectExtent l="0" t="0" r="0" b="0"/>
            <wp:docPr id="76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lastRenderedPageBreak/>
        <w:drawing>
          <wp:inline distT="114300" distB="114300" distL="114300" distR="114300" wp14:anchorId="5EC83D78" wp14:editId="42EB0DA5">
            <wp:extent cx="5943600" cy="3530600"/>
            <wp:effectExtent l="0" t="0" r="0" b="0"/>
            <wp:docPr id="5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0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114300" distB="114300" distL="114300" distR="114300" wp14:anchorId="4E773FBE" wp14:editId="4FD53CD5">
            <wp:extent cx="5943600" cy="2425700"/>
            <wp:effectExtent l="0" t="0" r="0" b="0"/>
            <wp:docPr id="60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25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49EC" w:rsidRDefault="00C949EC" w:rsidP="00C949EC">
      <w:pPr>
        <w:widowControl w:val="0"/>
        <w:spacing w:after="0" w:line="360" w:lineRule="auto"/>
        <w:ind w:left="141" w:right="5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AA254F" w:rsidRDefault="00AA254F"/>
    <w:sectPr w:rsidR="00AA2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9EC"/>
    <w:rsid w:val="00AA254F"/>
    <w:rsid w:val="00C9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51388A"/>
  <w15:chartTrackingRefBased/>
  <w15:docId w15:val="{E16245BC-176E-478F-835E-C4A4D6177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9EC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261</Words>
  <Characters>1522</Characters>
  <Application>Microsoft Office Word</Application>
  <DocSecurity>0</DocSecurity>
  <Lines>33</Lines>
  <Paragraphs>13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Almas</dc:creator>
  <cp:keywords/>
  <dc:description/>
  <cp:lastModifiedBy>Almas</cp:lastModifiedBy>
  <cp:revision>1</cp:revision>
  <dcterms:created xsi:type="dcterms:W3CDTF">2025-06-04T05:32:00Z</dcterms:created>
  <dcterms:modified xsi:type="dcterms:W3CDTF">2025-06-04T05:33:00Z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1d68bcbe-a9a4-4536-816e-db850f38b9e9</vt:lpwstr>
  </property>
</Properties>
</file>