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34FE4B" w14:textId="77777777" w:rsidR="006F1989" w:rsidRPr="006F1989" w:rsidRDefault="006F1989" w:rsidP="006F1989">
      <w:pPr>
        <w:rPr>
          <w:b/>
        </w:rPr>
      </w:pPr>
      <w:r w:rsidRPr="006F1989">
        <w:rPr>
          <w:b/>
        </w:rPr>
        <w:t>Extended Tables and Figures</w:t>
      </w:r>
    </w:p>
    <w:p w14:paraId="3B0C7450" w14:textId="77777777" w:rsidR="006F1989" w:rsidRPr="006F1989" w:rsidRDefault="006F1989" w:rsidP="006F1989">
      <w:pPr>
        <w:rPr>
          <w:b/>
        </w:rPr>
      </w:pPr>
      <w:r w:rsidRPr="006F1989">
        <w:rPr>
          <w:b/>
        </w:rPr>
        <w:t xml:space="preserve">Extended Table 1: PBMC samples for flow cytometry </w:t>
      </w:r>
    </w:p>
    <w:p w14:paraId="67D6FEA5" w14:textId="77777777" w:rsidR="006F1989" w:rsidRPr="006F1989" w:rsidRDefault="006F1989" w:rsidP="006F1989">
      <w:pPr>
        <w:rPr>
          <w:b/>
        </w:rPr>
      </w:pPr>
    </w:p>
    <w:tbl>
      <w:tblPr>
        <w:tblStyle w:val="TableGrid"/>
        <w:tblW w:w="0" w:type="auto"/>
        <w:tblLook w:val="04A0" w:firstRow="1" w:lastRow="0" w:firstColumn="1" w:lastColumn="0" w:noHBand="0" w:noVBand="1"/>
      </w:tblPr>
      <w:tblGrid>
        <w:gridCol w:w="1386"/>
        <w:gridCol w:w="1139"/>
        <w:gridCol w:w="1498"/>
        <w:gridCol w:w="1554"/>
        <w:gridCol w:w="1313"/>
        <w:gridCol w:w="1322"/>
        <w:gridCol w:w="1120"/>
      </w:tblGrid>
      <w:tr w:rsidR="006F1989" w:rsidRPr="006F1989" w14:paraId="156559BF" w14:textId="77777777" w:rsidTr="006F1989">
        <w:tc>
          <w:tcPr>
            <w:tcW w:w="1116" w:type="dxa"/>
            <w:tcBorders>
              <w:top w:val="single" w:sz="4" w:space="0" w:color="auto"/>
              <w:left w:val="single" w:sz="4" w:space="0" w:color="auto"/>
              <w:bottom w:val="single" w:sz="4" w:space="0" w:color="auto"/>
              <w:right w:val="single" w:sz="4" w:space="0" w:color="auto"/>
            </w:tcBorders>
            <w:hideMark/>
          </w:tcPr>
          <w:p w14:paraId="3DF3FB20" w14:textId="77777777" w:rsidR="006F1989" w:rsidRPr="006F1989" w:rsidRDefault="006F1989" w:rsidP="006F1989">
            <w:pPr>
              <w:spacing w:after="160" w:line="278" w:lineRule="auto"/>
              <w:rPr>
                <w:b/>
                <w:bCs/>
              </w:rPr>
            </w:pPr>
            <w:r w:rsidRPr="006F1989">
              <w:rPr>
                <w:b/>
                <w:bCs/>
              </w:rPr>
              <w:t>Phenotype</w:t>
            </w:r>
          </w:p>
        </w:tc>
        <w:tc>
          <w:tcPr>
            <w:tcW w:w="1139" w:type="dxa"/>
            <w:tcBorders>
              <w:top w:val="single" w:sz="4" w:space="0" w:color="auto"/>
              <w:left w:val="single" w:sz="4" w:space="0" w:color="auto"/>
              <w:bottom w:val="single" w:sz="4" w:space="0" w:color="auto"/>
              <w:right w:val="single" w:sz="4" w:space="0" w:color="auto"/>
            </w:tcBorders>
            <w:hideMark/>
          </w:tcPr>
          <w:p w14:paraId="53F5C5C7" w14:textId="77777777" w:rsidR="006F1989" w:rsidRPr="006F1989" w:rsidRDefault="006F1989" w:rsidP="006F1989">
            <w:pPr>
              <w:spacing w:after="160" w:line="278" w:lineRule="auto"/>
              <w:rPr>
                <w:b/>
                <w:bCs/>
              </w:rPr>
            </w:pPr>
            <w:r w:rsidRPr="006F1989">
              <w:rPr>
                <w:b/>
                <w:bCs/>
              </w:rPr>
              <w:t>Number of donors</w:t>
            </w:r>
          </w:p>
        </w:tc>
        <w:tc>
          <w:tcPr>
            <w:tcW w:w="1498" w:type="dxa"/>
            <w:tcBorders>
              <w:top w:val="single" w:sz="4" w:space="0" w:color="auto"/>
              <w:left w:val="single" w:sz="4" w:space="0" w:color="auto"/>
              <w:bottom w:val="single" w:sz="4" w:space="0" w:color="auto"/>
              <w:right w:val="single" w:sz="4" w:space="0" w:color="auto"/>
            </w:tcBorders>
            <w:hideMark/>
          </w:tcPr>
          <w:p w14:paraId="16B14441" w14:textId="77777777" w:rsidR="006F1989" w:rsidRPr="006F1989" w:rsidRDefault="006F1989" w:rsidP="006F1989">
            <w:pPr>
              <w:spacing w:after="160" w:line="278" w:lineRule="auto"/>
              <w:rPr>
                <w:b/>
                <w:bCs/>
              </w:rPr>
            </w:pPr>
            <w:r w:rsidRPr="006F1989">
              <w:rPr>
                <w:b/>
                <w:bCs/>
              </w:rPr>
              <w:t>Median Age in years (±SD)</w:t>
            </w:r>
          </w:p>
        </w:tc>
        <w:tc>
          <w:tcPr>
            <w:tcW w:w="1554" w:type="dxa"/>
            <w:tcBorders>
              <w:top w:val="single" w:sz="4" w:space="0" w:color="auto"/>
              <w:left w:val="single" w:sz="4" w:space="0" w:color="auto"/>
              <w:bottom w:val="single" w:sz="4" w:space="0" w:color="auto"/>
              <w:right w:val="single" w:sz="4" w:space="0" w:color="auto"/>
            </w:tcBorders>
            <w:hideMark/>
          </w:tcPr>
          <w:p w14:paraId="299426BD" w14:textId="77777777" w:rsidR="006F1989" w:rsidRPr="006F1989" w:rsidRDefault="006F1989" w:rsidP="006F1989">
            <w:pPr>
              <w:spacing w:after="160" w:line="278" w:lineRule="auto"/>
              <w:rPr>
                <w:b/>
                <w:bCs/>
              </w:rPr>
            </w:pPr>
            <w:r w:rsidRPr="006F1989">
              <w:rPr>
                <w:b/>
                <w:bCs/>
              </w:rPr>
              <w:t>Sex ratio male: female (%)</w:t>
            </w:r>
          </w:p>
        </w:tc>
        <w:tc>
          <w:tcPr>
            <w:tcW w:w="1313" w:type="dxa"/>
            <w:tcBorders>
              <w:top w:val="single" w:sz="4" w:space="0" w:color="auto"/>
              <w:left w:val="single" w:sz="4" w:space="0" w:color="auto"/>
              <w:bottom w:val="single" w:sz="4" w:space="0" w:color="auto"/>
              <w:right w:val="single" w:sz="4" w:space="0" w:color="auto"/>
            </w:tcBorders>
            <w:hideMark/>
          </w:tcPr>
          <w:p w14:paraId="339EF22F" w14:textId="77777777" w:rsidR="006F1989" w:rsidRPr="006F1989" w:rsidRDefault="006F1989" w:rsidP="006F1989">
            <w:pPr>
              <w:spacing w:after="160" w:line="278" w:lineRule="auto"/>
              <w:rPr>
                <w:b/>
                <w:bCs/>
              </w:rPr>
            </w:pPr>
            <w:r w:rsidRPr="006F1989">
              <w:rPr>
                <w:b/>
                <w:bCs/>
              </w:rPr>
              <w:t>Median EDSS (±SD)</w:t>
            </w:r>
          </w:p>
        </w:tc>
        <w:tc>
          <w:tcPr>
            <w:tcW w:w="1322" w:type="dxa"/>
            <w:tcBorders>
              <w:top w:val="single" w:sz="4" w:space="0" w:color="auto"/>
              <w:left w:val="single" w:sz="4" w:space="0" w:color="auto"/>
              <w:bottom w:val="single" w:sz="4" w:space="0" w:color="auto"/>
              <w:right w:val="single" w:sz="4" w:space="0" w:color="auto"/>
            </w:tcBorders>
            <w:hideMark/>
          </w:tcPr>
          <w:p w14:paraId="73BDC086" w14:textId="77777777" w:rsidR="006F1989" w:rsidRPr="006F1989" w:rsidRDefault="006F1989" w:rsidP="006F1989">
            <w:pPr>
              <w:spacing w:after="160" w:line="278" w:lineRule="auto"/>
              <w:rPr>
                <w:b/>
                <w:bCs/>
              </w:rPr>
            </w:pPr>
            <w:r w:rsidRPr="006F1989">
              <w:rPr>
                <w:b/>
                <w:bCs/>
              </w:rPr>
              <w:t>Patients in Relapse (%)</w:t>
            </w:r>
          </w:p>
        </w:tc>
        <w:tc>
          <w:tcPr>
            <w:tcW w:w="1120" w:type="dxa"/>
            <w:tcBorders>
              <w:top w:val="single" w:sz="4" w:space="0" w:color="auto"/>
              <w:left w:val="single" w:sz="4" w:space="0" w:color="auto"/>
              <w:bottom w:val="single" w:sz="4" w:space="0" w:color="auto"/>
              <w:right w:val="single" w:sz="4" w:space="0" w:color="auto"/>
            </w:tcBorders>
            <w:hideMark/>
          </w:tcPr>
          <w:p w14:paraId="518FD182" w14:textId="77777777" w:rsidR="006F1989" w:rsidRPr="006F1989" w:rsidRDefault="006F1989" w:rsidP="006F1989">
            <w:pPr>
              <w:spacing w:after="160" w:line="278" w:lineRule="auto"/>
              <w:rPr>
                <w:b/>
                <w:bCs/>
              </w:rPr>
            </w:pPr>
            <w:r w:rsidRPr="006F1989">
              <w:rPr>
                <w:b/>
                <w:bCs/>
              </w:rPr>
              <w:t>Patients with SDW (%)</w:t>
            </w:r>
          </w:p>
        </w:tc>
      </w:tr>
      <w:tr w:rsidR="006F1989" w:rsidRPr="006F1989" w14:paraId="34729423" w14:textId="77777777" w:rsidTr="006F1989">
        <w:tc>
          <w:tcPr>
            <w:tcW w:w="1116" w:type="dxa"/>
            <w:tcBorders>
              <w:top w:val="single" w:sz="4" w:space="0" w:color="auto"/>
              <w:left w:val="single" w:sz="4" w:space="0" w:color="auto"/>
              <w:bottom w:val="single" w:sz="4" w:space="0" w:color="auto"/>
              <w:right w:val="single" w:sz="4" w:space="0" w:color="auto"/>
            </w:tcBorders>
            <w:hideMark/>
          </w:tcPr>
          <w:p w14:paraId="6C30AEFA" w14:textId="77777777" w:rsidR="006F1989" w:rsidRPr="006F1989" w:rsidRDefault="006F1989" w:rsidP="006F1989">
            <w:pPr>
              <w:spacing w:after="160" w:line="278" w:lineRule="auto"/>
            </w:pPr>
            <w:r w:rsidRPr="006F1989">
              <w:t>RRMS</w:t>
            </w:r>
          </w:p>
        </w:tc>
        <w:tc>
          <w:tcPr>
            <w:tcW w:w="1139" w:type="dxa"/>
            <w:tcBorders>
              <w:top w:val="single" w:sz="4" w:space="0" w:color="auto"/>
              <w:left w:val="single" w:sz="4" w:space="0" w:color="auto"/>
              <w:bottom w:val="single" w:sz="4" w:space="0" w:color="auto"/>
              <w:right w:val="single" w:sz="4" w:space="0" w:color="auto"/>
            </w:tcBorders>
            <w:hideMark/>
          </w:tcPr>
          <w:p w14:paraId="22B5AEAC" w14:textId="77777777" w:rsidR="006F1989" w:rsidRPr="006F1989" w:rsidRDefault="006F1989" w:rsidP="006F1989">
            <w:pPr>
              <w:spacing w:after="160" w:line="278" w:lineRule="auto"/>
            </w:pPr>
            <w:r w:rsidRPr="006F1989">
              <w:t>31</w:t>
            </w:r>
          </w:p>
        </w:tc>
        <w:tc>
          <w:tcPr>
            <w:tcW w:w="1498" w:type="dxa"/>
            <w:tcBorders>
              <w:top w:val="single" w:sz="4" w:space="0" w:color="auto"/>
              <w:left w:val="single" w:sz="4" w:space="0" w:color="auto"/>
              <w:bottom w:val="single" w:sz="4" w:space="0" w:color="auto"/>
              <w:right w:val="single" w:sz="4" w:space="0" w:color="auto"/>
            </w:tcBorders>
            <w:hideMark/>
          </w:tcPr>
          <w:p w14:paraId="2EFACE15" w14:textId="77777777" w:rsidR="006F1989" w:rsidRPr="006F1989" w:rsidRDefault="006F1989" w:rsidP="006F1989">
            <w:pPr>
              <w:spacing w:after="160" w:line="278" w:lineRule="auto"/>
            </w:pPr>
            <w:r w:rsidRPr="006F1989">
              <w:t>53 (±15.4)</w:t>
            </w:r>
          </w:p>
        </w:tc>
        <w:tc>
          <w:tcPr>
            <w:tcW w:w="1554" w:type="dxa"/>
            <w:tcBorders>
              <w:top w:val="single" w:sz="4" w:space="0" w:color="auto"/>
              <w:left w:val="single" w:sz="4" w:space="0" w:color="auto"/>
              <w:bottom w:val="single" w:sz="4" w:space="0" w:color="auto"/>
              <w:right w:val="single" w:sz="4" w:space="0" w:color="auto"/>
            </w:tcBorders>
            <w:hideMark/>
          </w:tcPr>
          <w:p w14:paraId="66C0CE0C" w14:textId="77777777" w:rsidR="006F1989" w:rsidRPr="006F1989" w:rsidRDefault="006F1989" w:rsidP="006F1989">
            <w:pPr>
              <w:spacing w:after="160" w:line="278" w:lineRule="auto"/>
            </w:pPr>
            <w:r w:rsidRPr="006F1989">
              <w:t>10 (32.3) : 21 (67.7)</w:t>
            </w:r>
          </w:p>
        </w:tc>
        <w:tc>
          <w:tcPr>
            <w:tcW w:w="1313" w:type="dxa"/>
            <w:tcBorders>
              <w:top w:val="single" w:sz="4" w:space="0" w:color="auto"/>
              <w:left w:val="single" w:sz="4" w:space="0" w:color="auto"/>
              <w:bottom w:val="single" w:sz="4" w:space="0" w:color="auto"/>
              <w:right w:val="single" w:sz="4" w:space="0" w:color="auto"/>
            </w:tcBorders>
            <w:hideMark/>
          </w:tcPr>
          <w:p w14:paraId="0DAD9B12" w14:textId="77777777" w:rsidR="006F1989" w:rsidRPr="006F1989" w:rsidRDefault="006F1989" w:rsidP="006F1989">
            <w:pPr>
              <w:spacing w:after="160" w:line="278" w:lineRule="auto"/>
            </w:pPr>
            <w:r w:rsidRPr="006F1989">
              <w:t>2 (±1.4)</w:t>
            </w:r>
          </w:p>
        </w:tc>
        <w:tc>
          <w:tcPr>
            <w:tcW w:w="1322" w:type="dxa"/>
            <w:tcBorders>
              <w:top w:val="single" w:sz="4" w:space="0" w:color="auto"/>
              <w:left w:val="single" w:sz="4" w:space="0" w:color="auto"/>
              <w:bottom w:val="single" w:sz="4" w:space="0" w:color="auto"/>
              <w:right w:val="single" w:sz="4" w:space="0" w:color="auto"/>
            </w:tcBorders>
            <w:hideMark/>
          </w:tcPr>
          <w:p w14:paraId="5822CCEA" w14:textId="77777777" w:rsidR="006F1989" w:rsidRPr="006F1989" w:rsidRDefault="006F1989" w:rsidP="006F1989">
            <w:pPr>
              <w:spacing w:after="160" w:line="278" w:lineRule="auto"/>
            </w:pPr>
            <w:r w:rsidRPr="006F1989">
              <w:t>5 (16.1)</w:t>
            </w:r>
          </w:p>
        </w:tc>
        <w:tc>
          <w:tcPr>
            <w:tcW w:w="1120" w:type="dxa"/>
            <w:tcBorders>
              <w:top w:val="single" w:sz="4" w:space="0" w:color="auto"/>
              <w:left w:val="single" w:sz="4" w:space="0" w:color="auto"/>
              <w:bottom w:val="single" w:sz="4" w:space="0" w:color="auto"/>
              <w:right w:val="single" w:sz="4" w:space="0" w:color="auto"/>
            </w:tcBorders>
            <w:hideMark/>
          </w:tcPr>
          <w:p w14:paraId="4A1C22DF" w14:textId="77777777" w:rsidR="006F1989" w:rsidRPr="006F1989" w:rsidRDefault="006F1989" w:rsidP="006F1989">
            <w:pPr>
              <w:spacing w:after="160" w:line="278" w:lineRule="auto"/>
            </w:pPr>
            <w:r w:rsidRPr="006F1989">
              <w:t>-</w:t>
            </w:r>
          </w:p>
        </w:tc>
      </w:tr>
      <w:tr w:rsidR="006F1989" w:rsidRPr="006F1989" w14:paraId="2413FE2E" w14:textId="77777777" w:rsidTr="006F1989">
        <w:tc>
          <w:tcPr>
            <w:tcW w:w="1116" w:type="dxa"/>
            <w:tcBorders>
              <w:top w:val="single" w:sz="4" w:space="0" w:color="auto"/>
              <w:left w:val="single" w:sz="4" w:space="0" w:color="auto"/>
              <w:bottom w:val="single" w:sz="4" w:space="0" w:color="auto"/>
              <w:right w:val="single" w:sz="4" w:space="0" w:color="auto"/>
            </w:tcBorders>
            <w:hideMark/>
          </w:tcPr>
          <w:p w14:paraId="2AA9D55D" w14:textId="77777777" w:rsidR="006F1989" w:rsidRPr="006F1989" w:rsidRDefault="006F1989" w:rsidP="006F1989">
            <w:pPr>
              <w:spacing w:after="160" w:line="278" w:lineRule="auto"/>
            </w:pPr>
            <w:r w:rsidRPr="006F1989">
              <w:t>PPMS</w:t>
            </w:r>
          </w:p>
        </w:tc>
        <w:tc>
          <w:tcPr>
            <w:tcW w:w="1139" w:type="dxa"/>
            <w:tcBorders>
              <w:top w:val="single" w:sz="4" w:space="0" w:color="auto"/>
              <w:left w:val="single" w:sz="4" w:space="0" w:color="auto"/>
              <w:bottom w:val="single" w:sz="4" w:space="0" w:color="auto"/>
              <w:right w:val="single" w:sz="4" w:space="0" w:color="auto"/>
            </w:tcBorders>
            <w:hideMark/>
          </w:tcPr>
          <w:p w14:paraId="506B11AC" w14:textId="77777777" w:rsidR="006F1989" w:rsidRPr="006F1989" w:rsidRDefault="006F1989" w:rsidP="006F1989">
            <w:pPr>
              <w:spacing w:after="160" w:line="278" w:lineRule="auto"/>
            </w:pPr>
            <w:r w:rsidRPr="006F1989">
              <w:t>8</w:t>
            </w:r>
          </w:p>
        </w:tc>
        <w:tc>
          <w:tcPr>
            <w:tcW w:w="1498" w:type="dxa"/>
            <w:tcBorders>
              <w:top w:val="single" w:sz="4" w:space="0" w:color="auto"/>
              <w:left w:val="single" w:sz="4" w:space="0" w:color="auto"/>
              <w:bottom w:val="single" w:sz="4" w:space="0" w:color="auto"/>
              <w:right w:val="single" w:sz="4" w:space="0" w:color="auto"/>
            </w:tcBorders>
            <w:hideMark/>
          </w:tcPr>
          <w:p w14:paraId="3691D8DD" w14:textId="77777777" w:rsidR="006F1989" w:rsidRPr="006F1989" w:rsidRDefault="006F1989" w:rsidP="006F1989">
            <w:pPr>
              <w:spacing w:after="160" w:line="278" w:lineRule="auto"/>
            </w:pPr>
            <w:r w:rsidRPr="006F1989">
              <w:t>61 (±7.6)</w:t>
            </w:r>
          </w:p>
        </w:tc>
        <w:tc>
          <w:tcPr>
            <w:tcW w:w="1554" w:type="dxa"/>
            <w:tcBorders>
              <w:top w:val="single" w:sz="4" w:space="0" w:color="auto"/>
              <w:left w:val="single" w:sz="4" w:space="0" w:color="auto"/>
              <w:bottom w:val="single" w:sz="4" w:space="0" w:color="auto"/>
              <w:right w:val="single" w:sz="4" w:space="0" w:color="auto"/>
            </w:tcBorders>
            <w:hideMark/>
          </w:tcPr>
          <w:p w14:paraId="143966E9" w14:textId="77777777" w:rsidR="006F1989" w:rsidRPr="006F1989" w:rsidRDefault="006F1989" w:rsidP="006F1989">
            <w:pPr>
              <w:spacing w:after="160" w:line="278" w:lineRule="auto"/>
            </w:pPr>
            <w:r w:rsidRPr="006F1989">
              <w:t>4 (50) : 4 (50)</w:t>
            </w:r>
          </w:p>
        </w:tc>
        <w:tc>
          <w:tcPr>
            <w:tcW w:w="1313" w:type="dxa"/>
            <w:tcBorders>
              <w:top w:val="single" w:sz="4" w:space="0" w:color="auto"/>
              <w:left w:val="single" w:sz="4" w:space="0" w:color="auto"/>
              <w:bottom w:val="single" w:sz="4" w:space="0" w:color="auto"/>
              <w:right w:val="single" w:sz="4" w:space="0" w:color="auto"/>
            </w:tcBorders>
            <w:hideMark/>
          </w:tcPr>
          <w:p w14:paraId="792DBD33" w14:textId="77777777" w:rsidR="006F1989" w:rsidRPr="006F1989" w:rsidRDefault="006F1989" w:rsidP="006F1989">
            <w:pPr>
              <w:spacing w:after="160" w:line="278" w:lineRule="auto"/>
            </w:pPr>
            <w:r w:rsidRPr="006F1989">
              <w:t>6.5 (±2.0)</w:t>
            </w:r>
          </w:p>
        </w:tc>
        <w:tc>
          <w:tcPr>
            <w:tcW w:w="1322" w:type="dxa"/>
            <w:tcBorders>
              <w:top w:val="single" w:sz="4" w:space="0" w:color="auto"/>
              <w:left w:val="single" w:sz="4" w:space="0" w:color="auto"/>
              <w:bottom w:val="single" w:sz="4" w:space="0" w:color="auto"/>
              <w:right w:val="single" w:sz="4" w:space="0" w:color="auto"/>
            </w:tcBorders>
            <w:hideMark/>
          </w:tcPr>
          <w:p w14:paraId="6AC05572" w14:textId="77777777" w:rsidR="006F1989" w:rsidRPr="006F1989" w:rsidRDefault="006F1989" w:rsidP="006F1989">
            <w:pPr>
              <w:spacing w:after="160" w:line="278" w:lineRule="auto"/>
            </w:pPr>
            <w:r w:rsidRPr="006F1989">
              <w:t>-</w:t>
            </w:r>
          </w:p>
        </w:tc>
        <w:tc>
          <w:tcPr>
            <w:tcW w:w="1120" w:type="dxa"/>
            <w:tcBorders>
              <w:top w:val="single" w:sz="4" w:space="0" w:color="auto"/>
              <w:left w:val="single" w:sz="4" w:space="0" w:color="auto"/>
              <w:bottom w:val="single" w:sz="4" w:space="0" w:color="auto"/>
              <w:right w:val="single" w:sz="4" w:space="0" w:color="auto"/>
            </w:tcBorders>
            <w:hideMark/>
          </w:tcPr>
          <w:p w14:paraId="6F9AE36F" w14:textId="77777777" w:rsidR="006F1989" w:rsidRPr="006F1989" w:rsidRDefault="006F1989" w:rsidP="006F1989">
            <w:pPr>
              <w:spacing w:after="160" w:line="278" w:lineRule="auto"/>
            </w:pPr>
            <w:r w:rsidRPr="006F1989">
              <w:t>6 (75)</w:t>
            </w:r>
          </w:p>
        </w:tc>
      </w:tr>
      <w:tr w:rsidR="006F1989" w:rsidRPr="006F1989" w14:paraId="2D772735" w14:textId="77777777" w:rsidTr="006F1989">
        <w:tc>
          <w:tcPr>
            <w:tcW w:w="1116" w:type="dxa"/>
            <w:tcBorders>
              <w:top w:val="single" w:sz="4" w:space="0" w:color="auto"/>
              <w:left w:val="single" w:sz="4" w:space="0" w:color="auto"/>
              <w:bottom w:val="single" w:sz="4" w:space="0" w:color="auto"/>
              <w:right w:val="single" w:sz="4" w:space="0" w:color="auto"/>
            </w:tcBorders>
            <w:hideMark/>
          </w:tcPr>
          <w:p w14:paraId="2E0AF112" w14:textId="77777777" w:rsidR="006F1989" w:rsidRPr="006F1989" w:rsidRDefault="006F1989" w:rsidP="006F1989">
            <w:pPr>
              <w:spacing w:after="160" w:line="278" w:lineRule="auto"/>
            </w:pPr>
            <w:r w:rsidRPr="006F1989">
              <w:t>SPMS</w:t>
            </w:r>
          </w:p>
        </w:tc>
        <w:tc>
          <w:tcPr>
            <w:tcW w:w="1139" w:type="dxa"/>
            <w:tcBorders>
              <w:top w:val="single" w:sz="4" w:space="0" w:color="auto"/>
              <w:left w:val="single" w:sz="4" w:space="0" w:color="auto"/>
              <w:bottom w:val="single" w:sz="4" w:space="0" w:color="auto"/>
              <w:right w:val="single" w:sz="4" w:space="0" w:color="auto"/>
            </w:tcBorders>
            <w:hideMark/>
          </w:tcPr>
          <w:p w14:paraId="74CF0884" w14:textId="77777777" w:rsidR="006F1989" w:rsidRPr="006F1989" w:rsidRDefault="006F1989" w:rsidP="006F1989">
            <w:pPr>
              <w:spacing w:after="160" w:line="278" w:lineRule="auto"/>
            </w:pPr>
            <w:r w:rsidRPr="006F1989">
              <w:t>10</w:t>
            </w:r>
          </w:p>
        </w:tc>
        <w:tc>
          <w:tcPr>
            <w:tcW w:w="1498" w:type="dxa"/>
            <w:tcBorders>
              <w:top w:val="single" w:sz="4" w:space="0" w:color="auto"/>
              <w:left w:val="single" w:sz="4" w:space="0" w:color="auto"/>
              <w:bottom w:val="single" w:sz="4" w:space="0" w:color="auto"/>
              <w:right w:val="single" w:sz="4" w:space="0" w:color="auto"/>
            </w:tcBorders>
            <w:hideMark/>
          </w:tcPr>
          <w:p w14:paraId="4586AD02" w14:textId="77777777" w:rsidR="006F1989" w:rsidRPr="006F1989" w:rsidRDefault="006F1989" w:rsidP="006F1989">
            <w:pPr>
              <w:spacing w:after="160" w:line="278" w:lineRule="auto"/>
            </w:pPr>
            <w:r w:rsidRPr="006F1989">
              <w:t>59.5 (±6.8)</w:t>
            </w:r>
          </w:p>
        </w:tc>
        <w:tc>
          <w:tcPr>
            <w:tcW w:w="1554" w:type="dxa"/>
            <w:tcBorders>
              <w:top w:val="single" w:sz="4" w:space="0" w:color="auto"/>
              <w:left w:val="single" w:sz="4" w:space="0" w:color="auto"/>
              <w:bottom w:val="single" w:sz="4" w:space="0" w:color="auto"/>
              <w:right w:val="single" w:sz="4" w:space="0" w:color="auto"/>
            </w:tcBorders>
            <w:hideMark/>
          </w:tcPr>
          <w:p w14:paraId="5AA805B5" w14:textId="77777777" w:rsidR="006F1989" w:rsidRPr="006F1989" w:rsidRDefault="006F1989" w:rsidP="006F1989">
            <w:pPr>
              <w:spacing w:after="160" w:line="278" w:lineRule="auto"/>
            </w:pPr>
            <w:r w:rsidRPr="006F1989">
              <w:t>5 (50) : 5 (50)</w:t>
            </w:r>
          </w:p>
        </w:tc>
        <w:tc>
          <w:tcPr>
            <w:tcW w:w="1313" w:type="dxa"/>
            <w:tcBorders>
              <w:top w:val="single" w:sz="4" w:space="0" w:color="auto"/>
              <w:left w:val="single" w:sz="4" w:space="0" w:color="auto"/>
              <w:bottom w:val="single" w:sz="4" w:space="0" w:color="auto"/>
              <w:right w:val="single" w:sz="4" w:space="0" w:color="auto"/>
            </w:tcBorders>
            <w:hideMark/>
          </w:tcPr>
          <w:p w14:paraId="7AEFE4BD" w14:textId="77777777" w:rsidR="006F1989" w:rsidRPr="006F1989" w:rsidRDefault="006F1989" w:rsidP="006F1989">
            <w:pPr>
              <w:spacing w:after="160" w:line="278" w:lineRule="auto"/>
            </w:pPr>
            <w:r w:rsidRPr="006F1989">
              <w:t>6.5 (±0.8)</w:t>
            </w:r>
          </w:p>
        </w:tc>
        <w:tc>
          <w:tcPr>
            <w:tcW w:w="1322" w:type="dxa"/>
            <w:tcBorders>
              <w:top w:val="single" w:sz="4" w:space="0" w:color="auto"/>
              <w:left w:val="single" w:sz="4" w:space="0" w:color="auto"/>
              <w:bottom w:val="single" w:sz="4" w:space="0" w:color="auto"/>
              <w:right w:val="single" w:sz="4" w:space="0" w:color="auto"/>
            </w:tcBorders>
            <w:hideMark/>
          </w:tcPr>
          <w:p w14:paraId="60272DC1" w14:textId="77777777" w:rsidR="006F1989" w:rsidRPr="006F1989" w:rsidRDefault="006F1989" w:rsidP="006F1989">
            <w:pPr>
              <w:spacing w:after="160" w:line="278" w:lineRule="auto"/>
            </w:pPr>
            <w:r w:rsidRPr="006F1989">
              <w:t>-</w:t>
            </w:r>
          </w:p>
        </w:tc>
        <w:tc>
          <w:tcPr>
            <w:tcW w:w="1120" w:type="dxa"/>
            <w:tcBorders>
              <w:top w:val="single" w:sz="4" w:space="0" w:color="auto"/>
              <w:left w:val="single" w:sz="4" w:space="0" w:color="auto"/>
              <w:bottom w:val="single" w:sz="4" w:space="0" w:color="auto"/>
              <w:right w:val="single" w:sz="4" w:space="0" w:color="auto"/>
            </w:tcBorders>
            <w:hideMark/>
          </w:tcPr>
          <w:p w14:paraId="5A133222" w14:textId="77777777" w:rsidR="006F1989" w:rsidRPr="006F1989" w:rsidRDefault="006F1989" w:rsidP="006F1989">
            <w:pPr>
              <w:spacing w:after="160" w:line="278" w:lineRule="auto"/>
            </w:pPr>
            <w:r w:rsidRPr="006F1989">
              <w:t>4 (40)</w:t>
            </w:r>
          </w:p>
        </w:tc>
      </w:tr>
      <w:tr w:rsidR="006F1989" w:rsidRPr="006F1989" w14:paraId="3F1DCB86" w14:textId="77777777" w:rsidTr="006F1989">
        <w:tc>
          <w:tcPr>
            <w:tcW w:w="1116" w:type="dxa"/>
            <w:tcBorders>
              <w:top w:val="single" w:sz="4" w:space="0" w:color="auto"/>
              <w:left w:val="single" w:sz="4" w:space="0" w:color="auto"/>
              <w:bottom w:val="single" w:sz="4" w:space="0" w:color="auto"/>
              <w:right w:val="single" w:sz="4" w:space="0" w:color="auto"/>
            </w:tcBorders>
            <w:hideMark/>
          </w:tcPr>
          <w:p w14:paraId="4F27E276" w14:textId="77777777" w:rsidR="006F1989" w:rsidRPr="006F1989" w:rsidRDefault="006F1989" w:rsidP="006F1989">
            <w:pPr>
              <w:spacing w:after="160" w:line="278" w:lineRule="auto"/>
            </w:pPr>
            <w:r w:rsidRPr="006F1989">
              <w:t>HC</w:t>
            </w:r>
          </w:p>
        </w:tc>
        <w:tc>
          <w:tcPr>
            <w:tcW w:w="1139" w:type="dxa"/>
            <w:tcBorders>
              <w:top w:val="single" w:sz="4" w:space="0" w:color="auto"/>
              <w:left w:val="single" w:sz="4" w:space="0" w:color="auto"/>
              <w:bottom w:val="single" w:sz="4" w:space="0" w:color="auto"/>
              <w:right w:val="single" w:sz="4" w:space="0" w:color="auto"/>
            </w:tcBorders>
            <w:hideMark/>
          </w:tcPr>
          <w:p w14:paraId="4827AA46" w14:textId="77777777" w:rsidR="006F1989" w:rsidRPr="006F1989" w:rsidRDefault="006F1989" w:rsidP="006F1989">
            <w:pPr>
              <w:spacing w:after="160" w:line="278" w:lineRule="auto"/>
            </w:pPr>
            <w:r w:rsidRPr="006F1989">
              <w:t>25</w:t>
            </w:r>
          </w:p>
        </w:tc>
        <w:tc>
          <w:tcPr>
            <w:tcW w:w="1498" w:type="dxa"/>
            <w:tcBorders>
              <w:top w:val="single" w:sz="4" w:space="0" w:color="auto"/>
              <w:left w:val="single" w:sz="4" w:space="0" w:color="auto"/>
              <w:bottom w:val="single" w:sz="4" w:space="0" w:color="auto"/>
              <w:right w:val="single" w:sz="4" w:space="0" w:color="auto"/>
            </w:tcBorders>
            <w:hideMark/>
          </w:tcPr>
          <w:p w14:paraId="34BC1E5D" w14:textId="77777777" w:rsidR="006F1989" w:rsidRPr="006F1989" w:rsidRDefault="006F1989" w:rsidP="006F1989">
            <w:pPr>
              <w:spacing w:after="160" w:line="278" w:lineRule="auto"/>
            </w:pPr>
            <w:r w:rsidRPr="006F1989">
              <w:t>46 (±12.8)</w:t>
            </w:r>
          </w:p>
        </w:tc>
        <w:tc>
          <w:tcPr>
            <w:tcW w:w="1554" w:type="dxa"/>
            <w:tcBorders>
              <w:top w:val="single" w:sz="4" w:space="0" w:color="auto"/>
              <w:left w:val="single" w:sz="4" w:space="0" w:color="auto"/>
              <w:bottom w:val="single" w:sz="4" w:space="0" w:color="auto"/>
              <w:right w:val="single" w:sz="4" w:space="0" w:color="auto"/>
            </w:tcBorders>
            <w:hideMark/>
          </w:tcPr>
          <w:p w14:paraId="2FE5B4F2" w14:textId="77777777" w:rsidR="006F1989" w:rsidRPr="006F1989" w:rsidRDefault="006F1989" w:rsidP="006F1989">
            <w:pPr>
              <w:spacing w:after="160" w:line="278" w:lineRule="auto"/>
            </w:pPr>
            <w:r w:rsidRPr="006F1989">
              <w:t>7 (28) : 18 (72)</w:t>
            </w:r>
          </w:p>
        </w:tc>
        <w:tc>
          <w:tcPr>
            <w:tcW w:w="1313" w:type="dxa"/>
            <w:tcBorders>
              <w:top w:val="single" w:sz="4" w:space="0" w:color="auto"/>
              <w:left w:val="single" w:sz="4" w:space="0" w:color="auto"/>
              <w:bottom w:val="single" w:sz="4" w:space="0" w:color="auto"/>
              <w:right w:val="single" w:sz="4" w:space="0" w:color="auto"/>
            </w:tcBorders>
            <w:hideMark/>
          </w:tcPr>
          <w:p w14:paraId="1A5B759E" w14:textId="77777777" w:rsidR="006F1989" w:rsidRPr="006F1989" w:rsidRDefault="006F1989" w:rsidP="006F1989">
            <w:pPr>
              <w:spacing w:after="160" w:line="278" w:lineRule="auto"/>
            </w:pPr>
            <w:r w:rsidRPr="006F1989">
              <w:t>-</w:t>
            </w:r>
          </w:p>
        </w:tc>
        <w:tc>
          <w:tcPr>
            <w:tcW w:w="1322" w:type="dxa"/>
            <w:tcBorders>
              <w:top w:val="single" w:sz="4" w:space="0" w:color="auto"/>
              <w:left w:val="single" w:sz="4" w:space="0" w:color="auto"/>
              <w:bottom w:val="single" w:sz="4" w:space="0" w:color="auto"/>
              <w:right w:val="single" w:sz="4" w:space="0" w:color="auto"/>
            </w:tcBorders>
            <w:hideMark/>
          </w:tcPr>
          <w:p w14:paraId="41BBEFBC" w14:textId="77777777" w:rsidR="006F1989" w:rsidRPr="006F1989" w:rsidRDefault="006F1989" w:rsidP="006F1989">
            <w:pPr>
              <w:spacing w:after="160" w:line="278" w:lineRule="auto"/>
            </w:pPr>
            <w:r w:rsidRPr="006F1989">
              <w:t>-</w:t>
            </w:r>
          </w:p>
        </w:tc>
        <w:tc>
          <w:tcPr>
            <w:tcW w:w="1120" w:type="dxa"/>
            <w:tcBorders>
              <w:top w:val="single" w:sz="4" w:space="0" w:color="auto"/>
              <w:left w:val="single" w:sz="4" w:space="0" w:color="auto"/>
              <w:bottom w:val="single" w:sz="4" w:space="0" w:color="auto"/>
              <w:right w:val="single" w:sz="4" w:space="0" w:color="auto"/>
            </w:tcBorders>
            <w:hideMark/>
          </w:tcPr>
          <w:p w14:paraId="61E8E81F" w14:textId="77777777" w:rsidR="006F1989" w:rsidRPr="006F1989" w:rsidRDefault="006F1989" w:rsidP="006F1989">
            <w:pPr>
              <w:spacing w:after="160" w:line="278" w:lineRule="auto"/>
            </w:pPr>
            <w:r w:rsidRPr="006F1989">
              <w:t>-</w:t>
            </w:r>
          </w:p>
        </w:tc>
      </w:tr>
    </w:tbl>
    <w:p w14:paraId="75159A7C" w14:textId="77777777" w:rsidR="006F1989" w:rsidRPr="006F1989" w:rsidRDefault="006F1989" w:rsidP="006F1989">
      <w:pPr>
        <w:rPr>
          <w:b/>
        </w:rPr>
      </w:pPr>
    </w:p>
    <w:p w14:paraId="696D3F24" w14:textId="77777777" w:rsidR="006F1989" w:rsidRDefault="006F1989" w:rsidP="006F1989">
      <w:pPr>
        <w:rPr>
          <w:b/>
        </w:rPr>
      </w:pPr>
    </w:p>
    <w:p w14:paraId="17986BAA" w14:textId="77777777" w:rsidR="006F1989" w:rsidRDefault="006F1989" w:rsidP="006F1989">
      <w:pPr>
        <w:rPr>
          <w:b/>
        </w:rPr>
      </w:pPr>
    </w:p>
    <w:p w14:paraId="05BA668F" w14:textId="77777777" w:rsidR="006F1989" w:rsidRDefault="006F1989" w:rsidP="006F1989">
      <w:pPr>
        <w:rPr>
          <w:b/>
        </w:rPr>
      </w:pPr>
    </w:p>
    <w:p w14:paraId="3D87407A" w14:textId="77777777" w:rsidR="006F1989" w:rsidRDefault="006F1989" w:rsidP="006F1989">
      <w:pPr>
        <w:rPr>
          <w:b/>
        </w:rPr>
      </w:pPr>
    </w:p>
    <w:p w14:paraId="7EB446FE" w14:textId="77777777" w:rsidR="006F1989" w:rsidRDefault="006F1989" w:rsidP="006F1989">
      <w:pPr>
        <w:rPr>
          <w:b/>
        </w:rPr>
      </w:pPr>
    </w:p>
    <w:p w14:paraId="5E7E5D7B" w14:textId="77777777" w:rsidR="006F1989" w:rsidRDefault="006F1989" w:rsidP="006F1989">
      <w:pPr>
        <w:rPr>
          <w:b/>
        </w:rPr>
      </w:pPr>
    </w:p>
    <w:p w14:paraId="792DB1ED" w14:textId="77777777" w:rsidR="006F1989" w:rsidRDefault="006F1989" w:rsidP="006F1989">
      <w:pPr>
        <w:rPr>
          <w:b/>
        </w:rPr>
      </w:pPr>
    </w:p>
    <w:p w14:paraId="1DC0B573" w14:textId="77777777" w:rsidR="006F1989" w:rsidRDefault="006F1989" w:rsidP="006F1989">
      <w:pPr>
        <w:rPr>
          <w:b/>
        </w:rPr>
      </w:pPr>
    </w:p>
    <w:p w14:paraId="16F47608" w14:textId="77777777" w:rsidR="006F1989" w:rsidRDefault="006F1989" w:rsidP="006F1989">
      <w:pPr>
        <w:rPr>
          <w:b/>
        </w:rPr>
      </w:pPr>
    </w:p>
    <w:p w14:paraId="0E7F658E" w14:textId="77777777" w:rsidR="006F1989" w:rsidRDefault="006F1989" w:rsidP="006F1989">
      <w:pPr>
        <w:rPr>
          <w:b/>
        </w:rPr>
      </w:pPr>
    </w:p>
    <w:p w14:paraId="4E433C56" w14:textId="77777777" w:rsidR="006F1989" w:rsidRDefault="006F1989" w:rsidP="006F1989">
      <w:pPr>
        <w:rPr>
          <w:b/>
        </w:rPr>
      </w:pPr>
    </w:p>
    <w:p w14:paraId="1E2C2C36" w14:textId="77777777" w:rsidR="006F1989" w:rsidRDefault="006F1989" w:rsidP="006F1989">
      <w:pPr>
        <w:rPr>
          <w:b/>
        </w:rPr>
      </w:pPr>
    </w:p>
    <w:p w14:paraId="2A12C812" w14:textId="77777777" w:rsidR="006F1989" w:rsidRDefault="006F1989" w:rsidP="006F1989">
      <w:pPr>
        <w:rPr>
          <w:b/>
        </w:rPr>
      </w:pPr>
    </w:p>
    <w:p w14:paraId="58D479D6" w14:textId="1FA8CED0" w:rsidR="006F1989" w:rsidRPr="006F1989" w:rsidRDefault="006F1989" w:rsidP="006F1989">
      <w:pPr>
        <w:rPr>
          <w:b/>
        </w:rPr>
      </w:pPr>
      <w:r w:rsidRPr="006F1989">
        <w:rPr>
          <w:b/>
        </w:rPr>
        <w:lastRenderedPageBreak/>
        <w:t>Extended Table 2: CNS-tissue sections for immunohistofluorescence</w:t>
      </w:r>
    </w:p>
    <w:p w14:paraId="6A52EB12" w14:textId="77777777" w:rsidR="006F1989" w:rsidRPr="006F1989" w:rsidRDefault="006F1989" w:rsidP="006F1989">
      <w:pPr>
        <w:rPr>
          <w:b/>
        </w:rPr>
      </w:pPr>
    </w:p>
    <w:tbl>
      <w:tblPr>
        <w:tblStyle w:val="GridTable1Light"/>
        <w:tblW w:w="0" w:type="auto"/>
        <w:tblLook w:val="04A0" w:firstRow="1" w:lastRow="0" w:firstColumn="1" w:lastColumn="0" w:noHBand="0" w:noVBand="1"/>
      </w:tblPr>
      <w:tblGrid>
        <w:gridCol w:w="1812"/>
        <w:gridCol w:w="1812"/>
        <w:gridCol w:w="1812"/>
        <w:gridCol w:w="1813"/>
      </w:tblGrid>
      <w:tr w:rsidR="006F1989" w:rsidRPr="006F1989" w14:paraId="3B35E1D9" w14:textId="77777777" w:rsidTr="006F19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12" w:type="dxa"/>
            <w:tcBorders>
              <w:top w:val="single" w:sz="4" w:space="0" w:color="999999" w:themeColor="text1" w:themeTint="66"/>
              <w:left w:val="single" w:sz="4" w:space="0" w:color="999999" w:themeColor="text1" w:themeTint="66"/>
              <w:right w:val="single" w:sz="4" w:space="0" w:color="999999" w:themeColor="text1" w:themeTint="66"/>
            </w:tcBorders>
            <w:hideMark/>
          </w:tcPr>
          <w:p w14:paraId="0A10F3B3" w14:textId="77777777" w:rsidR="006F1989" w:rsidRPr="006F1989" w:rsidRDefault="006F1989" w:rsidP="006F1989">
            <w:pPr>
              <w:spacing w:after="160" w:line="278" w:lineRule="auto"/>
              <w:rPr>
                <w:lang w:val="de-AT"/>
              </w:rPr>
            </w:pPr>
            <w:r w:rsidRPr="006F1989">
              <w:rPr>
                <w:lang w:val="de-AT"/>
              </w:rPr>
              <w:t>Donor</w:t>
            </w:r>
          </w:p>
        </w:tc>
        <w:tc>
          <w:tcPr>
            <w:tcW w:w="1812" w:type="dxa"/>
            <w:tcBorders>
              <w:top w:val="single" w:sz="4" w:space="0" w:color="999999" w:themeColor="text1" w:themeTint="66"/>
              <w:left w:val="single" w:sz="4" w:space="0" w:color="999999" w:themeColor="text1" w:themeTint="66"/>
              <w:right w:val="single" w:sz="4" w:space="0" w:color="999999" w:themeColor="text1" w:themeTint="66"/>
            </w:tcBorders>
            <w:hideMark/>
          </w:tcPr>
          <w:p w14:paraId="4761CB8E" w14:textId="77777777" w:rsidR="006F1989" w:rsidRPr="006F1989" w:rsidRDefault="006F1989" w:rsidP="006F1989">
            <w:pPr>
              <w:spacing w:after="160" w:line="278" w:lineRule="auto"/>
              <w:cnfStyle w:val="100000000000" w:firstRow="1" w:lastRow="0" w:firstColumn="0" w:lastColumn="0" w:oddVBand="0" w:evenVBand="0" w:oddHBand="0" w:evenHBand="0" w:firstRowFirstColumn="0" w:firstRowLastColumn="0" w:lastRowFirstColumn="0" w:lastRowLastColumn="0"/>
              <w:rPr>
                <w:lang w:val="de-AT"/>
              </w:rPr>
            </w:pPr>
            <w:r w:rsidRPr="006F1989">
              <w:rPr>
                <w:lang w:val="de-AT"/>
              </w:rPr>
              <w:t>Age</w:t>
            </w:r>
          </w:p>
        </w:tc>
        <w:tc>
          <w:tcPr>
            <w:tcW w:w="1812" w:type="dxa"/>
            <w:tcBorders>
              <w:top w:val="single" w:sz="4" w:space="0" w:color="999999" w:themeColor="text1" w:themeTint="66"/>
              <w:left w:val="single" w:sz="4" w:space="0" w:color="999999" w:themeColor="text1" w:themeTint="66"/>
              <w:right w:val="single" w:sz="4" w:space="0" w:color="999999" w:themeColor="text1" w:themeTint="66"/>
            </w:tcBorders>
            <w:hideMark/>
          </w:tcPr>
          <w:p w14:paraId="0DCAE2E7" w14:textId="77777777" w:rsidR="006F1989" w:rsidRPr="006F1989" w:rsidRDefault="006F1989" w:rsidP="006F1989">
            <w:pPr>
              <w:spacing w:after="160" w:line="278" w:lineRule="auto"/>
              <w:cnfStyle w:val="100000000000" w:firstRow="1" w:lastRow="0" w:firstColumn="0" w:lastColumn="0" w:oddVBand="0" w:evenVBand="0" w:oddHBand="0" w:evenHBand="0" w:firstRowFirstColumn="0" w:firstRowLastColumn="0" w:lastRowFirstColumn="0" w:lastRowLastColumn="0"/>
              <w:rPr>
                <w:lang w:val="de-AT"/>
              </w:rPr>
            </w:pPr>
            <w:r w:rsidRPr="006F1989">
              <w:rPr>
                <w:lang w:val="de-AT"/>
              </w:rPr>
              <w:t>Sex</w:t>
            </w:r>
          </w:p>
        </w:tc>
        <w:tc>
          <w:tcPr>
            <w:tcW w:w="1813" w:type="dxa"/>
            <w:tcBorders>
              <w:top w:val="single" w:sz="4" w:space="0" w:color="999999" w:themeColor="text1" w:themeTint="66"/>
              <w:left w:val="single" w:sz="4" w:space="0" w:color="999999" w:themeColor="text1" w:themeTint="66"/>
              <w:right w:val="single" w:sz="4" w:space="0" w:color="999999" w:themeColor="text1" w:themeTint="66"/>
            </w:tcBorders>
            <w:hideMark/>
          </w:tcPr>
          <w:p w14:paraId="3B6F6301" w14:textId="77777777" w:rsidR="006F1989" w:rsidRPr="006F1989" w:rsidRDefault="006F1989" w:rsidP="006F1989">
            <w:pPr>
              <w:spacing w:after="160" w:line="278" w:lineRule="auto"/>
              <w:cnfStyle w:val="100000000000" w:firstRow="1" w:lastRow="0" w:firstColumn="0" w:lastColumn="0" w:oddVBand="0" w:evenVBand="0" w:oddHBand="0" w:evenHBand="0" w:firstRowFirstColumn="0" w:firstRowLastColumn="0" w:lastRowFirstColumn="0" w:lastRowLastColumn="0"/>
              <w:rPr>
                <w:lang w:val="de-AT"/>
              </w:rPr>
            </w:pPr>
            <w:r w:rsidRPr="006F1989">
              <w:rPr>
                <w:lang w:val="de-AT"/>
              </w:rPr>
              <w:t>Phenotype</w:t>
            </w:r>
          </w:p>
        </w:tc>
      </w:tr>
      <w:tr w:rsidR="006F1989" w:rsidRPr="006F1989" w14:paraId="6F5B83CF" w14:textId="77777777" w:rsidTr="006F1989">
        <w:tc>
          <w:tcPr>
            <w:cnfStyle w:val="001000000000" w:firstRow="0" w:lastRow="0" w:firstColumn="1" w:lastColumn="0" w:oddVBand="0" w:evenVBand="0" w:oddHBand="0" w:evenHBand="0" w:firstRowFirstColumn="0" w:firstRowLastColumn="0" w:lastRowFirstColumn="0" w:lastRowLastColumn="0"/>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D261C6C" w14:textId="77777777" w:rsidR="006F1989" w:rsidRPr="006F1989" w:rsidRDefault="006F1989" w:rsidP="006F1989">
            <w:pPr>
              <w:spacing w:after="160" w:line="278" w:lineRule="auto"/>
              <w:rPr>
                <w:lang w:val="de-AT"/>
              </w:rPr>
            </w:pPr>
            <w:r w:rsidRPr="006F1989">
              <w:rPr>
                <w:lang w:val="de-AT"/>
              </w:rPr>
              <w:t>1</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A1D25DD"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26</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B4265D4"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Male</w:t>
            </w:r>
          </w:p>
        </w:tc>
        <w:tc>
          <w:tcPr>
            <w:tcW w:w="181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D4947FD"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RRMS</w:t>
            </w:r>
          </w:p>
        </w:tc>
      </w:tr>
      <w:tr w:rsidR="006F1989" w:rsidRPr="006F1989" w14:paraId="2E21F46A" w14:textId="77777777" w:rsidTr="006F1989">
        <w:tc>
          <w:tcPr>
            <w:cnfStyle w:val="001000000000" w:firstRow="0" w:lastRow="0" w:firstColumn="1" w:lastColumn="0" w:oddVBand="0" w:evenVBand="0" w:oddHBand="0" w:evenHBand="0" w:firstRowFirstColumn="0" w:firstRowLastColumn="0" w:lastRowFirstColumn="0" w:lastRowLastColumn="0"/>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4DC804E" w14:textId="77777777" w:rsidR="006F1989" w:rsidRPr="006F1989" w:rsidRDefault="006F1989" w:rsidP="006F1989">
            <w:pPr>
              <w:spacing w:after="160" w:line="278" w:lineRule="auto"/>
              <w:rPr>
                <w:lang w:val="de-AT"/>
              </w:rPr>
            </w:pPr>
            <w:r w:rsidRPr="006F1989">
              <w:rPr>
                <w:lang w:val="de-AT"/>
              </w:rPr>
              <w:t>2</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A32FD96"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60</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13747BF"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Female</w:t>
            </w:r>
          </w:p>
        </w:tc>
        <w:tc>
          <w:tcPr>
            <w:tcW w:w="181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0C84593"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SPMS</w:t>
            </w:r>
          </w:p>
        </w:tc>
      </w:tr>
      <w:tr w:rsidR="006F1989" w:rsidRPr="006F1989" w14:paraId="186854B1" w14:textId="77777777" w:rsidTr="006F1989">
        <w:tc>
          <w:tcPr>
            <w:cnfStyle w:val="001000000000" w:firstRow="0" w:lastRow="0" w:firstColumn="1" w:lastColumn="0" w:oddVBand="0" w:evenVBand="0" w:oddHBand="0" w:evenHBand="0" w:firstRowFirstColumn="0" w:firstRowLastColumn="0" w:lastRowFirstColumn="0" w:lastRowLastColumn="0"/>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7AA6271" w14:textId="77777777" w:rsidR="006F1989" w:rsidRPr="006F1989" w:rsidRDefault="006F1989" w:rsidP="006F1989">
            <w:pPr>
              <w:spacing w:after="160" w:line="278" w:lineRule="auto"/>
              <w:rPr>
                <w:lang w:val="de-AT"/>
              </w:rPr>
            </w:pPr>
            <w:r w:rsidRPr="006F1989">
              <w:rPr>
                <w:lang w:val="de-AT"/>
              </w:rPr>
              <w:t>3</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E8F8463"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61</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2D67CB1"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Male</w:t>
            </w:r>
          </w:p>
        </w:tc>
        <w:tc>
          <w:tcPr>
            <w:tcW w:w="181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97A6B04"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SPMS</w:t>
            </w:r>
          </w:p>
        </w:tc>
      </w:tr>
      <w:tr w:rsidR="006F1989" w:rsidRPr="006F1989" w14:paraId="0767FF57" w14:textId="77777777" w:rsidTr="006F1989">
        <w:tc>
          <w:tcPr>
            <w:cnfStyle w:val="001000000000" w:firstRow="0" w:lastRow="0" w:firstColumn="1" w:lastColumn="0" w:oddVBand="0" w:evenVBand="0" w:oddHBand="0" w:evenHBand="0" w:firstRowFirstColumn="0" w:firstRowLastColumn="0" w:lastRowFirstColumn="0" w:lastRowLastColumn="0"/>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585D4C7" w14:textId="77777777" w:rsidR="006F1989" w:rsidRPr="006F1989" w:rsidRDefault="006F1989" w:rsidP="006F1989">
            <w:pPr>
              <w:spacing w:after="160" w:line="278" w:lineRule="auto"/>
              <w:rPr>
                <w:lang w:val="de-AT"/>
              </w:rPr>
            </w:pPr>
            <w:r w:rsidRPr="006F1989">
              <w:rPr>
                <w:lang w:val="de-AT"/>
              </w:rPr>
              <w:t>4</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A40C543"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44</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1DC75A2"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Female</w:t>
            </w:r>
          </w:p>
        </w:tc>
        <w:tc>
          <w:tcPr>
            <w:tcW w:w="181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199769B"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RRMS to SPMS</w:t>
            </w:r>
          </w:p>
        </w:tc>
      </w:tr>
      <w:tr w:rsidR="006F1989" w:rsidRPr="006F1989" w14:paraId="108D09B9" w14:textId="77777777" w:rsidTr="006F1989">
        <w:tc>
          <w:tcPr>
            <w:cnfStyle w:val="001000000000" w:firstRow="0" w:lastRow="0" w:firstColumn="1" w:lastColumn="0" w:oddVBand="0" w:evenVBand="0" w:oddHBand="0" w:evenHBand="0" w:firstRowFirstColumn="0" w:firstRowLastColumn="0" w:lastRowFirstColumn="0" w:lastRowLastColumn="0"/>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BBB56B7" w14:textId="77777777" w:rsidR="006F1989" w:rsidRPr="006F1989" w:rsidRDefault="006F1989" w:rsidP="006F1989">
            <w:pPr>
              <w:spacing w:after="160" w:line="278" w:lineRule="auto"/>
              <w:rPr>
                <w:lang w:val="de-AT"/>
              </w:rPr>
            </w:pPr>
            <w:r w:rsidRPr="006F1989">
              <w:rPr>
                <w:lang w:val="de-AT"/>
              </w:rPr>
              <w:t>5</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CFA8778"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33</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22BCA07"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Female</w:t>
            </w:r>
          </w:p>
        </w:tc>
        <w:tc>
          <w:tcPr>
            <w:tcW w:w="181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4F25AA9"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RRMS</w:t>
            </w:r>
          </w:p>
        </w:tc>
      </w:tr>
      <w:tr w:rsidR="006F1989" w:rsidRPr="006F1989" w14:paraId="023E8E3F" w14:textId="77777777" w:rsidTr="006F1989">
        <w:tc>
          <w:tcPr>
            <w:cnfStyle w:val="001000000000" w:firstRow="0" w:lastRow="0" w:firstColumn="1" w:lastColumn="0" w:oddVBand="0" w:evenVBand="0" w:oddHBand="0" w:evenHBand="0" w:firstRowFirstColumn="0" w:firstRowLastColumn="0" w:lastRowFirstColumn="0" w:lastRowLastColumn="0"/>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DBAA94B" w14:textId="77777777" w:rsidR="006F1989" w:rsidRPr="006F1989" w:rsidRDefault="006F1989" w:rsidP="006F1989">
            <w:pPr>
              <w:spacing w:after="160" w:line="278" w:lineRule="auto"/>
              <w:rPr>
                <w:lang w:val="de-AT"/>
              </w:rPr>
            </w:pPr>
            <w:r w:rsidRPr="006F1989">
              <w:rPr>
                <w:lang w:val="de-AT"/>
              </w:rPr>
              <w:t>6</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CFD66BB"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51</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05AEE86"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Female</w:t>
            </w:r>
          </w:p>
        </w:tc>
        <w:tc>
          <w:tcPr>
            <w:tcW w:w="181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B7D554F"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RRMS</w:t>
            </w:r>
          </w:p>
        </w:tc>
      </w:tr>
      <w:tr w:rsidR="006F1989" w:rsidRPr="006F1989" w14:paraId="26D38651" w14:textId="77777777" w:rsidTr="006F1989">
        <w:tc>
          <w:tcPr>
            <w:cnfStyle w:val="001000000000" w:firstRow="0" w:lastRow="0" w:firstColumn="1" w:lastColumn="0" w:oddVBand="0" w:evenVBand="0" w:oddHBand="0" w:evenHBand="0" w:firstRowFirstColumn="0" w:firstRowLastColumn="0" w:lastRowFirstColumn="0" w:lastRowLastColumn="0"/>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4E3B27F" w14:textId="77777777" w:rsidR="006F1989" w:rsidRPr="006F1989" w:rsidRDefault="006F1989" w:rsidP="006F1989">
            <w:pPr>
              <w:spacing w:after="160" w:line="278" w:lineRule="auto"/>
              <w:rPr>
                <w:lang w:val="de-AT"/>
              </w:rPr>
            </w:pPr>
            <w:r w:rsidRPr="006F1989">
              <w:rPr>
                <w:lang w:val="de-AT"/>
              </w:rPr>
              <w:t>7</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E43810A"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67</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EBA3161"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Male</w:t>
            </w:r>
          </w:p>
        </w:tc>
        <w:tc>
          <w:tcPr>
            <w:tcW w:w="181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8051A6C"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Nephrectomy, non-neurological disease</w:t>
            </w:r>
          </w:p>
        </w:tc>
      </w:tr>
      <w:tr w:rsidR="006F1989" w:rsidRPr="006F1989" w14:paraId="035C0D91" w14:textId="77777777" w:rsidTr="006F1989">
        <w:tc>
          <w:tcPr>
            <w:cnfStyle w:val="001000000000" w:firstRow="0" w:lastRow="0" w:firstColumn="1" w:lastColumn="0" w:oddVBand="0" w:evenVBand="0" w:oddHBand="0" w:evenHBand="0" w:firstRowFirstColumn="0" w:firstRowLastColumn="0" w:lastRowFirstColumn="0" w:lastRowLastColumn="0"/>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BD4862E" w14:textId="77777777" w:rsidR="006F1989" w:rsidRPr="006F1989" w:rsidRDefault="006F1989" w:rsidP="006F1989">
            <w:pPr>
              <w:spacing w:after="160" w:line="278" w:lineRule="auto"/>
              <w:rPr>
                <w:lang w:val="de-AT"/>
              </w:rPr>
            </w:pPr>
            <w:r w:rsidRPr="006F1989">
              <w:rPr>
                <w:lang w:val="de-AT"/>
              </w:rPr>
              <w:t>8</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32C4164"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37</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3D57964"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Female</w:t>
            </w:r>
          </w:p>
        </w:tc>
        <w:tc>
          <w:tcPr>
            <w:tcW w:w="181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F9E9F8E"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Biopsy, Epilepsy</w:t>
            </w:r>
          </w:p>
        </w:tc>
      </w:tr>
      <w:tr w:rsidR="006F1989" w:rsidRPr="006F1989" w14:paraId="041EC956" w14:textId="77777777" w:rsidTr="006F1989">
        <w:tc>
          <w:tcPr>
            <w:cnfStyle w:val="001000000000" w:firstRow="0" w:lastRow="0" w:firstColumn="1" w:lastColumn="0" w:oddVBand="0" w:evenVBand="0" w:oddHBand="0" w:evenHBand="0" w:firstRowFirstColumn="0" w:firstRowLastColumn="0" w:lastRowFirstColumn="0" w:lastRowLastColumn="0"/>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D811444" w14:textId="77777777" w:rsidR="006F1989" w:rsidRPr="006F1989" w:rsidRDefault="006F1989" w:rsidP="006F1989">
            <w:pPr>
              <w:spacing w:after="160" w:line="278" w:lineRule="auto"/>
              <w:rPr>
                <w:lang w:val="de-AT"/>
              </w:rPr>
            </w:pPr>
            <w:r w:rsidRPr="006F1989">
              <w:rPr>
                <w:lang w:val="de-AT"/>
              </w:rPr>
              <w:t>9</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BF3756E"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31</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5ECD933"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Female</w:t>
            </w:r>
          </w:p>
        </w:tc>
        <w:tc>
          <w:tcPr>
            <w:tcW w:w="181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A554402"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Biopsy, Epilepsy</w:t>
            </w:r>
          </w:p>
        </w:tc>
      </w:tr>
      <w:tr w:rsidR="006F1989" w:rsidRPr="006F1989" w14:paraId="2A1CACC4" w14:textId="77777777" w:rsidTr="006F1989">
        <w:tc>
          <w:tcPr>
            <w:cnfStyle w:val="001000000000" w:firstRow="0" w:lastRow="0" w:firstColumn="1" w:lastColumn="0" w:oddVBand="0" w:evenVBand="0" w:oddHBand="0" w:evenHBand="0" w:firstRowFirstColumn="0" w:firstRowLastColumn="0" w:lastRowFirstColumn="0" w:lastRowLastColumn="0"/>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C1E9C18" w14:textId="77777777" w:rsidR="006F1989" w:rsidRPr="006F1989" w:rsidRDefault="006F1989" w:rsidP="006F1989">
            <w:pPr>
              <w:spacing w:after="160" w:line="278" w:lineRule="auto"/>
              <w:rPr>
                <w:lang w:val="de-AT"/>
              </w:rPr>
            </w:pPr>
            <w:r w:rsidRPr="006F1989">
              <w:rPr>
                <w:lang w:val="de-AT"/>
              </w:rPr>
              <w:t>10</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D5712DF"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42</w:t>
            </w:r>
          </w:p>
        </w:tc>
        <w:tc>
          <w:tcPr>
            <w:tcW w:w="18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07BB9CD"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Male</w:t>
            </w:r>
          </w:p>
        </w:tc>
        <w:tc>
          <w:tcPr>
            <w:tcW w:w="181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5939736"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rPr>
                <w:lang w:val="de-AT"/>
              </w:rPr>
            </w:pPr>
            <w:r w:rsidRPr="006F1989">
              <w:rPr>
                <w:lang w:val="de-AT"/>
              </w:rPr>
              <w:t>Biopsy, Epilepsy</w:t>
            </w:r>
          </w:p>
        </w:tc>
      </w:tr>
    </w:tbl>
    <w:p w14:paraId="291C9862" w14:textId="77777777" w:rsidR="006F1989" w:rsidRPr="006F1989" w:rsidRDefault="006F1989" w:rsidP="006F1989">
      <w:pPr>
        <w:rPr>
          <w:b/>
          <w:bCs/>
        </w:rPr>
      </w:pPr>
    </w:p>
    <w:p w14:paraId="490EBA23" w14:textId="77777777" w:rsidR="006F1989" w:rsidRPr="006F1989" w:rsidRDefault="006F1989" w:rsidP="006F1989">
      <w:pPr>
        <w:rPr>
          <w:b/>
        </w:rPr>
      </w:pPr>
    </w:p>
    <w:p w14:paraId="5C8023F4" w14:textId="77777777" w:rsidR="006F1989" w:rsidRDefault="006F1989" w:rsidP="006F1989">
      <w:pPr>
        <w:rPr>
          <w:b/>
        </w:rPr>
      </w:pPr>
    </w:p>
    <w:p w14:paraId="2A46D197" w14:textId="77777777" w:rsidR="006F1989" w:rsidRDefault="006F1989" w:rsidP="006F1989">
      <w:pPr>
        <w:rPr>
          <w:b/>
        </w:rPr>
      </w:pPr>
    </w:p>
    <w:p w14:paraId="1F877D75" w14:textId="77777777" w:rsidR="006F1989" w:rsidRDefault="006F1989" w:rsidP="006F1989">
      <w:pPr>
        <w:rPr>
          <w:b/>
        </w:rPr>
      </w:pPr>
    </w:p>
    <w:p w14:paraId="7F37F03B" w14:textId="77777777" w:rsidR="006F1989" w:rsidRDefault="006F1989" w:rsidP="006F1989">
      <w:pPr>
        <w:rPr>
          <w:b/>
        </w:rPr>
      </w:pPr>
    </w:p>
    <w:p w14:paraId="6C56A9C6" w14:textId="77777777" w:rsidR="006F1989" w:rsidRDefault="006F1989" w:rsidP="006F1989">
      <w:pPr>
        <w:rPr>
          <w:b/>
        </w:rPr>
      </w:pPr>
    </w:p>
    <w:p w14:paraId="6E9711CB" w14:textId="77777777" w:rsidR="006F1989" w:rsidRDefault="006F1989" w:rsidP="006F1989">
      <w:pPr>
        <w:rPr>
          <w:b/>
        </w:rPr>
      </w:pPr>
    </w:p>
    <w:p w14:paraId="728D4770" w14:textId="77777777" w:rsidR="006F1989" w:rsidRDefault="006F1989" w:rsidP="006F1989">
      <w:pPr>
        <w:rPr>
          <w:b/>
        </w:rPr>
      </w:pPr>
    </w:p>
    <w:p w14:paraId="55079A55" w14:textId="34927B34" w:rsidR="006F1989" w:rsidRPr="006F1989" w:rsidRDefault="006F1989" w:rsidP="006F1989">
      <w:pPr>
        <w:rPr>
          <w:b/>
        </w:rPr>
      </w:pPr>
      <w:r w:rsidRPr="006F1989">
        <w:rPr>
          <w:b/>
        </w:rPr>
        <w:lastRenderedPageBreak/>
        <w:t>Extended Table 3: Autopsied brain tissue and PBMCs for flow cytometry</w:t>
      </w:r>
    </w:p>
    <w:p w14:paraId="1FB8874C" w14:textId="77777777" w:rsidR="006F1989" w:rsidRPr="006F1989" w:rsidRDefault="006F1989" w:rsidP="006F1989">
      <w:pPr>
        <w:rPr>
          <w:b/>
        </w:rPr>
      </w:pPr>
    </w:p>
    <w:tbl>
      <w:tblPr>
        <w:tblStyle w:val="GridTable1Light"/>
        <w:tblW w:w="0" w:type="auto"/>
        <w:tblLook w:val="04A0" w:firstRow="1" w:lastRow="0" w:firstColumn="1" w:lastColumn="0" w:noHBand="0" w:noVBand="1"/>
      </w:tblPr>
      <w:tblGrid>
        <w:gridCol w:w="1307"/>
        <w:gridCol w:w="1185"/>
        <w:gridCol w:w="1221"/>
        <w:gridCol w:w="1480"/>
        <w:gridCol w:w="1166"/>
        <w:gridCol w:w="1291"/>
        <w:gridCol w:w="1432"/>
      </w:tblGrid>
      <w:tr w:rsidR="006F1989" w:rsidRPr="006F1989" w14:paraId="03CD5BE1" w14:textId="77777777" w:rsidTr="006F19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7" w:type="dxa"/>
            <w:tcBorders>
              <w:top w:val="single" w:sz="4" w:space="0" w:color="999999" w:themeColor="text1" w:themeTint="66"/>
              <w:left w:val="single" w:sz="4" w:space="0" w:color="999999" w:themeColor="text1" w:themeTint="66"/>
              <w:right w:val="single" w:sz="4" w:space="0" w:color="999999" w:themeColor="text1" w:themeTint="66"/>
            </w:tcBorders>
            <w:hideMark/>
          </w:tcPr>
          <w:p w14:paraId="052B2EFA" w14:textId="77777777" w:rsidR="006F1989" w:rsidRPr="006F1989" w:rsidRDefault="006F1989" w:rsidP="006F1989">
            <w:pPr>
              <w:spacing w:after="160" w:line="278" w:lineRule="auto"/>
            </w:pPr>
            <w:r w:rsidRPr="006F1989">
              <w:t>Donor</w:t>
            </w:r>
          </w:p>
        </w:tc>
        <w:tc>
          <w:tcPr>
            <w:tcW w:w="1185" w:type="dxa"/>
            <w:tcBorders>
              <w:top w:val="single" w:sz="4" w:space="0" w:color="999999" w:themeColor="text1" w:themeTint="66"/>
              <w:left w:val="single" w:sz="4" w:space="0" w:color="999999" w:themeColor="text1" w:themeTint="66"/>
              <w:right w:val="single" w:sz="4" w:space="0" w:color="999999" w:themeColor="text1" w:themeTint="66"/>
            </w:tcBorders>
            <w:hideMark/>
          </w:tcPr>
          <w:p w14:paraId="64B5E16B" w14:textId="77777777" w:rsidR="006F1989" w:rsidRPr="006F1989" w:rsidRDefault="006F1989" w:rsidP="006F1989">
            <w:pPr>
              <w:spacing w:after="160" w:line="278" w:lineRule="auto"/>
              <w:cnfStyle w:val="100000000000" w:firstRow="1" w:lastRow="0" w:firstColumn="0" w:lastColumn="0" w:oddVBand="0" w:evenVBand="0" w:oddHBand="0" w:evenHBand="0" w:firstRowFirstColumn="0" w:firstRowLastColumn="0" w:lastRowFirstColumn="0" w:lastRowLastColumn="0"/>
            </w:pPr>
            <w:r w:rsidRPr="006F1989">
              <w:t>Age</w:t>
            </w:r>
          </w:p>
        </w:tc>
        <w:tc>
          <w:tcPr>
            <w:tcW w:w="1221" w:type="dxa"/>
            <w:tcBorders>
              <w:top w:val="single" w:sz="4" w:space="0" w:color="999999" w:themeColor="text1" w:themeTint="66"/>
              <w:left w:val="single" w:sz="4" w:space="0" w:color="999999" w:themeColor="text1" w:themeTint="66"/>
              <w:right w:val="single" w:sz="4" w:space="0" w:color="999999" w:themeColor="text1" w:themeTint="66"/>
            </w:tcBorders>
            <w:hideMark/>
          </w:tcPr>
          <w:p w14:paraId="3095B358" w14:textId="77777777" w:rsidR="006F1989" w:rsidRPr="006F1989" w:rsidRDefault="006F1989" w:rsidP="006F1989">
            <w:pPr>
              <w:spacing w:after="160" w:line="278" w:lineRule="auto"/>
              <w:cnfStyle w:val="100000000000" w:firstRow="1" w:lastRow="0" w:firstColumn="0" w:lastColumn="0" w:oddVBand="0" w:evenVBand="0" w:oddHBand="0" w:evenHBand="0" w:firstRowFirstColumn="0" w:firstRowLastColumn="0" w:lastRowFirstColumn="0" w:lastRowLastColumn="0"/>
            </w:pPr>
            <w:r w:rsidRPr="006F1989">
              <w:t>Sex</w:t>
            </w:r>
          </w:p>
        </w:tc>
        <w:tc>
          <w:tcPr>
            <w:tcW w:w="1480" w:type="dxa"/>
            <w:tcBorders>
              <w:top w:val="single" w:sz="4" w:space="0" w:color="999999" w:themeColor="text1" w:themeTint="66"/>
              <w:left w:val="single" w:sz="4" w:space="0" w:color="999999" w:themeColor="text1" w:themeTint="66"/>
              <w:right w:val="single" w:sz="4" w:space="0" w:color="999999" w:themeColor="text1" w:themeTint="66"/>
            </w:tcBorders>
            <w:hideMark/>
          </w:tcPr>
          <w:p w14:paraId="7A0DF8E7" w14:textId="77777777" w:rsidR="006F1989" w:rsidRPr="006F1989" w:rsidRDefault="006F1989" w:rsidP="006F1989">
            <w:pPr>
              <w:spacing w:after="160" w:line="278" w:lineRule="auto"/>
              <w:cnfStyle w:val="100000000000" w:firstRow="1" w:lastRow="0" w:firstColumn="0" w:lastColumn="0" w:oddVBand="0" w:evenVBand="0" w:oddHBand="0" w:evenHBand="0" w:firstRowFirstColumn="0" w:firstRowLastColumn="0" w:lastRowFirstColumn="0" w:lastRowLastColumn="0"/>
            </w:pPr>
            <w:r w:rsidRPr="006F1989">
              <w:t>Phenotype</w:t>
            </w:r>
          </w:p>
        </w:tc>
        <w:tc>
          <w:tcPr>
            <w:tcW w:w="1166" w:type="dxa"/>
            <w:tcBorders>
              <w:top w:val="single" w:sz="4" w:space="0" w:color="999999" w:themeColor="text1" w:themeTint="66"/>
              <w:left w:val="single" w:sz="4" w:space="0" w:color="999999" w:themeColor="text1" w:themeTint="66"/>
              <w:right w:val="single" w:sz="4" w:space="0" w:color="999999" w:themeColor="text1" w:themeTint="66"/>
            </w:tcBorders>
            <w:hideMark/>
          </w:tcPr>
          <w:p w14:paraId="0512B021" w14:textId="77777777" w:rsidR="006F1989" w:rsidRPr="006F1989" w:rsidRDefault="006F1989" w:rsidP="006F1989">
            <w:pPr>
              <w:spacing w:after="160" w:line="278" w:lineRule="auto"/>
              <w:cnfStyle w:val="100000000000" w:firstRow="1" w:lastRow="0" w:firstColumn="0" w:lastColumn="0" w:oddVBand="0" w:evenVBand="0" w:oddHBand="0" w:evenHBand="0" w:firstRowFirstColumn="0" w:firstRowLastColumn="0" w:lastRowFirstColumn="0" w:lastRowLastColumn="0"/>
            </w:pPr>
            <w:r w:rsidRPr="006F1989">
              <w:t>EDSS</w:t>
            </w:r>
          </w:p>
        </w:tc>
        <w:tc>
          <w:tcPr>
            <w:tcW w:w="1291" w:type="dxa"/>
            <w:tcBorders>
              <w:top w:val="single" w:sz="4" w:space="0" w:color="999999" w:themeColor="text1" w:themeTint="66"/>
              <w:left w:val="single" w:sz="4" w:space="0" w:color="999999" w:themeColor="text1" w:themeTint="66"/>
              <w:right w:val="single" w:sz="4" w:space="0" w:color="999999" w:themeColor="text1" w:themeTint="66"/>
            </w:tcBorders>
            <w:hideMark/>
          </w:tcPr>
          <w:p w14:paraId="38FB9F5B" w14:textId="77777777" w:rsidR="006F1989" w:rsidRPr="006F1989" w:rsidRDefault="006F1989" w:rsidP="006F1989">
            <w:pPr>
              <w:spacing w:after="160" w:line="278" w:lineRule="auto"/>
              <w:cnfStyle w:val="100000000000" w:firstRow="1" w:lastRow="0" w:firstColumn="0" w:lastColumn="0" w:oddVBand="0" w:evenVBand="0" w:oddHBand="0" w:evenHBand="0" w:firstRowFirstColumn="0" w:firstRowLastColumn="0" w:lastRowFirstColumn="0" w:lastRowLastColumn="0"/>
            </w:pPr>
            <w:r w:rsidRPr="006F1989">
              <w:t>Sample / Regions</w:t>
            </w:r>
          </w:p>
        </w:tc>
        <w:tc>
          <w:tcPr>
            <w:tcW w:w="1412" w:type="dxa"/>
            <w:tcBorders>
              <w:top w:val="single" w:sz="4" w:space="0" w:color="999999" w:themeColor="text1" w:themeTint="66"/>
              <w:left w:val="single" w:sz="4" w:space="0" w:color="999999" w:themeColor="text1" w:themeTint="66"/>
              <w:right w:val="single" w:sz="4" w:space="0" w:color="999999" w:themeColor="text1" w:themeTint="66"/>
            </w:tcBorders>
            <w:hideMark/>
          </w:tcPr>
          <w:p w14:paraId="281D36D5" w14:textId="77777777" w:rsidR="006F1989" w:rsidRPr="006F1989" w:rsidRDefault="006F1989" w:rsidP="006F1989">
            <w:pPr>
              <w:spacing w:after="160" w:line="278" w:lineRule="auto"/>
              <w:cnfStyle w:val="100000000000" w:firstRow="1" w:lastRow="0" w:firstColumn="0" w:lastColumn="0" w:oddVBand="0" w:evenVBand="0" w:oddHBand="0" w:evenHBand="0" w:firstRowFirstColumn="0" w:firstRowLastColumn="0" w:lastRowFirstColumn="0" w:lastRowLastColumn="0"/>
            </w:pPr>
            <w:r w:rsidRPr="006F1989">
              <w:t>Comments</w:t>
            </w:r>
          </w:p>
        </w:tc>
      </w:tr>
      <w:tr w:rsidR="006F1989" w:rsidRPr="006F1989" w14:paraId="57336EA6" w14:textId="77777777" w:rsidTr="006F1989">
        <w:tc>
          <w:tcPr>
            <w:cnfStyle w:val="001000000000" w:firstRow="0" w:lastRow="0" w:firstColumn="1" w:lastColumn="0" w:oddVBand="0" w:evenVBand="0" w:oddHBand="0" w:evenHBand="0" w:firstRowFirstColumn="0" w:firstRowLastColumn="0" w:lastRowFirstColumn="0" w:lastRowLastColumn="0"/>
            <w:tcW w:w="130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84A79B0" w14:textId="77777777" w:rsidR="006F1989" w:rsidRPr="006F1989" w:rsidRDefault="006F1989" w:rsidP="006F1989">
            <w:pPr>
              <w:spacing w:after="160" w:line="278" w:lineRule="auto"/>
            </w:pPr>
            <w:r w:rsidRPr="006F1989">
              <w:t>1</w:t>
            </w:r>
          </w:p>
        </w:tc>
        <w:tc>
          <w:tcPr>
            <w:tcW w:w="118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C2B428E"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60</w:t>
            </w:r>
          </w:p>
        </w:tc>
        <w:tc>
          <w:tcPr>
            <w:tcW w:w="122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2A537E7"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Male</w:t>
            </w:r>
          </w:p>
        </w:tc>
        <w:tc>
          <w:tcPr>
            <w:tcW w:w="148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75E4521"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SPMS</w:t>
            </w:r>
          </w:p>
        </w:tc>
        <w:tc>
          <w:tcPr>
            <w:tcW w:w="116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68EBCEA"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7</w:t>
            </w:r>
          </w:p>
        </w:tc>
        <w:tc>
          <w:tcPr>
            <w:tcW w:w="129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CF210C8"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1 PBMC</w:t>
            </w:r>
          </w:p>
          <w:p w14:paraId="6D7AB633"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1 PVWML</w:t>
            </w:r>
          </w:p>
        </w:tc>
        <w:tc>
          <w:tcPr>
            <w:tcW w:w="14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7ACB1F3"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PM delay 4 hours 8 minutes, Perfused</w:t>
            </w:r>
          </w:p>
        </w:tc>
      </w:tr>
      <w:tr w:rsidR="006F1989" w:rsidRPr="006F1989" w14:paraId="5ED1B032" w14:textId="77777777" w:rsidTr="006F1989">
        <w:tc>
          <w:tcPr>
            <w:cnfStyle w:val="001000000000" w:firstRow="0" w:lastRow="0" w:firstColumn="1" w:lastColumn="0" w:oddVBand="0" w:evenVBand="0" w:oddHBand="0" w:evenHBand="0" w:firstRowFirstColumn="0" w:firstRowLastColumn="0" w:lastRowFirstColumn="0" w:lastRowLastColumn="0"/>
            <w:tcW w:w="130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B28B90F" w14:textId="77777777" w:rsidR="006F1989" w:rsidRPr="006F1989" w:rsidRDefault="006F1989" w:rsidP="006F1989">
            <w:pPr>
              <w:spacing w:after="160" w:line="278" w:lineRule="auto"/>
            </w:pPr>
            <w:r w:rsidRPr="006F1989">
              <w:t>2</w:t>
            </w:r>
          </w:p>
        </w:tc>
        <w:tc>
          <w:tcPr>
            <w:tcW w:w="118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4505DBA"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81</w:t>
            </w:r>
          </w:p>
        </w:tc>
        <w:tc>
          <w:tcPr>
            <w:tcW w:w="122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A2863FC"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Female</w:t>
            </w:r>
          </w:p>
        </w:tc>
        <w:tc>
          <w:tcPr>
            <w:tcW w:w="148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A90BC53"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ALS</w:t>
            </w:r>
          </w:p>
        </w:tc>
        <w:tc>
          <w:tcPr>
            <w:tcW w:w="116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D9586B6"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w:t>
            </w:r>
          </w:p>
        </w:tc>
        <w:tc>
          <w:tcPr>
            <w:tcW w:w="129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C5D9D54"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1 NAWM</w:t>
            </w:r>
          </w:p>
        </w:tc>
        <w:tc>
          <w:tcPr>
            <w:tcW w:w="14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E69759B"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PM delay 3 hours 22; Not perfused</w:t>
            </w:r>
          </w:p>
        </w:tc>
      </w:tr>
      <w:tr w:rsidR="006F1989" w:rsidRPr="006F1989" w14:paraId="37C5E402" w14:textId="77777777" w:rsidTr="006F1989">
        <w:tc>
          <w:tcPr>
            <w:cnfStyle w:val="001000000000" w:firstRow="0" w:lastRow="0" w:firstColumn="1" w:lastColumn="0" w:oddVBand="0" w:evenVBand="0" w:oddHBand="0" w:evenHBand="0" w:firstRowFirstColumn="0" w:firstRowLastColumn="0" w:lastRowFirstColumn="0" w:lastRowLastColumn="0"/>
            <w:tcW w:w="130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D6155CB" w14:textId="77777777" w:rsidR="006F1989" w:rsidRPr="006F1989" w:rsidRDefault="006F1989" w:rsidP="006F1989">
            <w:pPr>
              <w:spacing w:after="160" w:line="278" w:lineRule="auto"/>
            </w:pPr>
            <w:r w:rsidRPr="006F1989">
              <w:t>3</w:t>
            </w:r>
          </w:p>
        </w:tc>
        <w:tc>
          <w:tcPr>
            <w:tcW w:w="118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A25083E"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56</w:t>
            </w:r>
          </w:p>
        </w:tc>
        <w:tc>
          <w:tcPr>
            <w:tcW w:w="122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9B9EE8A"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Male</w:t>
            </w:r>
          </w:p>
        </w:tc>
        <w:tc>
          <w:tcPr>
            <w:tcW w:w="148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D0110ED"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PPMS</w:t>
            </w:r>
          </w:p>
        </w:tc>
        <w:tc>
          <w:tcPr>
            <w:tcW w:w="116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CF34A69"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8</w:t>
            </w:r>
          </w:p>
        </w:tc>
        <w:tc>
          <w:tcPr>
            <w:tcW w:w="129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C7A70CB"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1 PBMC</w:t>
            </w:r>
          </w:p>
          <w:p w14:paraId="5045DCA2"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3 PVWML</w:t>
            </w:r>
          </w:p>
          <w:p w14:paraId="232E183B"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1 NAWM</w:t>
            </w:r>
          </w:p>
        </w:tc>
        <w:tc>
          <w:tcPr>
            <w:tcW w:w="14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A64600F"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PM delay 5 hours 15 minutes; Perfused</w:t>
            </w:r>
          </w:p>
        </w:tc>
      </w:tr>
      <w:tr w:rsidR="006F1989" w:rsidRPr="006F1989" w14:paraId="55A426CB" w14:textId="77777777" w:rsidTr="006F1989">
        <w:tc>
          <w:tcPr>
            <w:cnfStyle w:val="001000000000" w:firstRow="0" w:lastRow="0" w:firstColumn="1" w:lastColumn="0" w:oddVBand="0" w:evenVBand="0" w:oddHBand="0" w:evenHBand="0" w:firstRowFirstColumn="0" w:firstRowLastColumn="0" w:lastRowFirstColumn="0" w:lastRowLastColumn="0"/>
            <w:tcW w:w="130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DC90249" w14:textId="77777777" w:rsidR="006F1989" w:rsidRPr="006F1989" w:rsidRDefault="006F1989" w:rsidP="006F1989">
            <w:pPr>
              <w:spacing w:after="160" w:line="278" w:lineRule="auto"/>
            </w:pPr>
            <w:r w:rsidRPr="006F1989">
              <w:t>4</w:t>
            </w:r>
          </w:p>
        </w:tc>
        <w:tc>
          <w:tcPr>
            <w:tcW w:w="118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3697106"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62</w:t>
            </w:r>
          </w:p>
        </w:tc>
        <w:tc>
          <w:tcPr>
            <w:tcW w:w="122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F21F075"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Male</w:t>
            </w:r>
          </w:p>
        </w:tc>
        <w:tc>
          <w:tcPr>
            <w:tcW w:w="148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412AD51"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ALS</w:t>
            </w:r>
          </w:p>
        </w:tc>
        <w:tc>
          <w:tcPr>
            <w:tcW w:w="116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B8FDD15"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w:t>
            </w:r>
          </w:p>
        </w:tc>
        <w:tc>
          <w:tcPr>
            <w:tcW w:w="129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921549B"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1 PBMC</w:t>
            </w:r>
          </w:p>
          <w:p w14:paraId="3EB7A051"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2 NAWM</w:t>
            </w:r>
          </w:p>
        </w:tc>
        <w:tc>
          <w:tcPr>
            <w:tcW w:w="141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58E0D62"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Perfused</w:t>
            </w:r>
          </w:p>
        </w:tc>
      </w:tr>
    </w:tbl>
    <w:p w14:paraId="15710A72" w14:textId="77777777" w:rsidR="006F1989" w:rsidRPr="006F1989" w:rsidRDefault="006F1989" w:rsidP="006F1989">
      <w:pPr>
        <w:rPr>
          <w:b/>
        </w:rPr>
      </w:pPr>
    </w:p>
    <w:p w14:paraId="180583C8" w14:textId="77777777" w:rsidR="006F1989" w:rsidRDefault="006F1989" w:rsidP="006F1989">
      <w:pPr>
        <w:rPr>
          <w:b/>
        </w:rPr>
      </w:pPr>
    </w:p>
    <w:p w14:paraId="7CC8C2A1" w14:textId="77777777" w:rsidR="006F1989" w:rsidRDefault="006F1989" w:rsidP="006F1989">
      <w:pPr>
        <w:rPr>
          <w:b/>
        </w:rPr>
      </w:pPr>
    </w:p>
    <w:p w14:paraId="67C5BAEA" w14:textId="77777777" w:rsidR="006F1989" w:rsidRDefault="006F1989" w:rsidP="006F1989">
      <w:pPr>
        <w:rPr>
          <w:b/>
        </w:rPr>
      </w:pPr>
    </w:p>
    <w:p w14:paraId="533B7E7E" w14:textId="77777777" w:rsidR="006F1989" w:rsidRDefault="006F1989" w:rsidP="006F1989">
      <w:pPr>
        <w:rPr>
          <w:b/>
        </w:rPr>
      </w:pPr>
    </w:p>
    <w:p w14:paraId="76F1EA1F" w14:textId="77777777" w:rsidR="006F1989" w:rsidRDefault="006F1989" w:rsidP="006F1989">
      <w:pPr>
        <w:rPr>
          <w:b/>
        </w:rPr>
      </w:pPr>
    </w:p>
    <w:p w14:paraId="217F0027" w14:textId="77777777" w:rsidR="006F1989" w:rsidRDefault="006F1989" w:rsidP="006F1989">
      <w:pPr>
        <w:rPr>
          <w:b/>
        </w:rPr>
      </w:pPr>
    </w:p>
    <w:p w14:paraId="4194269B" w14:textId="77777777" w:rsidR="006F1989" w:rsidRDefault="006F1989" w:rsidP="006F1989">
      <w:pPr>
        <w:rPr>
          <w:b/>
        </w:rPr>
      </w:pPr>
    </w:p>
    <w:p w14:paraId="078E941D" w14:textId="77777777" w:rsidR="006F1989" w:rsidRDefault="006F1989" w:rsidP="006F1989">
      <w:pPr>
        <w:rPr>
          <w:b/>
        </w:rPr>
      </w:pPr>
    </w:p>
    <w:p w14:paraId="150662BB" w14:textId="77777777" w:rsidR="006F1989" w:rsidRDefault="006F1989" w:rsidP="006F1989">
      <w:pPr>
        <w:rPr>
          <w:b/>
        </w:rPr>
      </w:pPr>
    </w:p>
    <w:p w14:paraId="5E1ECDC2" w14:textId="77777777" w:rsidR="006F1989" w:rsidRDefault="006F1989" w:rsidP="006F1989">
      <w:pPr>
        <w:rPr>
          <w:b/>
        </w:rPr>
      </w:pPr>
    </w:p>
    <w:p w14:paraId="2CAA82F1" w14:textId="31066A0A" w:rsidR="006F1989" w:rsidRPr="006F1989" w:rsidRDefault="006F1989" w:rsidP="006F1989">
      <w:pPr>
        <w:rPr>
          <w:b/>
        </w:rPr>
      </w:pPr>
      <w:r w:rsidRPr="006F1989">
        <w:rPr>
          <w:b/>
        </w:rPr>
        <w:lastRenderedPageBreak/>
        <w:t>Extended Table 4: CSF and blood samples for flow cytometry</w:t>
      </w:r>
    </w:p>
    <w:p w14:paraId="246E34FD" w14:textId="77777777" w:rsidR="006F1989" w:rsidRPr="006F1989" w:rsidRDefault="006F1989" w:rsidP="006F1989">
      <w:pPr>
        <w:rPr>
          <w:b/>
        </w:rPr>
      </w:pPr>
    </w:p>
    <w:tbl>
      <w:tblPr>
        <w:tblStyle w:val="GridTable1Light"/>
        <w:tblW w:w="0" w:type="auto"/>
        <w:tblLook w:val="04A0" w:firstRow="1" w:lastRow="0" w:firstColumn="1" w:lastColumn="0" w:noHBand="0" w:noVBand="1"/>
      </w:tblPr>
      <w:tblGrid>
        <w:gridCol w:w="1945"/>
        <w:gridCol w:w="1027"/>
        <w:gridCol w:w="992"/>
        <w:gridCol w:w="1985"/>
        <w:gridCol w:w="1134"/>
        <w:gridCol w:w="1979"/>
      </w:tblGrid>
      <w:tr w:rsidR="006F1989" w:rsidRPr="006F1989" w14:paraId="212882EC" w14:textId="77777777" w:rsidTr="006F19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45" w:type="dxa"/>
            <w:tcBorders>
              <w:top w:val="single" w:sz="4" w:space="0" w:color="999999" w:themeColor="text1" w:themeTint="66"/>
              <w:left w:val="single" w:sz="4" w:space="0" w:color="999999" w:themeColor="text1" w:themeTint="66"/>
              <w:right w:val="single" w:sz="4" w:space="0" w:color="999999" w:themeColor="text1" w:themeTint="66"/>
            </w:tcBorders>
            <w:hideMark/>
          </w:tcPr>
          <w:p w14:paraId="32F394CB" w14:textId="77777777" w:rsidR="006F1989" w:rsidRPr="006F1989" w:rsidRDefault="006F1989" w:rsidP="006F1989">
            <w:pPr>
              <w:spacing w:after="160" w:line="278" w:lineRule="auto"/>
            </w:pPr>
            <w:r w:rsidRPr="006F1989">
              <w:t>Donor</w:t>
            </w:r>
          </w:p>
        </w:tc>
        <w:tc>
          <w:tcPr>
            <w:tcW w:w="1027" w:type="dxa"/>
            <w:tcBorders>
              <w:top w:val="single" w:sz="4" w:space="0" w:color="999999" w:themeColor="text1" w:themeTint="66"/>
              <w:left w:val="single" w:sz="4" w:space="0" w:color="999999" w:themeColor="text1" w:themeTint="66"/>
              <w:right w:val="single" w:sz="4" w:space="0" w:color="999999" w:themeColor="text1" w:themeTint="66"/>
            </w:tcBorders>
            <w:hideMark/>
          </w:tcPr>
          <w:p w14:paraId="45A00324" w14:textId="77777777" w:rsidR="006F1989" w:rsidRPr="006F1989" w:rsidRDefault="006F1989" w:rsidP="006F1989">
            <w:pPr>
              <w:spacing w:after="160" w:line="278" w:lineRule="auto"/>
              <w:cnfStyle w:val="100000000000" w:firstRow="1" w:lastRow="0" w:firstColumn="0" w:lastColumn="0" w:oddVBand="0" w:evenVBand="0" w:oddHBand="0" w:evenHBand="0" w:firstRowFirstColumn="0" w:firstRowLastColumn="0" w:lastRowFirstColumn="0" w:lastRowLastColumn="0"/>
            </w:pPr>
            <w:r w:rsidRPr="006F1989">
              <w:t>Age</w:t>
            </w:r>
          </w:p>
        </w:tc>
        <w:tc>
          <w:tcPr>
            <w:tcW w:w="992" w:type="dxa"/>
            <w:tcBorders>
              <w:top w:val="single" w:sz="4" w:space="0" w:color="999999" w:themeColor="text1" w:themeTint="66"/>
              <w:left w:val="single" w:sz="4" w:space="0" w:color="999999" w:themeColor="text1" w:themeTint="66"/>
              <w:right w:val="single" w:sz="4" w:space="0" w:color="999999" w:themeColor="text1" w:themeTint="66"/>
            </w:tcBorders>
            <w:hideMark/>
          </w:tcPr>
          <w:p w14:paraId="26A55C4A" w14:textId="77777777" w:rsidR="006F1989" w:rsidRPr="006F1989" w:rsidRDefault="006F1989" w:rsidP="006F1989">
            <w:pPr>
              <w:spacing w:after="160" w:line="278" w:lineRule="auto"/>
              <w:cnfStyle w:val="100000000000" w:firstRow="1" w:lastRow="0" w:firstColumn="0" w:lastColumn="0" w:oddVBand="0" w:evenVBand="0" w:oddHBand="0" w:evenHBand="0" w:firstRowFirstColumn="0" w:firstRowLastColumn="0" w:lastRowFirstColumn="0" w:lastRowLastColumn="0"/>
            </w:pPr>
            <w:r w:rsidRPr="006F1989">
              <w:t>Sex</w:t>
            </w:r>
          </w:p>
        </w:tc>
        <w:tc>
          <w:tcPr>
            <w:tcW w:w="1985" w:type="dxa"/>
            <w:tcBorders>
              <w:top w:val="single" w:sz="4" w:space="0" w:color="999999" w:themeColor="text1" w:themeTint="66"/>
              <w:left w:val="single" w:sz="4" w:space="0" w:color="999999" w:themeColor="text1" w:themeTint="66"/>
              <w:right w:val="single" w:sz="4" w:space="0" w:color="999999" w:themeColor="text1" w:themeTint="66"/>
            </w:tcBorders>
            <w:hideMark/>
          </w:tcPr>
          <w:p w14:paraId="30D23F0D" w14:textId="77777777" w:rsidR="006F1989" w:rsidRPr="006F1989" w:rsidRDefault="006F1989" w:rsidP="006F1989">
            <w:pPr>
              <w:spacing w:after="160" w:line="278" w:lineRule="auto"/>
              <w:cnfStyle w:val="100000000000" w:firstRow="1" w:lastRow="0" w:firstColumn="0" w:lastColumn="0" w:oddVBand="0" w:evenVBand="0" w:oddHBand="0" w:evenHBand="0" w:firstRowFirstColumn="0" w:firstRowLastColumn="0" w:lastRowFirstColumn="0" w:lastRowLastColumn="0"/>
            </w:pPr>
            <w:r w:rsidRPr="006F1989">
              <w:t>Phenotype / Activity</w:t>
            </w:r>
          </w:p>
        </w:tc>
        <w:tc>
          <w:tcPr>
            <w:tcW w:w="1134" w:type="dxa"/>
            <w:tcBorders>
              <w:top w:val="single" w:sz="4" w:space="0" w:color="999999" w:themeColor="text1" w:themeTint="66"/>
              <w:left w:val="single" w:sz="4" w:space="0" w:color="999999" w:themeColor="text1" w:themeTint="66"/>
              <w:right w:val="single" w:sz="4" w:space="0" w:color="999999" w:themeColor="text1" w:themeTint="66"/>
            </w:tcBorders>
            <w:hideMark/>
          </w:tcPr>
          <w:p w14:paraId="0CC9AA18" w14:textId="77777777" w:rsidR="006F1989" w:rsidRPr="006F1989" w:rsidRDefault="006F1989" w:rsidP="006F1989">
            <w:pPr>
              <w:spacing w:after="160" w:line="278" w:lineRule="auto"/>
              <w:cnfStyle w:val="100000000000" w:firstRow="1" w:lastRow="0" w:firstColumn="0" w:lastColumn="0" w:oddVBand="0" w:evenVBand="0" w:oddHBand="0" w:evenHBand="0" w:firstRowFirstColumn="0" w:firstRowLastColumn="0" w:lastRowFirstColumn="0" w:lastRowLastColumn="0"/>
            </w:pPr>
            <w:r w:rsidRPr="006F1989">
              <w:t xml:space="preserve">EDSS </w:t>
            </w:r>
          </w:p>
        </w:tc>
        <w:tc>
          <w:tcPr>
            <w:tcW w:w="1979" w:type="dxa"/>
            <w:tcBorders>
              <w:top w:val="single" w:sz="4" w:space="0" w:color="999999" w:themeColor="text1" w:themeTint="66"/>
              <w:left w:val="single" w:sz="4" w:space="0" w:color="999999" w:themeColor="text1" w:themeTint="66"/>
              <w:right w:val="single" w:sz="4" w:space="0" w:color="999999" w:themeColor="text1" w:themeTint="66"/>
            </w:tcBorders>
            <w:hideMark/>
          </w:tcPr>
          <w:p w14:paraId="2F8F226D" w14:textId="77777777" w:rsidR="006F1989" w:rsidRPr="006F1989" w:rsidRDefault="006F1989" w:rsidP="006F1989">
            <w:pPr>
              <w:spacing w:after="160" w:line="278" w:lineRule="auto"/>
              <w:cnfStyle w:val="100000000000" w:firstRow="1" w:lastRow="0" w:firstColumn="0" w:lastColumn="0" w:oddVBand="0" w:evenVBand="0" w:oddHBand="0" w:evenHBand="0" w:firstRowFirstColumn="0" w:firstRowLastColumn="0" w:lastRowFirstColumn="0" w:lastRowLastColumn="0"/>
            </w:pPr>
            <w:r w:rsidRPr="006F1989">
              <w:t>Oligoclonal bands</w:t>
            </w:r>
          </w:p>
        </w:tc>
      </w:tr>
      <w:tr w:rsidR="006F1989" w:rsidRPr="006F1989" w14:paraId="2CA17301" w14:textId="77777777" w:rsidTr="006F1989">
        <w:tc>
          <w:tcPr>
            <w:cnfStyle w:val="001000000000" w:firstRow="0" w:lastRow="0" w:firstColumn="1" w:lastColumn="0" w:oddVBand="0" w:evenVBand="0" w:oddHBand="0" w:evenHBand="0" w:firstRowFirstColumn="0" w:firstRowLastColumn="0" w:lastRowFirstColumn="0" w:lastRowLastColumn="0"/>
            <w:tcW w:w="194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tbl>
            <w:tblPr>
              <w:tblW w:w="1729" w:type="dxa"/>
              <w:tblCellMar>
                <w:left w:w="0" w:type="dxa"/>
                <w:right w:w="0" w:type="dxa"/>
              </w:tblCellMar>
              <w:tblLook w:val="04A0" w:firstRow="1" w:lastRow="0" w:firstColumn="1" w:lastColumn="0" w:noHBand="0" w:noVBand="1"/>
            </w:tblPr>
            <w:tblGrid>
              <w:gridCol w:w="1729"/>
            </w:tblGrid>
            <w:tr w:rsidR="006F1989" w:rsidRPr="006F1989" w14:paraId="0CC22954" w14:textId="77777777">
              <w:tc>
                <w:tcPr>
                  <w:tcW w:w="1729" w:type="dxa"/>
                  <w:noWrap/>
                  <w:tcMar>
                    <w:top w:w="15" w:type="dxa"/>
                    <w:left w:w="15" w:type="dxa"/>
                    <w:bottom w:w="0" w:type="dxa"/>
                    <w:right w:w="15" w:type="dxa"/>
                  </w:tcMar>
                  <w:vAlign w:val="bottom"/>
                  <w:hideMark/>
                </w:tcPr>
                <w:p w14:paraId="2A334A9D" w14:textId="77777777" w:rsidR="006F1989" w:rsidRPr="006F1989" w:rsidRDefault="006F1989" w:rsidP="006F1989">
                  <w:pPr>
                    <w:rPr>
                      <w:b/>
                      <w:bCs/>
                    </w:rPr>
                  </w:pPr>
                  <w:r w:rsidRPr="006F1989">
                    <w:rPr>
                      <w:b/>
                      <w:bCs/>
                    </w:rPr>
                    <w:t>1</w:t>
                  </w:r>
                </w:p>
              </w:tc>
            </w:tr>
          </w:tbl>
          <w:p w14:paraId="0FB82926" w14:textId="77777777" w:rsidR="006F1989" w:rsidRPr="006F1989" w:rsidRDefault="006F1989" w:rsidP="006F1989">
            <w:pPr>
              <w:spacing w:after="160" w:line="278" w:lineRule="auto"/>
            </w:pPr>
          </w:p>
        </w:tc>
        <w:tc>
          <w:tcPr>
            <w:tcW w:w="102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70F6209"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44</w:t>
            </w: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430B4D6"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Male</w:t>
            </w:r>
          </w:p>
        </w:tc>
        <w:tc>
          <w:tcPr>
            <w:tcW w:w="198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B9626BF"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RRMS</w:t>
            </w:r>
          </w:p>
        </w:tc>
        <w:tc>
          <w:tcPr>
            <w:tcW w:w="113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A593F49"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1.5</w:t>
            </w:r>
          </w:p>
        </w:tc>
        <w:tc>
          <w:tcPr>
            <w:tcW w:w="197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CDD9B74"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Positive</w:t>
            </w:r>
          </w:p>
        </w:tc>
      </w:tr>
      <w:tr w:rsidR="006F1989" w:rsidRPr="006F1989" w14:paraId="2C401967" w14:textId="77777777" w:rsidTr="006F1989">
        <w:tc>
          <w:tcPr>
            <w:cnfStyle w:val="001000000000" w:firstRow="0" w:lastRow="0" w:firstColumn="1" w:lastColumn="0" w:oddVBand="0" w:evenVBand="0" w:oddHBand="0" w:evenHBand="0" w:firstRowFirstColumn="0" w:firstRowLastColumn="0" w:lastRowFirstColumn="0" w:lastRowLastColumn="0"/>
            <w:tcW w:w="194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tbl>
            <w:tblPr>
              <w:tblW w:w="1729" w:type="dxa"/>
              <w:tblCellMar>
                <w:left w:w="0" w:type="dxa"/>
                <w:right w:w="0" w:type="dxa"/>
              </w:tblCellMar>
              <w:tblLook w:val="04A0" w:firstRow="1" w:lastRow="0" w:firstColumn="1" w:lastColumn="0" w:noHBand="0" w:noVBand="1"/>
            </w:tblPr>
            <w:tblGrid>
              <w:gridCol w:w="1729"/>
            </w:tblGrid>
            <w:tr w:rsidR="006F1989" w:rsidRPr="006F1989" w14:paraId="64869DEF" w14:textId="77777777">
              <w:tc>
                <w:tcPr>
                  <w:tcW w:w="1729" w:type="dxa"/>
                  <w:noWrap/>
                  <w:tcMar>
                    <w:top w:w="15" w:type="dxa"/>
                    <w:left w:w="15" w:type="dxa"/>
                    <w:bottom w:w="0" w:type="dxa"/>
                    <w:right w:w="15" w:type="dxa"/>
                  </w:tcMar>
                  <w:vAlign w:val="bottom"/>
                  <w:hideMark/>
                </w:tcPr>
                <w:p w14:paraId="48C5BA3D" w14:textId="77777777" w:rsidR="006F1989" w:rsidRPr="006F1989" w:rsidRDefault="006F1989" w:rsidP="006F1989">
                  <w:pPr>
                    <w:rPr>
                      <w:b/>
                      <w:bCs/>
                    </w:rPr>
                  </w:pPr>
                  <w:r w:rsidRPr="006F1989">
                    <w:rPr>
                      <w:b/>
                      <w:bCs/>
                    </w:rPr>
                    <w:t>2</w:t>
                  </w:r>
                </w:p>
              </w:tc>
            </w:tr>
          </w:tbl>
          <w:p w14:paraId="1B65C99F" w14:textId="77777777" w:rsidR="006F1989" w:rsidRPr="006F1989" w:rsidRDefault="006F1989" w:rsidP="006F1989">
            <w:pPr>
              <w:spacing w:after="160" w:line="278" w:lineRule="auto"/>
            </w:pPr>
          </w:p>
        </w:tc>
        <w:tc>
          <w:tcPr>
            <w:tcW w:w="102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AF48C8A"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39</w:t>
            </w: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2C05152"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Female</w:t>
            </w:r>
          </w:p>
        </w:tc>
        <w:tc>
          <w:tcPr>
            <w:tcW w:w="198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6FC5955"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RIS</w:t>
            </w:r>
          </w:p>
        </w:tc>
        <w:tc>
          <w:tcPr>
            <w:tcW w:w="113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9FBE19B"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0</w:t>
            </w:r>
          </w:p>
        </w:tc>
        <w:tc>
          <w:tcPr>
            <w:tcW w:w="197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F0ACBFB"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1 band</w:t>
            </w:r>
          </w:p>
        </w:tc>
      </w:tr>
      <w:tr w:rsidR="006F1989" w:rsidRPr="006F1989" w14:paraId="14532800" w14:textId="77777777" w:rsidTr="006F1989">
        <w:tc>
          <w:tcPr>
            <w:cnfStyle w:val="001000000000" w:firstRow="0" w:lastRow="0" w:firstColumn="1" w:lastColumn="0" w:oddVBand="0" w:evenVBand="0" w:oddHBand="0" w:evenHBand="0" w:firstRowFirstColumn="0" w:firstRowLastColumn="0" w:lastRowFirstColumn="0" w:lastRowLastColumn="0"/>
            <w:tcW w:w="194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tbl>
            <w:tblPr>
              <w:tblW w:w="1729" w:type="dxa"/>
              <w:tblCellMar>
                <w:left w:w="0" w:type="dxa"/>
                <w:right w:w="0" w:type="dxa"/>
              </w:tblCellMar>
              <w:tblLook w:val="04A0" w:firstRow="1" w:lastRow="0" w:firstColumn="1" w:lastColumn="0" w:noHBand="0" w:noVBand="1"/>
            </w:tblPr>
            <w:tblGrid>
              <w:gridCol w:w="1729"/>
            </w:tblGrid>
            <w:tr w:rsidR="006F1989" w:rsidRPr="006F1989" w14:paraId="5B89635A" w14:textId="77777777">
              <w:tc>
                <w:tcPr>
                  <w:tcW w:w="1729" w:type="dxa"/>
                  <w:noWrap/>
                  <w:tcMar>
                    <w:top w:w="15" w:type="dxa"/>
                    <w:left w:w="15" w:type="dxa"/>
                    <w:bottom w:w="0" w:type="dxa"/>
                    <w:right w:w="15" w:type="dxa"/>
                  </w:tcMar>
                  <w:vAlign w:val="bottom"/>
                  <w:hideMark/>
                </w:tcPr>
                <w:p w14:paraId="321B4741" w14:textId="77777777" w:rsidR="006F1989" w:rsidRPr="006F1989" w:rsidRDefault="006F1989" w:rsidP="006F1989">
                  <w:pPr>
                    <w:rPr>
                      <w:b/>
                      <w:bCs/>
                    </w:rPr>
                  </w:pPr>
                  <w:r w:rsidRPr="006F1989">
                    <w:rPr>
                      <w:b/>
                      <w:bCs/>
                    </w:rPr>
                    <w:t>3</w:t>
                  </w:r>
                </w:p>
              </w:tc>
            </w:tr>
          </w:tbl>
          <w:p w14:paraId="40B54C43" w14:textId="77777777" w:rsidR="006F1989" w:rsidRPr="006F1989" w:rsidRDefault="006F1989" w:rsidP="006F1989">
            <w:pPr>
              <w:spacing w:after="160" w:line="278" w:lineRule="auto"/>
            </w:pPr>
          </w:p>
        </w:tc>
        <w:tc>
          <w:tcPr>
            <w:tcW w:w="102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63B74A5"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25</w:t>
            </w: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1F68A4D"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Female</w:t>
            </w:r>
          </w:p>
        </w:tc>
        <w:tc>
          <w:tcPr>
            <w:tcW w:w="198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A2473D4"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RRMS</w:t>
            </w:r>
          </w:p>
        </w:tc>
        <w:tc>
          <w:tcPr>
            <w:tcW w:w="113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37C6D46"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1</w:t>
            </w:r>
          </w:p>
        </w:tc>
        <w:tc>
          <w:tcPr>
            <w:tcW w:w="197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778E76E"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Positive</w:t>
            </w:r>
          </w:p>
        </w:tc>
      </w:tr>
      <w:tr w:rsidR="006F1989" w:rsidRPr="006F1989" w14:paraId="339C4F6A" w14:textId="77777777" w:rsidTr="006F1989">
        <w:tc>
          <w:tcPr>
            <w:cnfStyle w:val="001000000000" w:firstRow="0" w:lastRow="0" w:firstColumn="1" w:lastColumn="0" w:oddVBand="0" w:evenVBand="0" w:oddHBand="0" w:evenHBand="0" w:firstRowFirstColumn="0" w:firstRowLastColumn="0" w:lastRowFirstColumn="0" w:lastRowLastColumn="0"/>
            <w:tcW w:w="194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tbl>
            <w:tblPr>
              <w:tblW w:w="1729" w:type="dxa"/>
              <w:tblCellMar>
                <w:left w:w="0" w:type="dxa"/>
                <w:right w:w="0" w:type="dxa"/>
              </w:tblCellMar>
              <w:tblLook w:val="04A0" w:firstRow="1" w:lastRow="0" w:firstColumn="1" w:lastColumn="0" w:noHBand="0" w:noVBand="1"/>
            </w:tblPr>
            <w:tblGrid>
              <w:gridCol w:w="1729"/>
            </w:tblGrid>
            <w:tr w:rsidR="006F1989" w:rsidRPr="006F1989" w14:paraId="06F1DD06" w14:textId="77777777">
              <w:tc>
                <w:tcPr>
                  <w:tcW w:w="1729" w:type="dxa"/>
                  <w:noWrap/>
                  <w:tcMar>
                    <w:top w:w="15" w:type="dxa"/>
                    <w:left w:w="15" w:type="dxa"/>
                    <w:bottom w:w="0" w:type="dxa"/>
                    <w:right w:w="15" w:type="dxa"/>
                  </w:tcMar>
                  <w:vAlign w:val="bottom"/>
                  <w:hideMark/>
                </w:tcPr>
                <w:p w14:paraId="553254F3" w14:textId="77777777" w:rsidR="006F1989" w:rsidRPr="006F1989" w:rsidRDefault="006F1989" w:rsidP="006F1989">
                  <w:pPr>
                    <w:rPr>
                      <w:b/>
                      <w:bCs/>
                    </w:rPr>
                  </w:pPr>
                  <w:r w:rsidRPr="006F1989">
                    <w:rPr>
                      <w:b/>
                      <w:bCs/>
                    </w:rPr>
                    <w:t>4</w:t>
                  </w:r>
                </w:p>
              </w:tc>
            </w:tr>
          </w:tbl>
          <w:p w14:paraId="07B8F47E" w14:textId="77777777" w:rsidR="006F1989" w:rsidRPr="006F1989" w:rsidRDefault="006F1989" w:rsidP="006F1989">
            <w:pPr>
              <w:spacing w:after="160" w:line="278" w:lineRule="auto"/>
            </w:pPr>
          </w:p>
        </w:tc>
        <w:tc>
          <w:tcPr>
            <w:tcW w:w="102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D8839EC"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29</w:t>
            </w: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E22FCC2"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Female</w:t>
            </w:r>
          </w:p>
        </w:tc>
        <w:tc>
          <w:tcPr>
            <w:tcW w:w="198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F477924"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RRMS to SPMS</w:t>
            </w:r>
          </w:p>
        </w:tc>
        <w:tc>
          <w:tcPr>
            <w:tcW w:w="113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3FF2BAC"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4</w:t>
            </w:r>
          </w:p>
        </w:tc>
        <w:tc>
          <w:tcPr>
            <w:tcW w:w="197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F3B5E45"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Positive</w:t>
            </w:r>
          </w:p>
        </w:tc>
      </w:tr>
      <w:tr w:rsidR="006F1989" w:rsidRPr="006F1989" w14:paraId="452AA46B" w14:textId="77777777" w:rsidTr="006F1989">
        <w:tc>
          <w:tcPr>
            <w:cnfStyle w:val="001000000000" w:firstRow="0" w:lastRow="0" w:firstColumn="1" w:lastColumn="0" w:oddVBand="0" w:evenVBand="0" w:oddHBand="0" w:evenHBand="0" w:firstRowFirstColumn="0" w:firstRowLastColumn="0" w:lastRowFirstColumn="0" w:lastRowLastColumn="0"/>
            <w:tcW w:w="194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tbl>
            <w:tblPr>
              <w:tblW w:w="1729" w:type="dxa"/>
              <w:tblCellMar>
                <w:left w:w="0" w:type="dxa"/>
                <w:right w:w="0" w:type="dxa"/>
              </w:tblCellMar>
              <w:tblLook w:val="04A0" w:firstRow="1" w:lastRow="0" w:firstColumn="1" w:lastColumn="0" w:noHBand="0" w:noVBand="1"/>
            </w:tblPr>
            <w:tblGrid>
              <w:gridCol w:w="1729"/>
            </w:tblGrid>
            <w:tr w:rsidR="006F1989" w:rsidRPr="006F1989" w14:paraId="1354B3F8" w14:textId="77777777">
              <w:tc>
                <w:tcPr>
                  <w:tcW w:w="1729" w:type="dxa"/>
                  <w:noWrap/>
                  <w:tcMar>
                    <w:top w:w="15" w:type="dxa"/>
                    <w:left w:w="15" w:type="dxa"/>
                    <w:bottom w:w="0" w:type="dxa"/>
                    <w:right w:w="15" w:type="dxa"/>
                  </w:tcMar>
                  <w:vAlign w:val="bottom"/>
                  <w:hideMark/>
                </w:tcPr>
                <w:p w14:paraId="0E9F60E4" w14:textId="77777777" w:rsidR="006F1989" w:rsidRPr="006F1989" w:rsidRDefault="006F1989" w:rsidP="006F1989">
                  <w:pPr>
                    <w:rPr>
                      <w:b/>
                      <w:bCs/>
                    </w:rPr>
                  </w:pPr>
                  <w:r w:rsidRPr="006F1989">
                    <w:rPr>
                      <w:b/>
                      <w:bCs/>
                    </w:rPr>
                    <w:t>5</w:t>
                  </w:r>
                </w:p>
              </w:tc>
            </w:tr>
          </w:tbl>
          <w:p w14:paraId="3388D9DB" w14:textId="77777777" w:rsidR="006F1989" w:rsidRPr="006F1989" w:rsidRDefault="006F1989" w:rsidP="006F1989">
            <w:pPr>
              <w:spacing w:after="160" w:line="278" w:lineRule="auto"/>
            </w:pPr>
          </w:p>
        </w:tc>
        <w:tc>
          <w:tcPr>
            <w:tcW w:w="102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41A7935"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44</w:t>
            </w: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6A8A725"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Female</w:t>
            </w:r>
          </w:p>
        </w:tc>
        <w:tc>
          <w:tcPr>
            <w:tcW w:w="198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F20F575"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RRMS</w:t>
            </w:r>
          </w:p>
        </w:tc>
        <w:tc>
          <w:tcPr>
            <w:tcW w:w="113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E755A21"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2.5</w:t>
            </w:r>
          </w:p>
        </w:tc>
        <w:tc>
          <w:tcPr>
            <w:tcW w:w="197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70F688D"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Positive</w:t>
            </w:r>
          </w:p>
        </w:tc>
      </w:tr>
      <w:tr w:rsidR="006F1989" w:rsidRPr="006F1989" w14:paraId="4B57650C" w14:textId="77777777" w:rsidTr="006F1989">
        <w:tc>
          <w:tcPr>
            <w:cnfStyle w:val="001000000000" w:firstRow="0" w:lastRow="0" w:firstColumn="1" w:lastColumn="0" w:oddVBand="0" w:evenVBand="0" w:oddHBand="0" w:evenHBand="0" w:firstRowFirstColumn="0" w:firstRowLastColumn="0" w:lastRowFirstColumn="0" w:lastRowLastColumn="0"/>
            <w:tcW w:w="194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tbl>
            <w:tblPr>
              <w:tblW w:w="1729" w:type="dxa"/>
              <w:tblCellMar>
                <w:left w:w="0" w:type="dxa"/>
                <w:right w:w="0" w:type="dxa"/>
              </w:tblCellMar>
              <w:tblLook w:val="04A0" w:firstRow="1" w:lastRow="0" w:firstColumn="1" w:lastColumn="0" w:noHBand="0" w:noVBand="1"/>
            </w:tblPr>
            <w:tblGrid>
              <w:gridCol w:w="1729"/>
            </w:tblGrid>
            <w:tr w:rsidR="006F1989" w:rsidRPr="006F1989" w14:paraId="60DB5727" w14:textId="77777777">
              <w:tc>
                <w:tcPr>
                  <w:tcW w:w="1729" w:type="dxa"/>
                  <w:noWrap/>
                  <w:tcMar>
                    <w:top w:w="15" w:type="dxa"/>
                    <w:left w:w="15" w:type="dxa"/>
                    <w:bottom w:w="0" w:type="dxa"/>
                    <w:right w:w="15" w:type="dxa"/>
                  </w:tcMar>
                  <w:vAlign w:val="bottom"/>
                  <w:hideMark/>
                </w:tcPr>
                <w:p w14:paraId="0FF26362" w14:textId="77777777" w:rsidR="006F1989" w:rsidRPr="006F1989" w:rsidRDefault="006F1989" w:rsidP="006F1989">
                  <w:pPr>
                    <w:rPr>
                      <w:b/>
                      <w:bCs/>
                    </w:rPr>
                  </w:pPr>
                  <w:r w:rsidRPr="006F1989">
                    <w:rPr>
                      <w:b/>
                      <w:bCs/>
                    </w:rPr>
                    <w:t>6</w:t>
                  </w:r>
                </w:p>
              </w:tc>
            </w:tr>
          </w:tbl>
          <w:p w14:paraId="59AB67FB" w14:textId="77777777" w:rsidR="006F1989" w:rsidRPr="006F1989" w:rsidRDefault="006F1989" w:rsidP="006F1989">
            <w:pPr>
              <w:spacing w:after="160" w:line="278" w:lineRule="auto"/>
            </w:pPr>
          </w:p>
        </w:tc>
        <w:tc>
          <w:tcPr>
            <w:tcW w:w="102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FC0E8D8"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66</w:t>
            </w: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6B16615"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Female</w:t>
            </w:r>
          </w:p>
        </w:tc>
        <w:tc>
          <w:tcPr>
            <w:tcW w:w="198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EA615A3"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RRMS</w:t>
            </w:r>
          </w:p>
        </w:tc>
        <w:tc>
          <w:tcPr>
            <w:tcW w:w="113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498D82B"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2</w:t>
            </w:r>
          </w:p>
        </w:tc>
        <w:tc>
          <w:tcPr>
            <w:tcW w:w="197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6A9CE2C" w14:textId="77777777" w:rsidR="006F1989" w:rsidRPr="006F1989" w:rsidRDefault="006F1989" w:rsidP="006F1989">
            <w:pPr>
              <w:spacing w:after="160" w:line="278" w:lineRule="auto"/>
              <w:cnfStyle w:val="000000000000" w:firstRow="0" w:lastRow="0" w:firstColumn="0" w:lastColumn="0" w:oddVBand="0" w:evenVBand="0" w:oddHBand="0" w:evenHBand="0" w:firstRowFirstColumn="0" w:firstRowLastColumn="0" w:lastRowFirstColumn="0" w:lastRowLastColumn="0"/>
            </w:pPr>
            <w:r w:rsidRPr="006F1989">
              <w:t>1 band</w:t>
            </w:r>
          </w:p>
        </w:tc>
      </w:tr>
    </w:tbl>
    <w:p w14:paraId="72CC48E2" w14:textId="77777777" w:rsidR="006F1989" w:rsidRPr="006F1989" w:rsidRDefault="006F1989" w:rsidP="006F1989">
      <w:pPr>
        <w:rPr>
          <w:b/>
          <w:bCs/>
          <w:lang w:val="fr-FR"/>
        </w:rPr>
      </w:pPr>
    </w:p>
    <w:p w14:paraId="221509E7" w14:textId="77777777" w:rsidR="006F1989" w:rsidRPr="006F1989" w:rsidRDefault="006F1989" w:rsidP="006F1989">
      <w:pPr>
        <w:rPr>
          <w:b/>
        </w:rPr>
      </w:pPr>
    </w:p>
    <w:p w14:paraId="1C29A9E1" w14:textId="2CA9604C" w:rsidR="006F1989" w:rsidRPr="006F1989" w:rsidRDefault="006F1989" w:rsidP="006F1989">
      <w:pPr>
        <w:rPr>
          <w:b/>
          <w:bCs/>
        </w:rPr>
      </w:pPr>
      <w:r w:rsidRPr="006F1989">
        <w:drawing>
          <wp:anchor distT="0" distB="0" distL="114300" distR="114300" simplePos="0" relativeHeight="251659264" behindDoc="0" locked="0" layoutInCell="1" allowOverlap="1" wp14:anchorId="658CA8E1" wp14:editId="7AE31DFE">
            <wp:simplePos x="0" y="0"/>
            <wp:positionH relativeFrom="column">
              <wp:posOffset>0</wp:posOffset>
            </wp:positionH>
            <wp:positionV relativeFrom="paragraph">
              <wp:posOffset>500380</wp:posOffset>
            </wp:positionV>
            <wp:extent cx="5760720" cy="3905885"/>
            <wp:effectExtent l="0" t="0" r="0" b="0"/>
            <wp:wrapTopAndBottom/>
            <wp:docPr id="150291574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60720" cy="3905885"/>
                    </a:xfrm>
                    <a:prstGeom prst="rect">
                      <a:avLst/>
                    </a:prstGeom>
                    <a:noFill/>
                  </pic:spPr>
                </pic:pic>
              </a:graphicData>
            </a:graphic>
            <wp14:sizeRelH relativeFrom="margin">
              <wp14:pctWidth>0</wp14:pctWidth>
            </wp14:sizeRelH>
            <wp14:sizeRelV relativeFrom="margin">
              <wp14:pctHeight>0</wp14:pctHeight>
            </wp14:sizeRelV>
          </wp:anchor>
        </w:drawing>
      </w:r>
      <w:r w:rsidRPr="006F1989">
        <mc:AlternateContent>
          <mc:Choice Requires="wps">
            <w:drawing>
              <wp:anchor distT="0" distB="0" distL="114300" distR="114300" simplePos="0" relativeHeight="251660288" behindDoc="0" locked="0" layoutInCell="1" allowOverlap="1" wp14:anchorId="6037B752" wp14:editId="26C7351D">
                <wp:simplePos x="0" y="0"/>
                <wp:positionH relativeFrom="column">
                  <wp:posOffset>0</wp:posOffset>
                </wp:positionH>
                <wp:positionV relativeFrom="paragraph">
                  <wp:posOffset>4512310</wp:posOffset>
                </wp:positionV>
                <wp:extent cx="5760720" cy="1171575"/>
                <wp:effectExtent l="0" t="0" r="0" b="0"/>
                <wp:wrapTopAndBottom/>
                <wp:docPr id="1579059056" name="Text Box 23"/>
                <wp:cNvGraphicFramePr/>
                <a:graphic xmlns:a="http://schemas.openxmlformats.org/drawingml/2006/main">
                  <a:graphicData uri="http://schemas.microsoft.com/office/word/2010/wordprocessingShape">
                    <wps:wsp>
                      <wps:cNvSpPr txBox="1"/>
                      <wps:spPr>
                        <a:xfrm>
                          <a:off x="0" y="0"/>
                          <a:ext cx="5760720" cy="1171575"/>
                        </a:xfrm>
                        <a:prstGeom prst="rect">
                          <a:avLst/>
                        </a:prstGeom>
                        <a:solidFill>
                          <a:prstClr val="white"/>
                        </a:solidFill>
                        <a:ln>
                          <a:noFill/>
                        </a:ln>
                      </wps:spPr>
                      <wps:txbx>
                        <w:txbxContent>
                          <w:p w14:paraId="475D0AB0" w14:textId="77777777" w:rsidR="006F1989" w:rsidRDefault="006F1989" w:rsidP="006F1989">
                            <w:pPr>
                              <w:pStyle w:val="Caption"/>
                              <w:jc w:val="both"/>
                              <w:rPr>
                                <w:color w:val="auto"/>
                              </w:rPr>
                            </w:pPr>
                            <w:r>
                              <w:rPr>
                                <w:b/>
                                <w:bCs/>
                                <w:color w:val="auto"/>
                              </w:rPr>
                              <w:t xml:space="preserve">Extended Figure 1: Proteomics analysis and predicted transcription factor–gene interactions identified using NetworkAnalyst. </w:t>
                            </w:r>
                            <w:r>
                              <w:rPr>
                                <w:b/>
                                <w:bCs/>
                              </w:rPr>
                              <w:t>(A)</w:t>
                            </w:r>
                            <w:r>
                              <w:t xml:space="preserve"> Scheme showing experimental design. (B) </w:t>
                            </w:r>
                            <w:r>
                              <w:rPr>
                                <w:color w:val="auto"/>
                              </w:rPr>
                              <w:t>Analysis of the top 30 proteins upregulated in MCAM</w:t>
                            </w:r>
                            <w:r>
                              <w:rPr>
                                <w:rFonts w:ascii="Cambria Math" w:hAnsi="Cambria Math" w:cs="Cambria Math"/>
                                <w:color w:val="auto"/>
                              </w:rPr>
                              <w:t>⁺</w:t>
                            </w:r>
                            <w:r>
                              <w:rPr>
                                <w:color w:val="auto"/>
                              </w:rPr>
                              <w:t xml:space="preserve"> T lymphocytes compared to MCAM</w:t>
                            </w:r>
                            <w:r>
                              <w:rPr>
                                <w:rFonts w:ascii="Cambria Math" w:hAnsi="Cambria Math" w:cs="Cambria Math"/>
                                <w:color w:val="auto"/>
                              </w:rPr>
                              <w:t>⁻</w:t>
                            </w:r>
                            <w:r>
                              <w:rPr>
                                <w:color w:val="auto"/>
                              </w:rPr>
                              <w:t xml:space="preserve"> T lymphocytes reveals MYC-Associated Zinc Finger Protein (MAZ) as a potential common transcriptional regulator of MCAM and MRC2. </w:t>
                            </w:r>
                            <w:r>
                              <w:rPr>
                                <w:b/>
                                <w:bCs/>
                                <w:color w:val="auto"/>
                              </w:rPr>
                              <w:t>(B)</w:t>
                            </w:r>
                            <w:r>
                              <w:rPr>
                                <w:color w:val="auto"/>
                              </w:rPr>
                              <w:t xml:space="preserve"> Analysis of MRC2-associated proteins and selected cell adhesion molecules (CAMs) identifies MAZ, along with additional transcription factors KLF1 and EZH2, as potential regulators. Purple circles represent input (query) proteins, yellow diamonds highlight predicted transcription factors. Blue lines in (B) indicate transcription factors predicted to regulate both MRC2 and the respective query proteins.</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6037B752" id="_x0000_t202" coordsize="21600,21600" o:spt="202" path="m,l,21600r21600,l21600,xe">
                <v:stroke joinstyle="miter"/>
                <v:path gradientshapeok="t" o:connecttype="rect"/>
              </v:shapetype>
              <v:shape id="Text Box 23" o:spid="_x0000_s1026" type="#_x0000_t202" style="position:absolute;margin-left:0;margin-top:355.3pt;width:453.6pt;height:9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" stroked="f">
                <v:textbox style="mso-fit-shape-to-text:t" inset="0,0,0,0">
                  <w:txbxContent>
                    <w:p w14:paraId="475D0AB0" w14:textId="77777777" w:rsidR="006F1989" w:rsidRDefault="006F1989" w:rsidP="006F1989">
                      <w:pPr>
                        <w:pStyle w:val="Caption"/>
                        <w:jc w:val="both"/>
                        <w:rPr>
                          <w:color w:val="auto"/>
                        </w:rPr>
                      </w:pPr>
                      <w:r>
                        <w:rPr>
                          <w:b/>
                          <w:bCs/>
                          <w:color w:val="auto"/>
                        </w:rPr>
                        <w:t xml:space="preserve">Extended Figure 1: Proteomics analysis and predicted transcription factor–gene interactions identified using NetworkAnalyst. </w:t>
                      </w:r>
                      <w:r>
                        <w:rPr>
                          <w:b/>
                          <w:bCs/>
                        </w:rPr>
                        <w:t>(A)</w:t>
                      </w:r>
                      <w:r>
                        <w:t xml:space="preserve"> Scheme showing experimental design. (B) </w:t>
                      </w:r>
                      <w:r>
                        <w:rPr>
                          <w:color w:val="auto"/>
                        </w:rPr>
                        <w:t>Analysis of the top 30 proteins upregulated in MCAM</w:t>
                      </w:r>
                      <w:r>
                        <w:rPr>
                          <w:rFonts w:ascii="Cambria Math" w:hAnsi="Cambria Math" w:cs="Cambria Math"/>
                          <w:color w:val="auto"/>
                        </w:rPr>
                        <w:t>⁺</w:t>
                      </w:r>
                      <w:r>
                        <w:rPr>
                          <w:color w:val="auto"/>
                        </w:rPr>
                        <w:t xml:space="preserve"> T lymphocytes compared to MCAM</w:t>
                      </w:r>
                      <w:r>
                        <w:rPr>
                          <w:rFonts w:ascii="Cambria Math" w:hAnsi="Cambria Math" w:cs="Cambria Math"/>
                          <w:color w:val="auto"/>
                        </w:rPr>
                        <w:t>⁻</w:t>
                      </w:r>
                      <w:r>
                        <w:rPr>
                          <w:color w:val="auto"/>
                        </w:rPr>
                        <w:t xml:space="preserve"> T lymphocytes reveals MYC-Associated Zinc Finger Protein (MAZ) as a potential common transcriptional regulator of MCAM and MRC2. </w:t>
                      </w:r>
                      <w:r>
                        <w:rPr>
                          <w:b/>
                          <w:bCs/>
                          <w:color w:val="auto"/>
                        </w:rPr>
                        <w:t>(B)</w:t>
                      </w:r>
                      <w:r>
                        <w:rPr>
                          <w:color w:val="auto"/>
                        </w:rPr>
                        <w:t xml:space="preserve"> Analysis of MRC2-associated proteins and selected cell adhesion molecules (CAMs) identifies MAZ, along with additional transcription factors KLF1 and EZH2, as potential regulators. Purple circles represent input (query) proteins, yellow diamonds highlight predicted transcription factors. Blue lines in (B) indicate transcription factors predicted to regulate both MRC2 and the respective query proteins.</w:t>
                      </w:r>
                    </w:p>
                  </w:txbxContent>
                </v:textbox>
                <w10:wrap type="topAndBottom"/>
              </v:shape>
            </w:pict>
          </mc:Fallback>
        </mc:AlternateContent>
      </w:r>
      <w:r w:rsidRPr="006F1989">
        <w:rPr>
          <w:b/>
          <w:bCs/>
        </w:rPr>
        <w:t>Extended Figures:</w:t>
      </w:r>
    </w:p>
    <w:p w14:paraId="0566D0BE" w14:textId="77777777" w:rsidR="006F1989" w:rsidRPr="006F1989" w:rsidRDefault="006F1989" w:rsidP="006F1989">
      <w:pPr>
        <w:rPr>
          <w:b/>
          <w:bCs/>
        </w:rPr>
      </w:pPr>
    </w:p>
    <w:p w14:paraId="5462BEBF" w14:textId="77777777" w:rsidR="006F1989" w:rsidRPr="006F1989" w:rsidRDefault="006F1989" w:rsidP="006F1989">
      <w:pPr>
        <w:rPr>
          <w:b/>
          <w:bCs/>
        </w:rPr>
      </w:pPr>
    </w:p>
    <w:p w14:paraId="6B3C884A" w14:textId="43B230C4" w:rsidR="006F1989" w:rsidRPr="006F1989" w:rsidRDefault="006F1989" w:rsidP="006F1989">
      <w:pPr>
        <w:rPr>
          <w:b/>
          <w:bCs/>
        </w:rPr>
      </w:pPr>
      <w:r w:rsidRPr="006F1989">
        <w:drawing>
          <wp:anchor distT="0" distB="0" distL="114300" distR="114300" simplePos="0" relativeHeight="251661312" behindDoc="0" locked="0" layoutInCell="1" allowOverlap="1" wp14:anchorId="5480C118" wp14:editId="5D2DDE33">
            <wp:simplePos x="0" y="0"/>
            <wp:positionH relativeFrom="column">
              <wp:posOffset>125730</wp:posOffset>
            </wp:positionH>
            <wp:positionV relativeFrom="paragraph">
              <wp:posOffset>19050</wp:posOffset>
            </wp:positionV>
            <wp:extent cx="5391150" cy="3937000"/>
            <wp:effectExtent l="19050" t="19050" r="19050" b="25400"/>
            <wp:wrapTopAndBottom/>
            <wp:docPr id="67359319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91150" cy="3937000"/>
                    </a:xfrm>
                    <a:prstGeom prst="rect">
                      <a:avLst/>
                    </a:prstGeom>
                    <a:noFill/>
                    <a:ln w="9525">
                      <a:solidFill>
                        <a:schemeClr val="tx1">
                          <a:lumMod val="100000"/>
                          <a:lumOff val="0"/>
                        </a:schemeClr>
                      </a:solidFill>
                      <a:miter lim="800000"/>
                      <a:headEnd/>
                      <a:tailEnd/>
                    </a:ln>
                  </pic:spPr>
                </pic:pic>
              </a:graphicData>
            </a:graphic>
            <wp14:sizeRelH relativeFrom="margin">
              <wp14:pctWidth>0</wp14:pctWidth>
            </wp14:sizeRelH>
            <wp14:sizeRelV relativeFrom="margin">
              <wp14:pctHeight>0</wp14:pctHeight>
            </wp14:sizeRelV>
          </wp:anchor>
        </w:drawing>
      </w:r>
      <w:r w:rsidRPr="006F1989">
        <mc:AlternateContent>
          <mc:Choice Requires="wps">
            <w:drawing>
              <wp:anchor distT="0" distB="0" distL="114300" distR="114300" simplePos="0" relativeHeight="251662336" behindDoc="0" locked="0" layoutInCell="1" allowOverlap="1" wp14:anchorId="6A7C9CAB" wp14:editId="501DFC95">
                <wp:simplePos x="0" y="0"/>
                <wp:positionH relativeFrom="column">
                  <wp:posOffset>48260</wp:posOffset>
                </wp:positionH>
                <wp:positionV relativeFrom="paragraph">
                  <wp:posOffset>3984625</wp:posOffset>
                </wp:positionV>
                <wp:extent cx="5591175" cy="723900"/>
                <wp:effectExtent l="0" t="0" r="9525" b="0"/>
                <wp:wrapTopAndBottom/>
                <wp:docPr id="779132405" name="Text Box 21"/>
                <wp:cNvGraphicFramePr/>
                <a:graphic xmlns:a="http://schemas.openxmlformats.org/drawingml/2006/main">
                  <a:graphicData uri="http://schemas.microsoft.com/office/word/2010/wordprocessingShape">
                    <wps:wsp>
                      <wps:cNvSpPr txBox="1"/>
                      <wps:spPr>
                        <a:xfrm>
                          <a:off x="0" y="0"/>
                          <a:ext cx="5591175" cy="723900"/>
                        </a:xfrm>
                        <a:prstGeom prst="rect">
                          <a:avLst/>
                        </a:prstGeom>
                        <a:solidFill>
                          <a:prstClr val="white"/>
                        </a:solidFill>
                        <a:ln>
                          <a:noFill/>
                        </a:ln>
                      </wps:spPr>
                      <wps:txbx>
                        <w:txbxContent>
                          <w:p w14:paraId="576FDBA0" w14:textId="77777777" w:rsidR="006F1989" w:rsidRDefault="006F1989" w:rsidP="006F1989">
                            <w:pPr>
                              <w:pStyle w:val="Caption"/>
                              <w:jc w:val="both"/>
                              <w:rPr>
                                <w:color w:val="auto"/>
                              </w:rPr>
                            </w:pPr>
                            <w:r>
                              <w:rPr>
                                <w:b/>
                                <w:bCs/>
                                <w:color w:val="auto"/>
                              </w:rPr>
                              <w:t>Extended Figure 2: Col IV expression on murine and human BBB-ECs. (A-D)</w:t>
                            </w:r>
                            <w:r>
                              <w:rPr>
                                <w:color w:val="auto"/>
                              </w:rPr>
                              <w:t xml:space="preserve"> Single cell RNA-Seq data analysis reveals Col IV expression on mouse CD31+ enriched brain ECs (re-analysis from Fournier et al, 2022)</w:t>
                            </w:r>
                            <w:r>
                              <w:rPr>
                                <w:color w:val="auto"/>
                                <w:vertAlign w:val="superscript"/>
                              </w:rPr>
                              <w:t>19</w:t>
                            </w:r>
                            <w:r>
                              <w:rPr>
                                <w:color w:val="auto"/>
                              </w:rPr>
                              <w:t xml:space="preserve"> and human ECs from rapid autopsied brain tissue (from 1 ALS patient). </w:t>
                            </w:r>
                            <w:r>
                              <w:rPr>
                                <w:b/>
                                <w:bCs/>
                                <w:color w:val="auto"/>
                              </w:rPr>
                              <w:t>(E)</w:t>
                            </w:r>
                            <w:r>
                              <w:rPr>
                                <w:color w:val="auto"/>
                              </w:rPr>
                              <w:t xml:space="preserve"> Representative images from Col IV staining on in vitro cultured human meningeal ECs (HMEC) and human brain ECs (HBEC) under control and pro-inflammatory conditions (IFNγ/TNF).</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6A7C9CAB" id="Text Box 21" o:spid="_x0000_s1027" type="#_x0000_t202" style="position:absolute;margin-left:3.8pt;margin-top:313.75pt;width:440.25pt;height:5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" stroked="f">
                <v:textbox style="mso-fit-shape-to-text:t" inset="0,0,0,0">
                  <w:txbxContent>
                    <w:p w14:paraId="576FDBA0" w14:textId="77777777" w:rsidR="006F1989" w:rsidRDefault="006F1989" w:rsidP="006F1989">
                      <w:pPr>
                        <w:pStyle w:val="Caption"/>
                        <w:jc w:val="both"/>
                        <w:rPr>
                          <w:color w:val="auto"/>
                        </w:rPr>
                      </w:pPr>
                      <w:r>
                        <w:rPr>
                          <w:b/>
                          <w:bCs/>
                          <w:color w:val="auto"/>
                        </w:rPr>
                        <w:t>Extended Figure 2: Col IV expression on murine and human BBB-ECs. (A-D)</w:t>
                      </w:r>
                      <w:r>
                        <w:rPr>
                          <w:color w:val="auto"/>
                        </w:rPr>
                        <w:t xml:space="preserve"> Single cell RNA-Seq data analysis reveals Col IV expression on mouse CD31+ enriched brain ECs (re-analysis from Fournier et al, 2022)</w:t>
                      </w:r>
                      <w:r>
                        <w:rPr>
                          <w:color w:val="auto"/>
                          <w:vertAlign w:val="superscript"/>
                        </w:rPr>
                        <w:t>19</w:t>
                      </w:r>
                      <w:r>
                        <w:rPr>
                          <w:color w:val="auto"/>
                        </w:rPr>
                        <w:t xml:space="preserve"> and human ECs from rapid autopsied brain tissue (from 1 ALS patient). </w:t>
                      </w:r>
                      <w:r>
                        <w:rPr>
                          <w:b/>
                          <w:bCs/>
                          <w:color w:val="auto"/>
                        </w:rPr>
                        <w:t>(E)</w:t>
                      </w:r>
                      <w:r>
                        <w:rPr>
                          <w:color w:val="auto"/>
                        </w:rPr>
                        <w:t xml:space="preserve"> Representative images from Col IV staining on in vitro cultured human meningeal ECs (HMEC) and human brain ECs (HBEC) under control and pro-inflammatory conditions (IFNγ/TNF).</w:t>
                      </w:r>
                    </w:p>
                  </w:txbxContent>
                </v:textbox>
                <w10:wrap type="topAndBottom"/>
              </v:shape>
            </w:pict>
          </mc:Fallback>
        </mc:AlternateContent>
      </w:r>
    </w:p>
    <w:p w14:paraId="0C457619" w14:textId="77777777" w:rsidR="006F1989" w:rsidRPr="006F1989" w:rsidRDefault="006F1989" w:rsidP="006F1989">
      <w:pPr>
        <w:rPr>
          <w:b/>
          <w:bCs/>
        </w:rPr>
      </w:pPr>
    </w:p>
    <w:p w14:paraId="5FD05042" w14:textId="77777777" w:rsidR="006F1989" w:rsidRPr="006F1989" w:rsidRDefault="006F1989" w:rsidP="006F1989">
      <w:pPr>
        <w:rPr>
          <w:b/>
          <w:bCs/>
        </w:rPr>
      </w:pPr>
    </w:p>
    <w:p w14:paraId="55A3D023" w14:textId="77777777" w:rsidR="006F1989" w:rsidRPr="006F1989" w:rsidRDefault="006F1989" w:rsidP="006F1989">
      <w:pPr>
        <w:rPr>
          <w:b/>
          <w:bCs/>
        </w:rPr>
      </w:pPr>
    </w:p>
    <w:p w14:paraId="0874B898" w14:textId="77777777" w:rsidR="006F1989" w:rsidRPr="006F1989" w:rsidRDefault="006F1989" w:rsidP="006F1989">
      <w:pPr>
        <w:rPr>
          <w:b/>
          <w:bCs/>
        </w:rPr>
      </w:pPr>
    </w:p>
    <w:p w14:paraId="00DA4596" w14:textId="77777777" w:rsidR="006F1989" w:rsidRPr="006F1989" w:rsidRDefault="006F1989" w:rsidP="006F1989">
      <w:pPr>
        <w:rPr>
          <w:b/>
          <w:bCs/>
        </w:rPr>
      </w:pPr>
    </w:p>
    <w:p w14:paraId="50AC3EF8" w14:textId="77777777" w:rsidR="006F1989" w:rsidRPr="006F1989" w:rsidRDefault="006F1989" w:rsidP="006F1989">
      <w:pPr>
        <w:rPr>
          <w:b/>
          <w:bCs/>
        </w:rPr>
      </w:pPr>
    </w:p>
    <w:p w14:paraId="7AF881C3" w14:textId="77777777" w:rsidR="006F1989" w:rsidRPr="006F1989" w:rsidRDefault="006F1989" w:rsidP="006F1989">
      <w:pPr>
        <w:rPr>
          <w:b/>
          <w:bCs/>
        </w:rPr>
      </w:pPr>
    </w:p>
    <w:p w14:paraId="2A97210F" w14:textId="77777777" w:rsidR="006F1989" w:rsidRPr="006F1989" w:rsidRDefault="006F1989" w:rsidP="006F1989">
      <w:pPr>
        <w:rPr>
          <w:b/>
          <w:bCs/>
        </w:rPr>
      </w:pPr>
    </w:p>
    <w:p w14:paraId="374611CE" w14:textId="72BF5BA1" w:rsidR="006F1989" w:rsidRPr="006F1989" w:rsidRDefault="006F1989" w:rsidP="006F1989">
      <w:pPr>
        <w:rPr>
          <w:b/>
          <w:bCs/>
        </w:rPr>
      </w:pPr>
      <w:r w:rsidRPr="006F1989">
        <w:lastRenderedPageBreak/>
        <w:drawing>
          <wp:anchor distT="0" distB="0" distL="114300" distR="114300" simplePos="0" relativeHeight="251663360" behindDoc="0" locked="0" layoutInCell="1" allowOverlap="1" wp14:anchorId="49933BFD" wp14:editId="2FBCA2D4">
            <wp:simplePos x="0" y="0"/>
            <wp:positionH relativeFrom="column">
              <wp:posOffset>51435</wp:posOffset>
            </wp:positionH>
            <wp:positionV relativeFrom="paragraph">
              <wp:posOffset>304800</wp:posOffset>
            </wp:positionV>
            <wp:extent cx="5673090" cy="4538980"/>
            <wp:effectExtent l="0" t="0" r="3810" b="0"/>
            <wp:wrapTopAndBottom/>
            <wp:docPr id="190158557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t="1228" b="1228"/>
                    <a:stretch>
                      <a:fillRect/>
                    </a:stretch>
                  </pic:blipFill>
                  <pic:spPr bwMode="auto">
                    <a:xfrm>
                      <a:off x="0" y="0"/>
                      <a:ext cx="5673090" cy="4538980"/>
                    </a:xfrm>
                    <a:prstGeom prst="rect">
                      <a:avLst/>
                    </a:prstGeom>
                    <a:noFill/>
                  </pic:spPr>
                </pic:pic>
              </a:graphicData>
            </a:graphic>
            <wp14:sizeRelH relativeFrom="page">
              <wp14:pctWidth>0</wp14:pctWidth>
            </wp14:sizeRelH>
            <wp14:sizeRelV relativeFrom="page">
              <wp14:pctHeight>0</wp14:pctHeight>
            </wp14:sizeRelV>
          </wp:anchor>
        </w:drawing>
      </w:r>
      <w:r w:rsidRPr="006F1989">
        <mc:AlternateContent>
          <mc:Choice Requires="wps">
            <w:drawing>
              <wp:anchor distT="0" distB="0" distL="114300" distR="114300" simplePos="0" relativeHeight="251664384" behindDoc="0" locked="0" layoutInCell="1" allowOverlap="1" wp14:anchorId="30713A05" wp14:editId="65C7F865">
                <wp:simplePos x="0" y="0"/>
                <wp:positionH relativeFrom="column">
                  <wp:posOffset>166370</wp:posOffset>
                </wp:positionH>
                <wp:positionV relativeFrom="paragraph">
                  <wp:posOffset>5045075</wp:posOffset>
                </wp:positionV>
                <wp:extent cx="5673090" cy="1171575"/>
                <wp:effectExtent l="0" t="0" r="3810" b="1270"/>
                <wp:wrapTopAndBottom/>
                <wp:docPr id="993825788" name="Text Box 19"/>
                <wp:cNvGraphicFramePr/>
                <a:graphic xmlns:a="http://schemas.openxmlformats.org/drawingml/2006/main">
                  <a:graphicData uri="http://schemas.microsoft.com/office/word/2010/wordprocessingShape">
                    <wps:wsp>
                      <wps:cNvSpPr txBox="1"/>
                      <wps:spPr>
                        <a:xfrm>
                          <a:off x="0" y="0"/>
                          <a:ext cx="5673090" cy="1171575"/>
                        </a:xfrm>
                        <a:prstGeom prst="rect">
                          <a:avLst/>
                        </a:prstGeom>
                        <a:solidFill>
                          <a:prstClr val="white"/>
                        </a:solidFill>
                        <a:ln>
                          <a:noFill/>
                        </a:ln>
                      </wps:spPr>
                      <wps:txbx>
                        <w:txbxContent>
                          <w:p w14:paraId="79497338" w14:textId="77777777" w:rsidR="006F1989" w:rsidRDefault="006F1989" w:rsidP="006F1989">
                            <w:pPr>
                              <w:pStyle w:val="Caption"/>
                              <w:rPr>
                                <w:color w:val="auto"/>
                              </w:rPr>
                            </w:pPr>
                            <w:r>
                              <w:rPr>
                                <w:b/>
                                <w:bCs/>
                                <w:color w:val="auto"/>
                              </w:rPr>
                              <w:t>Extended figure 3: MRC2 expression analysis on PBMCs.</w:t>
                            </w:r>
                            <w:r>
                              <w:rPr>
                                <w:color w:val="auto"/>
                              </w:rPr>
                              <w:t xml:space="preserve"> </w:t>
                            </w:r>
                            <w:r>
                              <w:rPr>
                                <w:b/>
                                <w:bCs/>
                                <w:color w:val="auto"/>
                              </w:rPr>
                              <w:t>(A)</w:t>
                            </w:r>
                            <w:r>
                              <w:rPr>
                                <w:color w:val="auto"/>
                              </w:rPr>
                              <w:t xml:space="preserve"> Gating strategy to analyze different T cell subpopulations in PBMC samples from patients with MS and healthy donors. </w:t>
                            </w:r>
                            <w:r>
                              <w:rPr>
                                <w:b/>
                                <w:bCs/>
                                <w:color w:val="auto"/>
                              </w:rPr>
                              <w:t>(B)</w:t>
                            </w:r>
                            <w:r>
                              <w:rPr>
                                <w:color w:val="auto"/>
                              </w:rPr>
                              <w:t xml:space="preserve"> Comparison of MRC2</w:t>
                            </w:r>
                            <w:r>
                              <w:rPr>
                                <w:color w:val="auto"/>
                                <w:vertAlign w:val="superscript"/>
                              </w:rPr>
                              <w:t>+</w:t>
                            </w:r>
                            <w:r>
                              <w:rPr>
                                <w:color w:val="auto"/>
                              </w:rPr>
                              <w:t>CD4</w:t>
                            </w:r>
                            <w:r>
                              <w:rPr>
                                <w:color w:val="auto"/>
                                <w:vertAlign w:val="superscript"/>
                              </w:rPr>
                              <w:t>+</w:t>
                            </w:r>
                            <w:r>
                              <w:rPr>
                                <w:color w:val="auto"/>
                              </w:rPr>
                              <w:t xml:space="preserve"> T cells and CD8</w:t>
                            </w:r>
                            <w:r>
                              <w:rPr>
                                <w:color w:val="auto"/>
                                <w:vertAlign w:val="superscript"/>
                              </w:rPr>
                              <w:t>+</w:t>
                            </w:r>
                            <w:r>
                              <w:rPr>
                                <w:color w:val="auto"/>
                              </w:rPr>
                              <w:t xml:space="preserve"> T cells in male and female RRMS patients in remission. </w:t>
                            </w:r>
                            <w:r>
                              <w:rPr>
                                <w:b/>
                                <w:bCs/>
                                <w:color w:val="auto"/>
                              </w:rPr>
                              <w:t>(C)</w:t>
                            </w:r>
                            <w:r>
                              <w:rPr>
                                <w:color w:val="auto"/>
                              </w:rPr>
                              <w:t xml:space="preserve"> Re-analysis of publicly available microarray data sets (GSE3365) to compare MRC2 expression in PBMCs from healthy donors. (D-E) Confocal microscopy on postmortem tissue from patients with MS. Pairwise comparison of MRC2</w:t>
                            </w:r>
                            <w:r>
                              <w:rPr>
                                <w:color w:val="auto"/>
                                <w:vertAlign w:val="superscript"/>
                              </w:rPr>
                              <w:t>+</w:t>
                            </w:r>
                            <w:r>
                              <w:rPr>
                                <w:color w:val="auto"/>
                              </w:rPr>
                              <w:t>CD8</w:t>
                            </w:r>
                            <w:r>
                              <w:rPr>
                                <w:color w:val="auto"/>
                                <w:vertAlign w:val="superscript"/>
                              </w:rPr>
                              <w:t>+</w:t>
                            </w:r>
                            <w:r>
                              <w:rPr>
                                <w:color w:val="auto"/>
                              </w:rPr>
                              <w:t xml:space="preserve"> T lymphocytes in pre-active lesions and active lesions per donor (D, n = 5) and of CD4</w:t>
                            </w:r>
                            <w:r>
                              <w:rPr>
                                <w:color w:val="auto"/>
                                <w:vertAlign w:val="superscript"/>
                              </w:rPr>
                              <w:t>+</w:t>
                            </w:r>
                            <w:r>
                              <w:rPr>
                                <w:color w:val="auto"/>
                              </w:rPr>
                              <w:t xml:space="preserve"> and CD8</w:t>
                            </w:r>
                            <w:r>
                              <w:rPr>
                                <w:color w:val="auto"/>
                                <w:vertAlign w:val="superscript"/>
                              </w:rPr>
                              <w:t>+</w:t>
                            </w:r>
                            <w:r>
                              <w:rPr>
                                <w:color w:val="auto"/>
                              </w:rPr>
                              <w:t xml:space="preserve"> T lymphocytes (E, n = 5 ). For statistical analysis unpaired Student’s t test in (B-C) and paired Student’s t test in (D -E) were performed. ns = not significant</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30713A05" id="Text Box 19" o:spid="_x0000_s1028" type="#_x0000_t202" style="position:absolute;margin-left:13.1pt;margin-top:397.25pt;width:446.7pt;height:92.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" stroked="f">
                <v:textbox style="mso-fit-shape-to-text:t" inset="0,0,0,0">
                  <w:txbxContent>
                    <w:p w14:paraId="79497338" w14:textId="77777777" w:rsidR="006F1989" w:rsidRDefault="006F1989" w:rsidP="006F1989">
                      <w:pPr>
                        <w:pStyle w:val="Caption"/>
                        <w:rPr>
                          <w:color w:val="auto"/>
                        </w:rPr>
                      </w:pPr>
                      <w:r>
                        <w:rPr>
                          <w:b/>
                          <w:bCs/>
                          <w:color w:val="auto"/>
                        </w:rPr>
                        <w:t>Extended figure 3: MRC2 expression analysis on PBMCs.</w:t>
                      </w:r>
                      <w:r>
                        <w:rPr>
                          <w:color w:val="auto"/>
                        </w:rPr>
                        <w:t xml:space="preserve"> </w:t>
                      </w:r>
                      <w:r>
                        <w:rPr>
                          <w:b/>
                          <w:bCs/>
                          <w:color w:val="auto"/>
                        </w:rPr>
                        <w:t>(A)</w:t>
                      </w:r>
                      <w:r>
                        <w:rPr>
                          <w:color w:val="auto"/>
                        </w:rPr>
                        <w:t xml:space="preserve"> Gating strategy to analyze different T cell subpopulations in PBMC samples from patients with MS and healthy donors. </w:t>
                      </w:r>
                      <w:r>
                        <w:rPr>
                          <w:b/>
                          <w:bCs/>
                          <w:color w:val="auto"/>
                        </w:rPr>
                        <w:t>(B)</w:t>
                      </w:r>
                      <w:r>
                        <w:rPr>
                          <w:color w:val="auto"/>
                        </w:rPr>
                        <w:t xml:space="preserve"> Comparison of MRC2</w:t>
                      </w:r>
                      <w:r>
                        <w:rPr>
                          <w:color w:val="auto"/>
                          <w:vertAlign w:val="superscript"/>
                        </w:rPr>
                        <w:t>+</w:t>
                      </w:r>
                      <w:r>
                        <w:rPr>
                          <w:color w:val="auto"/>
                        </w:rPr>
                        <w:t>CD4</w:t>
                      </w:r>
                      <w:r>
                        <w:rPr>
                          <w:color w:val="auto"/>
                          <w:vertAlign w:val="superscript"/>
                        </w:rPr>
                        <w:t>+</w:t>
                      </w:r>
                      <w:r>
                        <w:rPr>
                          <w:color w:val="auto"/>
                        </w:rPr>
                        <w:t xml:space="preserve"> T cells and CD8</w:t>
                      </w:r>
                      <w:r>
                        <w:rPr>
                          <w:color w:val="auto"/>
                          <w:vertAlign w:val="superscript"/>
                        </w:rPr>
                        <w:t>+</w:t>
                      </w:r>
                      <w:r>
                        <w:rPr>
                          <w:color w:val="auto"/>
                        </w:rPr>
                        <w:t xml:space="preserve"> T cells in male and female RRMS patients in remission. </w:t>
                      </w:r>
                      <w:r>
                        <w:rPr>
                          <w:b/>
                          <w:bCs/>
                          <w:color w:val="auto"/>
                        </w:rPr>
                        <w:t>(C)</w:t>
                      </w:r>
                      <w:r>
                        <w:rPr>
                          <w:color w:val="auto"/>
                        </w:rPr>
                        <w:t xml:space="preserve"> Re-analysis of publicly available microarray data sets (GSE3365) to compare MRC2 expression in PBMCs from healthy donors. (D-E) Confocal microscopy on postmortem tissue from patients with MS. Pairwise comparison of MRC2</w:t>
                      </w:r>
                      <w:r>
                        <w:rPr>
                          <w:color w:val="auto"/>
                          <w:vertAlign w:val="superscript"/>
                        </w:rPr>
                        <w:t>+</w:t>
                      </w:r>
                      <w:r>
                        <w:rPr>
                          <w:color w:val="auto"/>
                        </w:rPr>
                        <w:t>CD8</w:t>
                      </w:r>
                      <w:r>
                        <w:rPr>
                          <w:color w:val="auto"/>
                          <w:vertAlign w:val="superscript"/>
                        </w:rPr>
                        <w:t>+</w:t>
                      </w:r>
                      <w:r>
                        <w:rPr>
                          <w:color w:val="auto"/>
                        </w:rPr>
                        <w:t xml:space="preserve"> T lymphocytes in pre-active lesions and active lesions per donor (D, n = 5) and of CD4</w:t>
                      </w:r>
                      <w:r>
                        <w:rPr>
                          <w:color w:val="auto"/>
                          <w:vertAlign w:val="superscript"/>
                        </w:rPr>
                        <w:t>+</w:t>
                      </w:r>
                      <w:r>
                        <w:rPr>
                          <w:color w:val="auto"/>
                        </w:rPr>
                        <w:t xml:space="preserve"> and CD8</w:t>
                      </w:r>
                      <w:r>
                        <w:rPr>
                          <w:color w:val="auto"/>
                          <w:vertAlign w:val="superscript"/>
                        </w:rPr>
                        <w:t>+</w:t>
                      </w:r>
                      <w:r>
                        <w:rPr>
                          <w:color w:val="auto"/>
                        </w:rPr>
                        <w:t xml:space="preserve"> T lymphocytes (E, n = 5 ). For statistical analysis unpaired Student’s t test in (B-C) and paired Student’s t test in (D -E) were performed. ns = not significant</w:t>
                      </w:r>
                    </w:p>
                  </w:txbxContent>
                </v:textbox>
                <w10:wrap type="topAndBottom"/>
              </v:shape>
            </w:pict>
          </mc:Fallback>
        </mc:AlternateContent>
      </w:r>
    </w:p>
    <w:p w14:paraId="1625EAA0" w14:textId="77777777" w:rsidR="006F1989" w:rsidRPr="006F1989" w:rsidRDefault="006F1989" w:rsidP="006F1989">
      <w:pPr>
        <w:rPr>
          <w:b/>
          <w:bCs/>
        </w:rPr>
      </w:pPr>
    </w:p>
    <w:p w14:paraId="47A6A6FC" w14:textId="77777777" w:rsidR="006F1989" w:rsidRPr="006F1989" w:rsidRDefault="006F1989" w:rsidP="006F1989">
      <w:pPr>
        <w:rPr>
          <w:b/>
          <w:bCs/>
        </w:rPr>
      </w:pPr>
    </w:p>
    <w:p w14:paraId="5F60E77D" w14:textId="77777777" w:rsidR="006F1989" w:rsidRPr="006F1989" w:rsidRDefault="006F1989" w:rsidP="006F1989">
      <w:pPr>
        <w:rPr>
          <w:b/>
          <w:bCs/>
        </w:rPr>
      </w:pPr>
    </w:p>
    <w:p w14:paraId="239D8D5D" w14:textId="77777777" w:rsidR="006F1989" w:rsidRPr="006F1989" w:rsidRDefault="006F1989" w:rsidP="006F1989">
      <w:pPr>
        <w:rPr>
          <w:b/>
          <w:bCs/>
        </w:rPr>
      </w:pPr>
    </w:p>
    <w:p w14:paraId="6E44F24A" w14:textId="77777777" w:rsidR="006F1989" w:rsidRPr="006F1989" w:rsidRDefault="006F1989" w:rsidP="006F1989">
      <w:pPr>
        <w:rPr>
          <w:b/>
          <w:bCs/>
        </w:rPr>
      </w:pPr>
    </w:p>
    <w:p w14:paraId="660FE1FD" w14:textId="77777777" w:rsidR="006F1989" w:rsidRPr="006F1989" w:rsidRDefault="006F1989" w:rsidP="006F1989">
      <w:pPr>
        <w:rPr>
          <w:b/>
          <w:bCs/>
        </w:rPr>
      </w:pPr>
    </w:p>
    <w:p w14:paraId="0A5D9056" w14:textId="77777777" w:rsidR="006F1989" w:rsidRPr="006F1989" w:rsidRDefault="006F1989" w:rsidP="006F1989">
      <w:pPr>
        <w:rPr>
          <w:b/>
          <w:bCs/>
        </w:rPr>
      </w:pPr>
    </w:p>
    <w:p w14:paraId="1026A834" w14:textId="65306ACB" w:rsidR="006F1989" w:rsidRPr="006F1989" w:rsidRDefault="006F1989" w:rsidP="006F1989">
      <w:pPr>
        <w:rPr>
          <w:b/>
          <w:bCs/>
        </w:rPr>
      </w:pPr>
      <w:r w:rsidRPr="006F1989">
        <w:lastRenderedPageBreak/>
        <w:drawing>
          <wp:anchor distT="0" distB="0" distL="114300" distR="114300" simplePos="0" relativeHeight="251665408" behindDoc="0" locked="0" layoutInCell="1" allowOverlap="1" wp14:anchorId="02CB94E2" wp14:editId="3C1AA48F">
            <wp:simplePos x="0" y="0"/>
            <wp:positionH relativeFrom="column">
              <wp:posOffset>0</wp:posOffset>
            </wp:positionH>
            <wp:positionV relativeFrom="paragraph">
              <wp:posOffset>364490</wp:posOffset>
            </wp:positionV>
            <wp:extent cx="5943600" cy="3747770"/>
            <wp:effectExtent l="0" t="0" r="0" b="5080"/>
            <wp:wrapTopAndBottom/>
            <wp:docPr id="12462366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r="1918"/>
                    <a:stretch>
                      <a:fillRect/>
                    </a:stretch>
                  </pic:blipFill>
                  <pic:spPr bwMode="auto">
                    <a:xfrm>
                      <a:off x="0" y="0"/>
                      <a:ext cx="5943600" cy="3747770"/>
                    </a:xfrm>
                    <a:prstGeom prst="rect">
                      <a:avLst/>
                    </a:prstGeom>
                    <a:noFill/>
                  </pic:spPr>
                </pic:pic>
              </a:graphicData>
            </a:graphic>
            <wp14:sizeRelH relativeFrom="margin">
              <wp14:pctWidth>0</wp14:pctWidth>
            </wp14:sizeRelH>
            <wp14:sizeRelV relativeFrom="margin">
              <wp14:pctHeight>0</wp14:pctHeight>
            </wp14:sizeRelV>
          </wp:anchor>
        </w:drawing>
      </w:r>
      <w:r w:rsidRPr="006F1989">
        <mc:AlternateContent>
          <mc:Choice Requires="wps">
            <w:drawing>
              <wp:anchor distT="0" distB="0" distL="114300" distR="114300" simplePos="0" relativeHeight="251666432" behindDoc="0" locked="0" layoutInCell="1" allowOverlap="1" wp14:anchorId="571B4504" wp14:editId="0CC06FDA">
                <wp:simplePos x="0" y="0"/>
                <wp:positionH relativeFrom="column">
                  <wp:posOffset>111760</wp:posOffset>
                </wp:positionH>
                <wp:positionV relativeFrom="paragraph">
                  <wp:posOffset>4330065</wp:posOffset>
                </wp:positionV>
                <wp:extent cx="5543550" cy="1171575"/>
                <wp:effectExtent l="0" t="0" r="0" b="1270"/>
                <wp:wrapTopAndBottom/>
                <wp:docPr id="786976616" name="Text Box 17"/>
                <wp:cNvGraphicFramePr/>
                <a:graphic xmlns:a="http://schemas.openxmlformats.org/drawingml/2006/main">
                  <a:graphicData uri="http://schemas.microsoft.com/office/word/2010/wordprocessingShape">
                    <wps:wsp>
                      <wps:cNvSpPr txBox="1"/>
                      <wps:spPr>
                        <a:xfrm>
                          <a:off x="0" y="0"/>
                          <a:ext cx="5543550" cy="1171575"/>
                        </a:xfrm>
                        <a:prstGeom prst="rect">
                          <a:avLst/>
                        </a:prstGeom>
                        <a:solidFill>
                          <a:prstClr val="white"/>
                        </a:solidFill>
                        <a:ln>
                          <a:noFill/>
                        </a:ln>
                      </wps:spPr>
                      <wps:txbx>
                        <w:txbxContent>
                          <w:p w14:paraId="11D63357" w14:textId="77777777" w:rsidR="006F1989" w:rsidRDefault="006F1989" w:rsidP="006F1989">
                            <w:pPr>
                              <w:pStyle w:val="Caption"/>
                              <w:jc w:val="both"/>
                              <w:rPr>
                                <w:color w:val="auto"/>
                              </w:rPr>
                            </w:pPr>
                            <w:r>
                              <w:rPr>
                                <w:b/>
                                <w:bCs/>
                                <w:color w:val="auto"/>
                              </w:rPr>
                              <w:t>Extended figure 4:</w:t>
                            </w:r>
                            <w:r>
                              <w:rPr>
                                <w:color w:val="auto"/>
                              </w:rPr>
                              <w:t xml:space="preserve"> </w:t>
                            </w:r>
                            <w:r>
                              <w:rPr>
                                <w:b/>
                                <w:bCs/>
                                <w:color w:val="auto"/>
                              </w:rPr>
                              <w:t>(A)</w:t>
                            </w:r>
                            <w:r>
                              <w:rPr>
                                <w:color w:val="auto"/>
                              </w:rPr>
                              <w:t xml:space="preserve"> Flow cytometry analysis of ex vivo PBMC samples from PwMS (MS) and healthy controls (HC) indicating high MMP28 expression, but low IFN</w:t>
                            </w:r>
                            <w:r>
                              <w:rPr>
                                <w:rFonts w:cstheme="minorHAnsi"/>
                                <w:color w:val="auto"/>
                              </w:rPr>
                              <w:t>γ</w:t>
                            </w:r>
                            <w:r>
                              <w:rPr>
                                <w:color w:val="auto"/>
                              </w:rPr>
                              <w:t xml:space="preserve"> and GM-CSF expression in both MRC2+ and MRC2 negative T lymphocyte populations. Additionally, no significant differences regarding TIMP-2 and UPAR between these populations were observed. </w:t>
                            </w:r>
                            <w:r>
                              <w:rPr>
                                <w:b/>
                                <w:bCs/>
                                <w:color w:val="auto"/>
                              </w:rPr>
                              <w:t>(B)</w:t>
                            </w:r>
                            <w:r>
                              <w:rPr>
                                <w:color w:val="auto"/>
                              </w:rPr>
                              <w:t xml:space="preserve"> Microscopy analysis to assess the frequency of IFN</w:t>
                            </w:r>
                            <w:r>
                              <w:rPr>
                                <w:rFonts w:cstheme="minorHAnsi"/>
                                <w:color w:val="auto"/>
                              </w:rPr>
                              <w:t>γ</w:t>
                            </w:r>
                            <w:r>
                              <w:rPr>
                                <w:color w:val="auto"/>
                              </w:rPr>
                              <w:t>+ T lymphocytes after stimulation with IL-12, IL-4, and IL-23. Horizontal dashed line indicates mean levels of cells without cytokine stimulation. For statistical analysis ratio paired Student’s t test in (A), one-way ANOVA and Sidak’s multiple comparison test in (B) were performed. * p &lt; 0.05, ** p &lt; 0.01, ns = not significant</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571B4504" id="Text Box 17" o:spid="_x0000_s1029" type="#_x0000_t202" style="position:absolute;margin-left:8.8pt;margin-top:340.95pt;width:436.5pt;height:9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" stroked="f">
                <v:textbox style="mso-fit-shape-to-text:t" inset="0,0,0,0">
                  <w:txbxContent>
                    <w:p w14:paraId="11D63357" w14:textId="77777777" w:rsidR="006F1989" w:rsidRDefault="006F1989" w:rsidP="006F1989">
                      <w:pPr>
                        <w:pStyle w:val="Caption"/>
                        <w:jc w:val="both"/>
                        <w:rPr>
                          <w:color w:val="auto"/>
                        </w:rPr>
                      </w:pPr>
                      <w:r>
                        <w:rPr>
                          <w:b/>
                          <w:bCs/>
                          <w:color w:val="auto"/>
                        </w:rPr>
                        <w:t>Extended figure 4:</w:t>
                      </w:r>
                      <w:r>
                        <w:rPr>
                          <w:color w:val="auto"/>
                        </w:rPr>
                        <w:t xml:space="preserve"> </w:t>
                      </w:r>
                      <w:r>
                        <w:rPr>
                          <w:b/>
                          <w:bCs/>
                          <w:color w:val="auto"/>
                        </w:rPr>
                        <w:t>(A)</w:t>
                      </w:r>
                      <w:r>
                        <w:rPr>
                          <w:color w:val="auto"/>
                        </w:rPr>
                        <w:t xml:space="preserve"> Flow cytometry analysis of ex vivo PBMC samples from PwMS (MS) and healthy controls (HC) indicating high MMP28 expression, but low IFN</w:t>
                      </w:r>
                      <w:r>
                        <w:rPr>
                          <w:rFonts w:cstheme="minorHAnsi"/>
                          <w:color w:val="auto"/>
                        </w:rPr>
                        <w:t>γ</w:t>
                      </w:r>
                      <w:r>
                        <w:rPr>
                          <w:color w:val="auto"/>
                        </w:rPr>
                        <w:t xml:space="preserve"> and GM-CSF expression in both MRC2+ and MRC2 negative T lymphocyte populations. Additionally, no significant differences regarding TIMP-2 and UPAR between these populations were observed. </w:t>
                      </w:r>
                      <w:r>
                        <w:rPr>
                          <w:b/>
                          <w:bCs/>
                          <w:color w:val="auto"/>
                        </w:rPr>
                        <w:t>(B)</w:t>
                      </w:r>
                      <w:r>
                        <w:rPr>
                          <w:color w:val="auto"/>
                        </w:rPr>
                        <w:t xml:space="preserve"> Microscopy analysis to assess the frequency of IFN</w:t>
                      </w:r>
                      <w:r>
                        <w:rPr>
                          <w:rFonts w:cstheme="minorHAnsi"/>
                          <w:color w:val="auto"/>
                        </w:rPr>
                        <w:t>γ</w:t>
                      </w:r>
                      <w:r>
                        <w:rPr>
                          <w:color w:val="auto"/>
                        </w:rPr>
                        <w:t>+ T lymphocytes after stimulation with IL-12, IL-4, and IL-23. Horizontal dashed line indicates mean levels of cells without cytokine stimulation. For statistical analysis ratio paired Student’s t test in (A), one-way ANOVA and Sidak’s multiple comparison test in (B) were performed. * p &lt; 0.05, ** p &lt; 0.01, ns = not significant</w:t>
                      </w:r>
                    </w:p>
                  </w:txbxContent>
                </v:textbox>
                <w10:wrap type="topAndBottom"/>
              </v:shape>
            </w:pict>
          </mc:Fallback>
        </mc:AlternateContent>
      </w:r>
    </w:p>
    <w:p w14:paraId="360F834C" w14:textId="77777777" w:rsidR="006F1989" w:rsidRPr="006F1989" w:rsidRDefault="006F1989" w:rsidP="006F1989">
      <w:pPr>
        <w:rPr>
          <w:b/>
          <w:bCs/>
        </w:rPr>
      </w:pPr>
    </w:p>
    <w:p w14:paraId="0C2CBB20" w14:textId="77777777" w:rsidR="006F1989" w:rsidRPr="006F1989" w:rsidRDefault="006F1989" w:rsidP="006F1989">
      <w:pPr>
        <w:rPr>
          <w:b/>
          <w:bCs/>
        </w:rPr>
      </w:pPr>
    </w:p>
    <w:p w14:paraId="2B137D2A" w14:textId="77777777" w:rsidR="006F1989" w:rsidRPr="006F1989" w:rsidRDefault="006F1989" w:rsidP="006F1989">
      <w:pPr>
        <w:rPr>
          <w:b/>
          <w:bCs/>
        </w:rPr>
      </w:pPr>
    </w:p>
    <w:p w14:paraId="25B57320" w14:textId="77777777" w:rsidR="006F1989" w:rsidRPr="006F1989" w:rsidRDefault="006F1989" w:rsidP="006F1989">
      <w:pPr>
        <w:rPr>
          <w:b/>
          <w:bCs/>
        </w:rPr>
      </w:pPr>
    </w:p>
    <w:p w14:paraId="3D0E5550" w14:textId="77777777" w:rsidR="006F1989" w:rsidRPr="006F1989" w:rsidRDefault="006F1989" w:rsidP="006F1989">
      <w:pPr>
        <w:rPr>
          <w:b/>
          <w:bCs/>
        </w:rPr>
      </w:pPr>
    </w:p>
    <w:p w14:paraId="69EBAADD" w14:textId="77777777" w:rsidR="006F1989" w:rsidRPr="006F1989" w:rsidRDefault="006F1989" w:rsidP="006F1989">
      <w:pPr>
        <w:rPr>
          <w:b/>
          <w:bCs/>
        </w:rPr>
      </w:pPr>
    </w:p>
    <w:p w14:paraId="1106C118" w14:textId="77777777" w:rsidR="006F1989" w:rsidRPr="006F1989" w:rsidRDefault="006F1989" w:rsidP="006F1989">
      <w:pPr>
        <w:rPr>
          <w:b/>
          <w:bCs/>
        </w:rPr>
      </w:pPr>
    </w:p>
    <w:p w14:paraId="4B2A8345" w14:textId="77777777" w:rsidR="006F1989" w:rsidRPr="006F1989" w:rsidRDefault="006F1989" w:rsidP="006F1989">
      <w:pPr>
        <w:rPr>
          <w:b/>
          <w:bCs/>
        </w:rPr>
      </w:pPr>
    </w:p>
    <w:p w14:paraId="38FAC7D5" w14:textId="77777777" w:rsidR="006F1989" w:rsidRPr="006F1989" w:rsidRDefault="006F1989" w:rsidP="006F1989">
      <w:pPr>
        <w:rPr>
          <w:b/>
          <w:bCs/>
        </w:rPr>
      </w:pPr>
    </w:p>
    <w:p w14:paraId="07D10116" w14:textId="77777777" w:rsidR="006F1989" w:rsidRPr="006F1989" w:rsidRDefault="006F1989" w:rsidP="006F1989">
      <w:pPr>
        <w:rPr>
          <w:b/>
          <w:bCs/>
        </w:rPr>
      </w:pPr>
    </w:p>
    <w:p w14:paraId="78236023" w14:textId="73FD5C69" w:rsidR="006F1989" w:rsidRPr="006F1989" w:rsidRDefault="006F1989" w:rsidP="006F1989">
      <w:pPr>
        <w:rPr>
          <w:b/>
          <w:bCs/>
        </w:rPr>
      </w:pPr>
      <w:r w:rsidRPr="006F1989">
        <w:lastRenderedPageBreak/>
        <w:drawing>
          <wp:anchor distT="0" distB="0" distL="114300" distR="114300" simplePos="0" relativeHeight="251668480" behindDoc="0" locked="0" layoutInCell="1" allowOverlap="1" wp14:anchorId="4C339D05" wp14:editId="007718C1">
            <wp:simplePos x="0" y="0"/>
            <wp:positionH relativeFrom="margin">
              <wp:align>center</wp:align>
            </wp:positionH>
            <wp:positionV relativeFrom="paragraph">
              <wp:posOffset>346710</wp:posOffset>
            </wp:positionV>
            <wp:extent cx="5780405" cy="2423160"/>
            <wp:effectExtent l="0" t="0" r="0" b="0"/>
            <wp:wrapTopAndBottom/>
            <wp:docPr id="1976162929" name="Picture 16" descr="A diagram of a test tub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diagram of a test tube&#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80405" cy="2423160"/>
                    </a:xfrm>
                    <a:prstGeom prst="rect">
                      <a:avLst/>
                    </a:prstGeom>
                    <a:noFill/>
                  </pic:spPr>
                </pic:pic>
              </a:graphicData>
            </a:graphic>
            <wp14:sizeRelH relativeFrom="page">
              <wp14:pctWidth>0</wp14:pctWidth>
            </wp14:sizeRelH>
            <wp14:sizeRelV relativeFrom="page">
              <wp14:pctHeight>0</wp14:pctHeight>
            </wp14:sizeRelV>
          </wp:anchor>
        </w:drawing>
      </w:r>
    </w:p>
    <w:p w14:paraId="002C12EF" w14:textId="77777777" w:rsidR="006F1989" w:rsidRPr="006F1989" w:rsidRDefault="006F1989" w:rsidP="006F1989">
      <w:pPr>
        <w:rPr>
          <w:b/>
          <w:bCs/>
          <w:i/>
          <w:iCs/>
        </w:rPr>
      </w:pPr>
      <w:r w:rsidRPr="006F1989">
        <w:rPr>
          <w:b/>
          <w:bCs/>
          <w:i/>
          <w:iCs/>
        </w:rPr>
        <w:t>Extended figure 5:</w:t>
      </w:r>
      <w:r w:rsidRPr="006F1989">
        <w:rPr>
          <w:i/>
          <w:iCs/>
        </w:rPr>
        <w:t xml:space="preserve"> </w:t>
      </w:r>
      <w:r w:rsidRPr="006F1989">
        <w:rPr>
          <w:b/>
          <w:bCs/>
          <w:i/>
          <w:iCs/>
        </w:rPr>
        <w:t>(A)</w:t>
      </w:r>
      <w:r w:rsidRPr="006F1989">
        <w:rPr>
          <w:i/>
          <w:iCs/>
        </w:rPr>
        <w:t xml:space="preserve"> Scheme of experiment design to assess T lymphocyte migration across human BECs.</w:t>
      </w:r>
      <w:r w:rsidRPr="006F1989">
        <w:rPr>
          <w:b/>
          <w:bCs/>
          <w:i/>
          <w:iCs/>
        </w:rPr>
        <w:t xml:space="preserve"> (B) </w:t>
      </w:r>
      <w:r w:rsidRPr="006F1989">
        <w:rPr>
          <w:i/>
          <w:iCs/>
        </w:rPr>
        <w:t>Representative flow cytometry plots and pairwise analysis of ICAM-1</w:t>
      </w:r>
      <w:r w:rsidRPr="006F1989">
        <w:rPr>
          <w:i/>
          <w:iCs/>
          <w:vertAlign w:val="superscript"/>
        </w:rPr>
        <w:t>+</w:t>
      </w:r>
      <w:r w:rsidRPr="006F1989">
        <w:rPr>
          <w:i/>
          <w:iCs/>
        </w:rPr>
        <w:t xml:space="preserve"> BECs (n = 4).</w:t>
      </w:r>
      <w:r w:rsidRPr="006F1989">
        <w:rPr>
          <w:b/>
          <w:bCs/>
          <w:i/>
          <w:iCs/>
        </w:rPr>
        <w:t xml:space="preserve"> (C)</w:t>
      </w:r>
      <w:r w:rsidRPr="006F1989">
        <w:rPr>
          <w:i/>
          <w:iCs/>
        </w:rPr>
        <w:t xml:space="preserve"> Flow cytometry analysis of human BECs cultured with no T lymphocytes, and co-cultured with IL-12 stimulated CD8+ T cells for 16 hours displaying percentage of surface ICAM-1 on BECs. </w:t>
      </w:r>
    </w:p>
    <w:p w14:paraId="35DF03D0" w14:textId="77777777" w:rsidR="006F1989" w:rsidRPr="006F1989" w:rsidRDefault="006F1989" w:rsidP="006F1989">
      <w:pPr>
        <w:rPr>
          <w:i/>
          <w:iCs/>
        </w:rPr>
      </w:pPr>
      <w:r w:rsidRPr="006F1989">
        <w:rPr>
          <w:b/>
          <w:bCs/>
          <w:i/>
          <w:iCs/>
        </w:rPr>
        <w:t>(D)</w:t>
      </w:r>
      <w:r w:rsidRPr="006F1989">
        <w:rPr>
          <w:i/>
          <w:iCs/>
        </w:rPr>
        <w:t xml:space="preserve"> Viability staining of BECs postmigration cultured with either iso-treated CD8+ T lymphocytes or with anti-MRC2-blocking antibody (n = 4). </w:t>
      </w:r>
      <w:r w:rsidRPr="006F1989">
        <w:rPr>
          <w:b/>
          <w:bCs/>
          <w:i/>
          <w:iCs/>
        </w:rPr>
        <w:t>(E)</w:t>
      </w:r>
      <w:r w:rsidRPr="006F1989">
        <w:rPr>
          <w:i/>
          <w:iCs/>
        </w:rPr>
        <w:t xml:space="preserve"> Pairwise assessment of COL4A1, COL4A2, ICAM-1 mRNA levels normalized to GAPDH by RT-qPCR comparing ECM, ACM and TNF and IFNγ-stimulated BECs after 24 hours (8 BEC cultures from 6 brain surgeries).</w:t>
      </w:r>
    </w:p>
    <w:p w14:paraId="47A203C0" w14:textId="77777777" w:rsidR="006F1989" w:rsidRPr="006F1989" w:rsidRDefault="006F1989" w:rsidP="006F1989">
      <w:pPr>
        <w:rPr>
          <w:i/>
          <w:iCs/>
        </w:rPr>
      </w:pPr>
      <w:r w:rsidRPr="006F1989">
        <w:rPr>
          <w:i/>
          <w:iCs/>
        </w:rPr>
        <w:t>For statistical analysis ratio paired Student’s t test with Bonferroni correction in (B &amp; D - E), and unpaired Student’s t test in (C) were performed. * p &lt; 0.05, ** p &lt; 0.01, **** p &lt; 0.0001, ns = not significant</w:t>
      </w:r>
    </w:p>
    <w:p w14:paraId="2D76C607" w14:textId="77777777" w:rsidR="006F1989" w:rsidRPr="006F1989" w:rsidRDefault="006F1989" w:rsidP="006F1989">
      <w:pPr>
        <w:rPr>
          <w:b/>
          <w:bCs/>
        </w:rPr>
      </w:pPr>
    </w:p>
    <w:p w14:paraId="4097B5E3" w14:textId="77777777" w:rsidR="006F1989" w:rsidRPr="006F1989" w:rsidRDefault="006F1989" w:rsidP="006F1989">
      <w:pPr>
        <w:rPr>
          <w:b/>
          <w:bCs/>
        </w:rPr>
      </w:pPr>
    </w:p>
    <w:p w14:paraId="172999E9" w14:textId="77777777" w:rsidR="006F1989" w:rsidRPr="006F1989" w:rsidRDefault="006F1989" w:rsidP="006F1989">
      <w:pPr>
        <w:rPr>
          <w:b/>
          <w:bCs/>
        </w:rPr>
      </w:pPr>
    </w:p>
    <w:p w14:paraId="32024E52" w14:textId="77777777" w:rsidR="006F1989" w:rsidRPr="006F1989" w:rsidRDefault="006F1989" w:rsidP="006F1989">
      <w:pPr>
        <w:rPr>
          <w:b/>
          <w:bCs/>
        </w:rPr>
      </w:pPr>
    </w:p>
    <w:p w14:paraId="1D836EFE" w14:textId="77777777" w:rsidR="006F1989" w:rsidRPr="006F1989" w:rsidRDefault="006F1989" w:rsidP="006F1989">
      <w:pPr>
        <w:rPr>
          <w:b/>
          <w:bCs/>
        </w:rPr>
      </w:pPr>
    </w:p>
    <w:p w14:paraId="5645B986" w14:textId="77777777" w:rsidR="006F1989" w:rsidRPr="006F1989" w:rsidRDefault="006F1989" w:rsidP="006F1989">
      <w:pPr>
        <w:rPr>
          <w:b/>
          <w:bCs/>
        </w:rPr>
      </w:pPr>
    </w:p>
    <w:p w14:paraId="4BEB2CCF" w14:textId="77777777" w:rsidR="006F1989" w:rsidRPr="006F1989" w:rsidRDefault="006F1989" w:rsidP="006F1989">
      <w:pPr>
        <w:rPr>
          <w:b/>
          <w:bCs/>
        </w:rPr>
      </w:pPr>
    </w:p>
    <w:p w14:paraId="771170E3" w14:textId="084F0569" w:rsidR="006F1989" w:rsidRDefault="006F1989" w:rsidP="006F1989">
      <w:pPr>
        <w:rPr>
          <w:b/>
          <w:bCs/>
        </w:rPr>
      </w:pPr>
      <w:r w:rsidRPr="006F1989">
        <w:lastRenderedPageBreak/>
        <w:drawing>
          <wp:anchor distT="0" distB="0" distL="114300" distR="114300" simplePos="0" relativeHeight="251669504" behindDoc="0" locked="0" layoutInCell="1" allowOverlap="1" wp14:anchorId="731BAF3E" wp14:editId="6A2961C3">
            <wp:simplePos x="0" y="0"/>
            <wp:positionH relativeFrom="margin">
              <wp:align>center</wp:align>
            </wp:positionH>
            <wp:positionV relativeFrom="paragraph">
              <wp:posOffset>252730</wp:posOffset>
            </wp:positionV>
            <wp:extent cx="4886960" cy="5922645"/>
            <wp:effectExtent l="0" t="0" r="8890" b="1905"/>
            <wp:wrapTopAndBottom/>
            <wp:docPr id="847208457" name="Picture 15" descr="A screenshot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screenshot of a diagram&#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86960" cy="5922645"/>
                    </a:xfrm>
                    <a:prstGeom prst="rect">
                      <a:avLst/>
                    </a:prstGeom>
                    <a:noFill/>
                  </pic:spPr>
                </pic:pic>
              </a:graphicData>
            </a:graphic>
            <wp14:sizeRelH relativeFrom="page">
              <wp14:pctWidth>0</wp14:pctWidth>
            </wp14:sizeRelH>
            <wp14:sizeRelV relativeFrom="page">
              <wp14:pctHeight>0</wp14:pctHeight>
            </wp14:sizeRelV>
          </wp:anchor>
        </w:drawing>
      </w:r>
    </w:p>
    <w:p w14:paraId="5FFAAF79" w14:textId="39764C24" w:rsidR="006F1989" w:rsidRDefault="006F1989" w:rsidP="006F1989">
      <w:pPr>
        <w:rPr>
          <w:b/>
          <w:bCs/>
        </w:rPr>
      </w:pPr>
      <w:r w:rsidRPr="006F1989">
        <mc:AlternateContent>
          <mc:Choice Requires="wps">
            <w:drawing>
              <wp:anchor distT="0" distB="0" distL="114300" distR="114300" simplePos="0" relativeHeight="251667456" behindDoc="0" locked="0" layoutInCell="1" allowOverlap="1" wp14:anchorId="081EC2FB" wp14:editId="6777D2E9">
                <wp:simplePos x="0" y="0"/>
                <wp:positionH relativeFrom="column">
                  <wp:posOffset>40640</wp:posOffset>
                </wp:positionH>
                <wp:positionV relativeFrom="paragraph">
                  <wp:posOffset>6219825</wp:posOffset>
                </wp:positionV>
                <wp:extent cx="5657215" cy="1555750"/>
                <wp:effectExtent l="0" t="0" r="635" b="6350"/>
                <wp:wrapTopAndBottom/>
                <wp:docPr id="1012051154" name="Text Box 14"/>
                <wp:cNvGraphicFramePr/>
                <a:graphic xmlns:a="http://schemas.openxmlformats.org/drawingml/2006/main">
                  <a:graphicData uri="http://schemas.microsoft.com/office/word/2010/wordprocessingShape">
                    <wps:wsp>
                      <wps:cNvSpPr txBox="1"/>
                      <wps:spPr>
                        <a:xfrm>
                          <a:off x="0" y="0"/>
                          <a:ext cx="5657215" cy="1555750"/>
                        </a:xfrm>
                        <a:prstGeom prst="rect">
                          <a:avLst/>
                        </a:prstGeom>
                        <a:solidFill>
                          <a:prstClr val="white"/>
                        </a:solidFill>
                        <a:ln>
                          <a:noFill/>
                        </a:ln>
                      </wps:spPr>
                      <wps:txbx>
                        <w:txbxContent>
                          <w:p w14:paraId="617C5E28" w14:textId="77777777" w:rsidR="006F1989" w:rsidRDefault="006F1989" w:rsidP="006F1989">
                            <w:pPr>
                              <w:pStyle w:val="Caption"/>
                              <w:jc w:val="both"/>
                              <w:rPr>
                                <w:color w:val="auto"/>
                              </w:rPr>
                            </w:pPr>
                            <w:r>
                              <w:rPr>
                                <w:b/>
                                <w:bCs/>
                                <w:color w:val="auto"/>
                              </w:rPr>
                              <w:t>Extended figure 6:</w:t>
                            </w:r>
                            <w:r>
                              <w:rPr>
                                <w:color w:val="auto"/>
                              </w:rPr>
                              <w:t xml:space="preserve"> </w:t>
                            </w:r>
                            <w:r>
                              <w:rPr>
                                <w:b/>
                                <w:bCs/>
                                <w:color w:val="auto"/>
                              </w:rPr>
                              <w:t>(A)</w:t>
                            </w:r>
                            <w:r>
                              <w:rPr>
                                <w:color w:val="auto"/>
                              </w:rPr>
                              <w:t xml:space="preserve"> Exemplary genotyping blot displaying PCR products from (1) MRC2 KO (MRC2</w:t>
                            </w:r>
                            <w:r>
                              <w:rPr>
                                <w:color w:val="auto"/>
                                <w:vertAlign w:val="superscript"/>
                              </w:rPr>
                              <w:t>-/-</w:t>
                            </w:r>
                            <w:r>
                              <w:rPr>
                                <w:color w:val="auto"/>
                              </w:rPr>
                              <w:t xml:space="preserve">), (2) heterozygous (MRC2 </w:t>
                            </w:r>
                            <w:r>
                              <w:rPr>
                                <w:color w:val="auto"/>
                                <w:vertAlign w:val="superscript"/>
                              </w:rPr>
                              <w:t>+/-</w:t>
                            </w:r>
                            <w:r>
                              <w:rPr>
                                <w:color w:val="auto"/>
                              </w:rPr>
                              <w:t>), and (3) WT (MRC2</w:t>
                            </w:r>
                            <w:r>
                              <w:rPr>
                                <w:color w:val="auto"/>
                                <w:vertAlign w:val="superscript"/>
                              </w:rPr>
                              <w:t>+/+</w:t>
                            </w:r>
                            <w:r>
                              <w:rPr>
                                <w:color w:val="auto"/>
                              </w:rPr>
                              <w:t xml:space="preserve">) mice. (B) Flow cytometry of splenocyte-derived T lymphocytes to determine proliferation (n = 4 animals per genotype). </w:t>
                            </w:r>
                            <w:r>
                              <w:rPr>
                                <w:b/>
                                <w:bCs/>
                                <w:color w:val="auto"/>
                              </w:rPr>
                              <w:t>(C)</w:t>
                            </w:r>
                            <w:r>
                              <w:rPr>
                                <w:color w:val="auto"/>
                              </w:rPr>
                              <w:t xml:space="preserve"> Gating strategy to analyze T cell populations from murine spleens and / or CNS tissue. </w:t>
                            </w:r>
                            <w:r>
                              <w:rPr>
                                <w:b/>
                                <w:bCs/>
                                <w:color w:val="auto"/>
                              </w:rPr>
                              <w:t>(D)</w:t>
                            </w:r>
                            <w:r>
                              <w:rPr>
                                <w:color w:val="auto"/>
                              </w:rPr>
                              <w:t xml:space="preserve"> Flow cytometry analysis of ex vivo stimulated splenocytes with PMA / Ionomycin for intracellular staining to determine the frequency of IFN</w:t>
                            </w:r>
                            <w:r>
                              <w:rPr>
                                <w:rFonts w:cstheme="minorHAnsi"/>
                                <w:color w:val="auto"/>
                              </w:rPr>
                              <w:t>γ</w:t>
                            </w:r>
                            <w:r>
                              <w:rPr>
                                <w:color w:val="auto"/>
                              </w:rPr>
                              <w:t xml:space="preserve"> and IL17a+ T cells in MRC2 KO and wildtype (WT) littermates. </w:t>
                            </w:r>
                            <w:r>
                              <w:rPr>
                                <w:b/>
                                <w:bCs/>
                                <w:color w:val="auto"/>
                              </w:rPr>
                              <w:t>(E)</w:t>
                            </w:r>
                            <w:r>
                              <w:rPr>
                                <w:color w:val="auto"/>
                              </w:rPr>
                              <w:t xml:space="preserve"> Scheme flow adhesion assay. </w:t>
                            </w:r>
                            <w:r>
                              <w:rPr>
                                <w:b/>
                                <w:bCs/>
                                <w:color w:val="auto"/>
                              </w:rPr>
                              <w:t>(F)</w:t>
                            </w:r>
                            <w:r>
                              <w:rPr>
                                <w:color w:val="auto"/>
                              </w:rPr>
                              <w:t xml:space="preserve"> Scheme Col IV degradation assay, and representative live imaging and analysis. Data was pooled from 2 mice per condition. For statistical analysis Kruskal-Wallis and Dunn’s multiple comparison test in (A), unpaired Student’s t test in (D), and one-way ANOVA and Sidak’s multiple comparison in (F) were performed. * p &lt; 0.05, ** p &lt; 0.01, ns = not significant.</w:t>
                            </w:r>
                          </w:p>
                        </w:txbxContent>
                      </wps:txbx>
                      <wps:bodyPr rot="0" spcFirstLastPara="0" vertOverflow="clip" horzOverflow="clip"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81EC2FB" id="Text Box 14" o:spid="_x0000_s1030" type="#_x0000_t202" style="position:absolute;margin-left:3.2pt;margin-top:489.75pt;width:445.45pt;height:12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" stroked="f">
                <v:textbox inset="0,0,0,0">
                  <w:txbxContent>
                    <w:p w14:paraId="617C5E28" w14:textId="77777777" w:rsidR="006F1989" w:rsidRDefault="006F1989" w:rsidP="006F1989">
                      <w:pPr>
                        <w:pStyle w:val="Caption"/>
                        <w:jc w:val="both"/>
                        <w:rPr>
                          <w:color w:val="auto"/>
                        </w:rPr>
                      </w:pPr>
                      <w:r>
                        <w:rPr>
                          <w:b/>
                          <w:bCs/>
                          <w:color w:val="auto"/>
                        </w:rPr>
                        <w:t>Extended figure 6:</w:t>
                      </w:r>
                      <w:r>
                        <w:rPr>
                          <w:color w:val="auto"/>
                        </w:rPr>
                        <w:t xml:space="preserve"> </w:t>
                      </w:r>
                      <w:r>
                        <w:rPr>
                          <w:b/>
                          <w:bCs/>
                          <w:color w:val="auto"/>
                        </w:rPr>
                        <w:t>(A)</w:t>
                      </w:r>
                      <w:r>
                        <w:rPr>
                          <w:color w:val="auto"/>
                        </w:rPr>
                        <w:t xml:space="preserve"> Exemplary genotyping blot displaying PCR products from (1) MRC2 KO (MRC2</w:t>
                      </w:r>
                      <w:r>
                        <w:rPr>
                          <w:color w:val="auto"/>
                          <w:vertAlign w:val="superscript"/>
                        </w:rPr>
                        <w:t>-/-</w:t>
                      </w:r>
                      <w:r>
                        <w:rPr>
                          <w:color w:val="auto"/>
                        </w:rPr>
                        <w:t xml:space="preserve">), (2) heterozygous (MRC2 </w:t>
                      </w:r>
                      <w:r>
                        <w:rPr>
                          <w:color w:val="auto"/>
                          <w:vertAlign w:val="superscript"/>
                        </w:rPr>
                        <w:t>+/-</w:t>
                      </w:r>
                      <w:r>
                        <w:rPr>
                          <w:color w:val="auto"/>
                        </w:rPr>
                        <w:t>), and (3) WT (MRC2</w:t>
                      </w:r>
                      <w:r>
                        <w:rPr>
                          <w:color w:val="auto"/>
                          <w:vertAlign w:val="superscript"/>
                        </w:rPr>
                        <w:t>+/+</w:t>
                      </w:r>
                      <w:r>
                        <w:rPr>
                          <w:color w:val="auto"/>
                        </w:rPr>
                        <w:t xml:space="preserve">) mice. (B) Flow cytometry of splenocyte-derived T lymphocytes to determine proliferation (n = 4 animals per genotype). </w:t>
                      </w:r>
                      <w:r>
                        <w:rPr>
                          <w:b/>
                          <w:bCs/>
                          <w:color w:val="auto"/>
                        </w:rPr>
                        <w:t>(C)</w:t>
                      </w:r>
                      <w:r>
                        <w:rPr>
                          <w:color w:val="auto"/>
                        </w:rPr>
                        <w:t xml:space="preserve"> Gating strategy to analyze T cell populations from murine spleens and / or CNS tissue. </w:t>
                      </w:r>
                      <w:r>
                        <w:rPr>
                          <w:b/>
                          <w:bCs/>
                          <w:color w:val="auto"/>
                        </w:rPr>
                        <w:t>(D)</w:t>
                      </w:r>
                      <w:r>
                        <w:rPr>
                          <w:color w:val="auto"/>
                        </w:rPr>
                        <w:t xml:space="preserve"> Flow cytometry analysis of ex vivo stimulated splenocytes with PMA / Ionomycin for intracellular staining to determine the frequency of IFN</w:t>
                      </w:r>
                      <w:r>
                        <w:rPr>
                          <w:rFonts w:cstheme="minorHAnsi"/>
                          <w:color w:val="auto"/>
                        </w:rPr>
                        <w:t>γ</w:t>
                      </w:r>
                      <w:r>
                        <w:rPr>
                          <w:color w:val="auto"/>
                        </w:rPr>
                        <w:t xml:space="preserve"> and IL17a+ T cells in MRC2 KO and wildtype (WT) littermates. </w:t>
                      </w:r>
                      <w:r>
                        <w:rPr>
                          <w:b/>
                          <w:bCs/>
                          <w:color w:val="auto"/>
                        </w:rPr>
                        <w:t>(E)</w:t>
                      </w:r>
                      <w:r>
                        <w:rPr>
                          <w:color w:val="auto"/>
                        </w:rPr>
                        <w:t xml:space="preserve"> Scheme flow adhesion assay. </w:t>
                      </w:r>
                      <w:r>
                        <w:rPr>
                          <w:b/>
                          <w:bCs/>
                          <w:color w:val="auto"/>
                        </w:rPr>
                        <w:t>(F)</w:t>
                      </w:r>
                      <w:r>
                        <w:rPr>
                          <w:color w:val="auto"/>
                        </w:rPr>
                        <w:t xml:space="preserve"> Scheme Col IV degradation assay, and representative live imaging and analysis. Data was pooled from 2 mice per condition. For statistical analysis Kruskal-Wallis and Dunn’s multiple comparison test in (A), unpaired Student’s t test in (D), and one-way ANOVA and Sidak’s multiple comparison in (F) were performed. * p &lt; 0.05, ** p &lt; 0.01, ns = not significant.</w:t>
                      </w:r>
                    </w:p>
                  </w:txbxContent>
                </v:textbox>
                <w10:wrap type="topAndBottom"/>
              </v:shape>
            </w:pict>
          </mc:Fallback>
        </mc:AlternateContent>
      </w:r>
    </w:p>
    <w:p w14:paraId="02F3AF92" w14:textId="355282F2" w:rsidR="006F1989" w:rsidRPr="006F1989" w:rsidRDefault="006F1989" w:rsidP="006F1989">
      <w:pPr>
        <w:rPr>
          <w:b/>
          <w:bCs/>
        </w:rPr>
      </w:pPr>
    </w:p>
    <w:p w14:paraId="59A33826" w14:textId="0E6B70A8" w:rsidR="006F1989" w:rsidRPr="006F1989" w:rsidRDefault="006F1989" w:rsidP="006F1989">
      <w:pPr>
        <w:rPr>
          <w:b/>
          <w:bCs/>
        </w:rPr>
      </w:pPr>
    </w:p>
    <w:p w14:paraId="65ADE7EA" w14:textId="77777777" w:rsidR="006F1989" w:rsidRDefault="006F1989" w:rsidP="006F1989">
      <w:pPr>
        <w:rPr>
          <w:b/>
          <w:bCs/>
        </w:rPr>
      </w:pPr>
    </w:p>
    <w:p w14:paraId="32499E85" w14:textId="77777777" w:rsidR="006F1989" w:rsidRDefault="006F1989" w:rsidP="006F1989">
      <w:pPr>
        <w:rPr>
          <w:b/>
          <w:bCs/>
        </w:rPr>
      </w:pPr>
    </w:p>
    <w:p w14:paraId="0AC28A58" w14:textId="77777777" w:rsidR="006F1989" w:rsidRDefault="006F1989" w:rsidP="006F1989">
      <w:pPr>
        <w:rPr>
          <w:b/>
          <w:bCs/>
        </w:rPr>
      </w:pPr>
    </w:p>
    <w:p w14:paraId="564A5BE4" w14:textId="77777777" w:rsidR="006F1989" w:rsidRDefault="006F1989" w:rsidP="006F1989">
      <w:pPr>
        <w:rPr>
          <w:b/>
          <w:bCs/>
        </w:rPr>
      </w:pPr>
    </w:p>
    <w:p w14:paraId="03AAB309" w14:textId="77777777" w:rsidR="006F1989" w:rsidRPr="006F1989" w:rsidRDefault="006F1989" w:rsidP="006F1989">
      <w:pPr>
        <w:rPr>
          <w:b/>
          <w:bCs/>
        </w:rPr>
      </w:pPr>
    </w:p>
    <w:p w14:paraId="5BA6F23E" w14:textId="3E25FE0A" w:rsidR="006F1989" w:rsidRPr="006F1989" w:rsidRDefault="006F1989" w:rsidP="006F1989">
      <w:pPr>
        <w:rPr>
          <w:i/>
          <w:iCs/>
        </w:rPr>
      </w:pPr>
      <w:r w:rsidRPr="006F1989">
        <w:drawing>
          <wp:anchor distT="0" distB="0" distL="114300" distR="114300" simplePos="0" relativeHeight="251670528" behindDoc="0" locked="0" layoutInCell="1" allowOverlap="1" wp14:anchorId="1F2AC890" wp14:editId="2852B111">
            <wp:simplePos x="0" y="0"/>
            <wp:positionH relativeFrom="margin">
              <wp:align>center</wp:align>
            </wp:positionH>
            <wp:positionV relativeFrom="paragraph">
              <wp:posOffset>77470</wp:posOffset>
            </wp:positionV>
            <wp:extent cx="5943600" cy="3501390"/>
            <wp:effectExtent l="0" t="0" r="0" b="3810"/>
            <wp:wrapTopAndBottom/>
            <wp:docPr id="1375827381" name="Picture 13"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 collage of graphs and diagrams&#10;&#10;AI-generated content may be incorrec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501390"/>
                    </a:xfrm>
                    <a:prstGeom prst="rect">
                      <a:avLst/>
                    </a:prstGeom>
                    <a:noFill/>
                  </pic:spPr>
                </pic:pic>
              </a:graphicData>
            </a:graphic>
            <wp14:sizeRelH relativeFrom="page">
              <wp14:pctWidth>0</wp14:pctWidth>
            </wp14:sizeRelH>
            <wp14:sizeRelV relativeFrom="page">
              <wp14:pctHeight>0</wp14:pctHeight>
            </wp14:sizeRelV>
          </wp:anchor>
        </w:drawing>
      </w:r>
      <w:r w:rsidRPr="006F1989">
        <w:rPr>
          <w:b/>
          <w:bCs/>
          <w:i/>
          <w:iCs/>
        </w:rPr>
        <w:t xml:space="preserve">Extended figure 7. (A) </w:t>
      </w:r>
      <w:r w:rsidRPr="006F1989">
        <w:rPr>
          <w:i/>
          <w:iCs/>
        </w:rPr>
        <w:t>Scheme of timeline MOG</w:t>
      </w:r>
      <w:r w:rsidRPr="006F1989">
        <w:rPr>
          <w:i/>
          <w:iCs/>
          <w:vertAlign w:val="subscript"/>
        </w:rPr>
        <w:t>35-55</w:t>
      </w:r>
      <w:r w:rsidRPr="006F1989">
        <w:rPr>
          <w:i/>
          <w:iCs/>
        </w:rPr>
        <w:t xml:space="preserve">-induced EAE. </w:t>
      </w:r>
      <w:r w:rsidRPr="006F1989">
        <w:rPr>
          <w:b/>
          <w:bCs/>
          <w:i/>
          <w:iCs/>
        </w:rPr>
        <w:t>(B)</w:t>
      </w:r>
      <w:r w:rsidRPr="006F1989">
        <w:rPr>
          <w:i/>
          <w:iCs/>
        </w:rPr>
        <w:t xml:space="preserve"> Pooled data from both sexes indicating disease incidence. </w:t>
      </w:r>
      <w:r w:rsidRPr="006F1989">
        <w:rPr>
          <w:b/>
          <w:bCs/>
          <w:i/>
          <w:iCs/>
        </w:rPr>
        <w:t>(C)</w:t>
      </w:r>
      <w:r w:rsidRPr="006F1989">
        <w:rPr>
          <w:i/>
          <w:iCs/>
        </w:rPr>
        <w:t xml:space="preserve"> Weights in gram (g) over time shown for each group. </w:t>
      </w:r>
      <w:r w:rsidRPr="006F1989">
        <w:rPr>
          <w:b/>
          <w:bCs/>
          <w:i/>
          <w:iCs/>
        </w:rPr>
        <w:t>(D-E)</w:t>
      </w:r>
      <w:r w:rsidRPr="006F1989">
        <w:rPr>
          <w:i/>
          <w:iCs/>
        </w:rPr>
        <w:t xml:space="preserve"> Pooled data from both sexes indicating clinical scores </w:t>
      </w:r>
      <w:r w:rsidRPr="006F1989">
        <w:rPr>
          <w:b/>
          <w:bCs/>
          <w:i/>
          <w:iCs/>
        </w:rPr>
        <w:t>(D)</w:t>
      </w:r>
      <w:r w:rsidRPr="006F1989">
        <w:rPr>
          <w:i/>
          <w:iCs/>
        </w:rPr>
        <w:t xml:space="preserve"> and cumulative clinical scores at day 40 post-immunization </w:t>
      </w:r>
      <w:r w:rsidRPr="006F1989">
        <w:rPr>
          <w:b/>
          <w:bCs/>
          <w:i/>
          <w:iCs/>
        </w:rPr>
        <w:t>(E)</w:t>
      </w:r>
      <w:r w:rsidRPr="006F1989">
        <w:rPr>
          <w:i/>
          <w:iCs/>
        </w:rPr>
        <w:t xml:space="preserve">. </w:t>
      </w:r>
      <w:r w:rsidRPr="006F1989">
        <w:rPr>
          <w:b/>
          <w:bCs/>
          <w:i/>
          <w:iCs/>
        </w:rPr>
        <w:t>(F)</w:t>
      </w:r>
      <w:r w:rsidRPr="006F1989">
        <w:rPr>
          <w:i/>
          <w:iCs/>
        </w:rPr>
        <w:t xml:space="preserve"> Representative scans of immunofluorescence staining on postmortem spinal cord tissue and quantification of CD45+ immune cell infiltrates in the chronic EAE disease of MRC2 KO and WT littermates (n = 6 – 8 animals per group, as indicated). </w:t>
      </w:r>
      <w:r w:rsidRPr="006F1989">
        <w:rPr>
          <w:b/>
          <w:bCs/>
          <w:i/>
          <w:iCs/>
        </w:rPr>
        <w:t>(G-H)</w:t>
      </w:r>
      <w:r w:rsidRPr="006F1989">
        <w:rPr>
          <w:i/>
          <w:iCs/>
        </w:rPr>
        <w:t xml:space="preserve"> Flow cytometry analysis of CNS-infiltrating T lymphocytes from MRC2 KO mice and WT littermates in peak and / or chronic EAE disease as indicated. Single cell suspensions were stimulated with PMA / Ionomycin prior intracellular staining. For statistical analysis mixed effects model (REML) in (D), unpaired Student’s t test in (E), Mann Whitney test in (F), two-way ANOVA and Sidak’s multiple </w:t>
      </w:r>
      <w:r w:rsidRPr="006F1989">
        <w:rPr>
          <w:i/>
          <w:iCs/>
        </w:rPr>
        <w:lastRenderedPageBreak/>
        <w:t>comparison test (in G; left panel), and one-way ANOVA and Sidak's multiple comparison test in (H) were performed. * p &lt; 0.05, ns = not significant</w:t>
      </w:r>
    </w:p>
    <w:p w14:paraId="2EA8267E" w14:textId="77777777" w:rsidR="006F1989" w:rsidRPr="006F1989" w:rsidRDefault="006F1989" w:rsidP="006F1989">
      <w:pPr>
        <w:rPr>
          <w:i/>
          <w:iCs/>
        </w:rPr>
      </w:pPr>
    </w:p>
    <w:p w14:paraId="03D96DD1" w14:textId="77777777" w:rsidR="006F1989" w:rsidRPr="006F1989" w:rsidRDefault="006F1989" w:rsidP="006F1989"/>
    <w:p w14:paraId="4756ADB0" w14:textId="77777777" w:rsidR="006F1989" w:rsidRPr="006F1989" w:rsidRDefault="006F1989" w:rsidP="006F1989"/>
    <w:p w14:paraId="4107F9C3"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989"/>
    <w:rsid w:val="00156A6D"/>
    <w:rsid w:val="006F1989"/>
    <w:rsid w:val="00732981"/>
    <w:rsid w:val="00A777DA"/>
    <w:rsid w:val="00A96173"/>
    <w:rsid w:val="00AC0449"/>
    <w:rsid w:val="00AD604E"/>
    <w:rsid w:val="00B34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21ACE"/>
  <w15:chartTrackingRefBased/>
  <w15:docId w15:val="{3B452E66-C024-4FE2-9512-4DAA9049A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19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19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19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19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19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19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19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19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19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19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19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19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19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19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19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19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19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1989"/>
    <w:rPr>
      <w:rFonts w:eastAsiaTheme="majorEastAsia" w:cstheme="majorBidi"/>
      <w:color w:val="272727" w:themeColor="text1" w:themeTint="D8"/>
    </w:rPr>
  </w:style>
  <w:style w:type="paragraph" w:styleId="Title">
    <w:name w:val="Title"/>
    <w:basedOn w:val="Normal"/>
    <w:next w:val="Normal"/>
    <w:link w:val="TitleChar"/>
    <w:uiPriority w:val="10"/>
    <w:qFormat/>
    <w:rsid w:val="006F19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19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19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19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1989"/>
    <w:pPr>
      <w:spacing w:before="160"/>
      <w:jc w:val="center"/>
    </w:pPr>
    <w:rPr>
      <w:i/>
      <w:iCs/>
      <w:color w:val="404040" w:themeColor="text1" w:themeTint="BF"/>
    </w:rPr>
  </w:style>
  <w:style w:type="character" w:customStyle="1" w:styleId="QuoteChar">
    <w:name w:val="Quote Char"/>
    <w:basedOn w:val="DefaultParagraphFont"/>
    <w:link w:val="Quote"/>
    <w:uiPriority w:val="29"/>
    <w:rsid w:val="006F1989"/>
    <w:rPr>
      <w:i/>
      <w:iCs/>
      <w:color w:val="404040" w:themeColor="text1" w:themeTint="BF"/>
    </w:rPr>
  </w:style>
  <w:style w:type="paragraph" w:styleId="ListParagraph">
    <w:name w:val="List Paragraph"/>
    <w:basedOn w:val="Normal"/>
    <w:uiPriority w:val="34"/>
    <w:qFormat/>
    <w:rsid w:val="006F1989"/>
    <w:pPr>
      <w:ind w:left="720"/>
      <w:contextualSpacing/>
    </w:pPr>
  </w:style>
  <w:style w:type="character" w:styleId="IntenseEmphasis">
    <w:name w:val="Intense Emphasis"/>
    <w:basedOn w:val="DefaultParagraphFont"/>
    <w:uiPriority w:val="21"/>
    <w:qFormat/>
    <w:rsid w:val="006F1989"/>
    <w:rPr>
      <w:i/>
      <w:iCs/>
      <w:color w:val="0F4761" w:themeColor="accent1" w:themeShade="BF"/>
    </w:rPr>
  </w:style>
  <w:style w:type="paragraph" w:styleId="IntenseQuote">
    <w:name w:val="Intense Quote"/>
    <w:basedOn w:val="Normal"/>
    <w:next w:val="Normal"/>
    <w:link w:val="IntenseQuoteChar"/>
    <w:uiPriority w:val="30"/>
    <w:qFormat/>
    <w:rsid w:val="006F19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1989"/>
    <w:rPr>
      <w:i/>
      <w:iCs/>
      <w:color w:val="0F4761" w:themeColor="accent1" w:themeShade="BF"/>
    </w:rPr>
  </w:style>
  <w:style w:type="character" w:styleId="IntenseReference">
    <w:name w:val="Intense Reference"/>
    <w:basedOn w:val="DefaultParagraphFont"/>
    <w:uiPriority w:val="32"/>
    <w:qFormat/>
    <w:rsid w:val="006F1989"/>
    <w:rPr>
      <w:b/>
      <w:bCs/>
      <w:smallCaps/>
      <w:color w:val="0F4761" w:themeColor="accent1" w:themeShade="BF"/>
      <w:spacing w:val="5"/>
    </w:rPr>
  </w:style>
  <w:style w:type="table" w:styleId="TableGrid">
    <w:name w:val="Table Grid"/>
    <w:basedOn w:val="TableNormal"/>
    <w:uiPriority w:val="39"/>
    <w:rsid w:val="006F19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6F198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Caption">
    <w:name w:val="caption"/>
    <w:basedOn w:val="Normal"/>
    <w:next w:val="Normal"/>
    <w:uiPriority w:val="35"/>
    <w:semiHidden/>
    <w:unhideWhenUsed/>
    <w:qFormat/>
    <w:rsid w:val="006F1989"/>
    <w:pPr>
      <w:spacing w:after="200" w:line="240" w:lineRule="auto"/>
    </w:pPr>
    <w:rPr>
      <w:i/>
      <w:iCs/>
      <w:color w:val="0E2841" w:themeColor="text2"/>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13278">
      <w:bodyDiv w:val="1"/>
      <w:marLeft w:val="0"/>
      <w:marRight w:val="0"/>
      <w:marTop w:val="0"/>
      <w:marBottom w:val="0"/>
      <w:divBdr>
        <w:top w:val="none" w:sz="0" w:space="0" w:color="auto"/>
        <w:left w:val="none" w:sz="0" w:space="0" w:color="auto"/>
        <w:bottom w:val="none" w:sz="0" w:space="0" w:color="auto"/>
        <w:right w:val="none" w:sz="0" w:space="0" w:color="auto"/>
      </w:divBdr>
    </w:div>
    <w:div w:id="581526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540</Words>
  <Characters>3078</Characters>
  <Application>Microsoft Office Word</Application>
  <DocSecurity>0</DocSecurity>
  <Lines>25</Lines>
  <Paragraphs>7</Paragraphs>
  <ScaleCrop>false</ScaleCrop>
  <Company>Springer Nature</Company>
  <LinksUpToDate>false</LinksUpToDate>
  <CharactersWithSpaces>3611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2025-07-04T06:00:00Z</dcterms:created>
  <dcterms:modified xsi:type="dcterms:W3CDTF">2025-07-04T06:04:00Z</dcterms:modified>
</cp:coreProperties>
</file>