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06308" w14:textId="77777777" w:rsidR="00EA35CF" w:rsidRDefault="00EA35CF" w:rsidP="00EA35CF">
      <w:pPr>
        <w:spacing w:after="0" w:line="240" w:lineRule="auto"/>
        <w:jc w:val="both"/>
        <w:rPr>
          <w:rFonts w:ascii="Times New Roman" w:eastAsia="Times New Roman" w:hAnsi="Times New Roman" w:cs="Times New Roman"/>
          <w:b/>
          <w:kern w:val="0"/>
          <w:sz w:val="24"/>
          <w:szCs w:val="24"/>
          <w14:ligatures w14:val="none"/>
        </w:rPr>
      </w:pPr>
      <w:r w:rsidRPr="003E18F9">
        <w:rPr>
          <w:rFonts w:ascii="Times New Roman" w:eastAsia="Times New Roman" w:hAnsi="Times New Roman" w:cs="Times New Roman"/>
          <w:b/>
          <w:kern w:val="0"/>
          <w:sz w:val="24"/>
          <w:szCs w:val="24"/>
          <w14:ligatures w14:val="none"/>
        </w:rPr>
        <w:t>Supplementary Information for</w:t>
      </w:r>
    </w:p>
    <w:p w14:paraId="1EF94570" w14:textId="77777777" w:rsidR="00AA11A9" w:rsidRPr="003E18F9" w:rsidRDefault="00AA11A9" w:rsidP="00EA35CF">
      <w:pPr>
        <w:spacing w:after="0" w:line="240" w:lineRule="auto"/>
        <w:jc w:val="both"/>
        <w:rPr>
          <w:rFonts w:ascii="Times New Roman" w:eastAsia="Times New Roman" w:hAnsi="Times New Roman" w:cs="Times New Roman"/>
          <w:b/>
          <w:kern w:val="0"/>
          <w:sz w:val="24"/>
          <w:szCs w:val="24"/>
          <w14:ligatures w14:val="none"/>
        </w:rPr>
      </w:pPr>
    </w:p>
    <w:p w14:paraId="2BF3A42A" w14:textId="77777777" w:rsidR="009170B4" w:rsidRPr="00CB553B" w:rsidRDefault="009170B4" w:rsidP="009170B4">
      <w:pPr>
        <w:spacing w:after="0" w:line="360" w:lineRule="auto"/>
        <w:ind w:left="1440" w:hanging="1440"/>
        <w:jc w:val="both"/>
        <w:rPr>
          <w:rFonts w:ascii="Times New Roman" w:eastAsia="Calibri" w:hAnsi="Times New Roman" w:cs="Times New Roman"/>
          <w:sz w:val="24"/>
          <w:szCs w:val="24"/>
        </w:rPr>
      </w:pPr>
      <w:r w:rsidRPr="00CB553B">
        <w:rPr>
          <w:rFonts w:ascii="Times New Roman" w:eastAsia="Calibri" w:hAnsi="Times New Roman" w:cs="Times New Roman"/>
          <w:b/>
          <w:bCs/>
          <w:sz w:val="24"/>
          <w:szCs w:val="24"/>
        </w:rPr>
        <w:t>Cross National Study on Landslide Awareness and Risk Management</w:t>
      </w:r>
    </w:p>
    <w:p w14:paraId="3CEDA278" w14:textId="77777777" w:rsidR="009170B4" w:rsidRPr="00CB553B" w:rsidRDefault="009170B4" w:rsidP="009170B4">
      <w:pPr>
        <w:spacing w:after="0" w:line="360" w:lineRule="auto"/>
        <w:jc w:val="both"/>
        <w:rPr>
          <w:rFonts w:ascii="Times New Roman" w:eastAsia="Calibri" w:hAnsi="Times New Roman" w:cs="Times New Roman"/>
          <w:sz w:val="24"/>
          <w:szCs w:val="24"/>
        </w:rPr>
      </w:pPr>
    </w:p>
    <w:p w14:paraId="037EACD0" w14:textId="77777777" w:rsidR="009170B4" w:rsidRPr="00CB553B" w:rsidRDefault="009170B4" w:rsidP="009170B4">
      <w:pPr>
        <w:spacing w:after="0" w:line="360" w:lineRule="auto"/>
        <w:jc w:val="both"/>
        <w:rPr>
          <w:rFonts w:ascii="Times New Roman" w:eastAsia="Calibri" w:hAnsi="Times New Roman" w:cs="Times New Roman"/>
          <w:sz w:val="24"/>
          <w:szCs w:val="24"/>
        </w:rPr>
      </w:pPr>
      <w:r w:rsidRPr="00CB553B">
        <w:rPr>
          <w:rFonts w:ascii="Times New Roman" w:eastAsia="Calibri" w:hAnsi="Times New Roman" w:cs="Times New Roman"/>
          <w:sz w:val="24"/>
          <w:szCs w:val="24"/>
        </w:rPr>
        <w:t xml:space="preserve">Sabab Aosaf </w:t>
      </w:r>
      <w:r w:rsidRPr="00CB553B">
        <w:rPr>
          <w:rFonts w:ascii="Times New Roman" w:eastAsia="Calibri" w:hAnsi="Times New Roman" w:cs="Times New Roman"/>
          <w:sz w:val="24"/>
          <w:szCs w:val="24"/>
          <w:vertAlign w:val="superscript"/>
        </w:rPr>
        <w:t>1</w:t>
      </w:r>
      <w:r w:rsidRPr="00CB553B">
        <w:rPr>
          <w:rFonts w:ascii="Times New Roman" w:eastAsia="Calibri" w:hAnsi="Times New Roman" w:cs="Times New Roman"/>
          <w:sz w:val="24"/>
          <w:szCs w:val="24"/>
        </w:rPr>
        <w:t xml:space="preserve">, Safiyeh Tayebi </w:t>
      </w:r>
      <w:r w:rsidRPr="00CB553B">
        <w:rPr>
          <w:rFonts w:ascii="Times New Roman" w:eastAsia="Calibri" w:hAnsi="Times New Roman" w:cs="Times New Roman"/>
          <w:sz w:val="24"/>
          <w:szCs w:val="24"/>
          <w:vertAlign w:val="superscript"/>
        </w:rPr>
        <w:t>2,3</w:t>
      </w:r>
      <w:r w:rsidRPr="00CB553B">
        <w:rPr>
          <w:rFonts w:ascii="Times New Roman" w:eastAsia="Calibri" w:hAnsi="Times New Roman" w:cs="Times New Roman"/>
          <w:sz w:val="24"/>
          <w:szCs w:val="24"/>
        </w:rPr>
        <w:t xml:space="preserve">, Ana Lorena Ruano </w:t>
      </w:r>
      <w:r w:rsidRPr="00CB553B">
        <w:rPr>
          <w:rFonts w:ascii="Times New Roman" w:eastAsia="Calibri" w:hAnsi="Times New Roman" w:cs="Times New Roman"/>
          <w:sz w:val="24"/>
          <w:szCs w:val="24"/>
          <w:vertAlign w:val="superscript"/>
        </w:rPr>
        <w:t>4</w:t>
      </w:r>
      <w:r w:rsidRPr="00CB553B">
        <w:rPr>
          <w:rFonts w:ascii="Times New Roman" w:eastAsia="Calibri" w:hAnsi="Times New Roman" w:cs="Times New Roman"/>
          <w:sz w:val="24"/>
          <w:szCs w:val="24"/>
        </w:rPr>
        <w:t xml:space="preserve">, Gwenyth O. Lee </w:t>
      </w:r>
      <w:r w:rsidRPr="00CB553B">
        <w:rPr>
          <w:rFonts w:ascii="Times New Roman" w:eastAsia="Calibri" w:hAnsi="Times New Roman" w:cs="Times New Roman"/>
          <w:sz w:val="24"/>
          <w:szCs w:val="24"/>
          <w:vertAlign w:val="superscript"/>
        </w:rPr>
        <w:t>2,5</w:t>
      </w:r>
      <w:r w:rsidRPr="00CB553B">
        <w:rPr>
          <w:rFonts w:ascii="Times New Roman" w:eastAsia="Calibri" w:hAnsi="Times New Roman" w:cs="Times New Roman"/>
          <w:sz w:val="24"/>
          <w:szCs w:val="24"/>
        </w:rPr>
        <w:t xml:space="preserve">, Paula F. da Silva </w:t>
      </w:r>
      <w:r w:rsidRPr="00CB553B">
        <w:rPr>
          <w:rFonts w:ascii="Times New Roman" w:eastAsia="Calibri" w:hAnsi="Times New Roman" w:cs="Times New Roman"/>
          <w:sz w:val="24"/>
          <w:szCs w:val="24"/>
          <w:vertAlign w:val="superscript"/>
        </w:rPr>
        <w:t>6</w:t>
      </w:r>
      <w:r w:rsidRPr="00CB553B">
        <w:rPr>
          <w:rFonts w:ascii="Times New Roman" w:eastAsia="Calibri" w:hAnsi="Times New Roman" w:cs="Times New Roman"/>
          <w:sz w:val="24"/>
          <w:szCs w:val="24"/>
        </w:rPr>
        <w:t xml:space="preserve">, Moeen Hamid Bukhari </w:t>
      </w:r>
      <w:r w:rsidRPr="00CB553B">
        <w:rPr>
          <w:rFonts w:ascii="Times New Roman" w:eastAsia="Calibri" w:hAnsi="Times New Roman" w:cs="Times New Roman"/>
          <w:sz w:val="24"/>
          <w:szCs w:val="24"/>
          <w:vertAlign w:val="superscript"/>
        </w:rPr>
        <w:t>7</w:t>
      </w:r>
      <w:r w:rsidRPr="00CB553B">
        <w:rPr>
          <w:rFonts w:ascii="Times New Roman" w:eastAsia="Calibri" w:hAnsi="Times New Roman" w:cs="Times New Roman"/>
          <w:sz w:val="24"/>
          <w:szCs w:val="24"/>
        </w:rPr>
        <w:t xml:space="preserve">, Saleh Ahmed </w:t>
      </w:r>
      <w:r w:rsidRPr="00CB553B">
        <w:rPr>
          <w:rFonts w:ascii="Times New Roman" w:eastAsia="Calibri" w:hAnsi="Times New Roman" w:cs="Times New Roman"/>
          <w:sz w:val="24"/>
          <w:szCs w:val="24"/>
          <w:vertAlign w:val="superscript"/>
        </w:rPr>
        <w:t>8</w:t>
      </w:r>
      <w:r w:rsidRPr="00CB553B">
        <w:rPr>
          <w:rFonts w:ascii="Times New Roman" w:eastAsia="Calibri" w:hAnsi="Times New Roman" w:cs="Times New Roman"/>
          <w:sz w:val="24"/>
          <w:szCs w:val="24"/>
        </w:rPr>
        <w:t xml:space="preserve">, M. Atiqur Rahman </w:t>
      </w:r>
      <w:r w:rsidRPr="00CB553B">
        <w:rPr>
          <w:rFonts w:ascii="Times New Roman" w:eastAsia="Calibri" w:hAnsi="Times New Roman" w:cs="Times New Roman"/>
          <w:sz w:val="24"/>
          <w:szCs w:val="24"/>
          <w:vertAlign w:val="superscript"/>
        </w:rPr>
        <w:t>9</w:t>
      </w:r>
      <w:r w:rsidRPr="00CB553B">
        <w:rPr>
          <w:rFonts w:ascii="Times New Roman" w:eastAsia="Calibri" w:hAnsi="Times New Roman" w:cs="Times New Roman"/>
          <w:sz w:val="24"/>
          <w:szCs w:val="24"/>
        </w:rPr>
        <w:t xml:space="preserve">, Ala Uddin </w:t>
      </w:r>
      <w:r w:rsidRPr="00CB553B">
        <w:rPr>
          <w:rFonts w:ascii="Times New Roman" w:eastAsia="Calibri" w:hAnsi="Times New Roman" w:cs="Times New Roman"/>
          <w:sz w:val="24"/>
          <w:szCs w:val="24"/>
          <w:vertAlign w:val="superscript"/>
        </w:rPr>
        <w:t>10</w:t>
      </w:r>
      <w:r w:rsidRPr="00CB553B">
        <w:rPr>
          <w:rFonts w:ascii="Times New Roman" w:eastAsia="Calibri" w:hAnsi="Times New Roman" w:cs="Times New Roman"/>
          <w:sz w:val="24"/>
          <w:szCs w:val="24"/>
        </w:rPr>
        <w:t xml:space="preserve">, Jian-Hong Wu </w:t>
      </w:r>
      <w:r w:rsidRPr="00CB553B">
        <w:rPr>
          <w:rFonts w:ascii="Times New Roman" w:eastAsia="Calibri" w:hAnsi="Times New Roman" w:cs="Times New Roman"/>
          <w:sz w:val="24"/>
          <w:szCs w:val="24"/>
          <w:vertAlign w:val="superscript"/>
        </w:rPr>
        <w:t>11</w:t>
      </w:r>
      <w:r w:rsidRPr="00CB553B">
        <w:rPr>
          <w:rFonts w:ascii="Times New Roman" w:eastAsia="Calibri" w:hAnsi="Times New Roman" w:cs="Times New Roman"/>
          <w:sz w:val="24"/>
          <w:szCs w:val="24"/>
        </w:rPr>
        <w:t xml:space="preserve">, M. Sohel Rahman </w:t>
      </w:r>
      <w:r w:rsidRPr="00CB553B">
        <w:rPr>
          <w:rFonts w:ascii="Times New Roman" w:eastAsia="Calibri" w:hAnsi="Times New Roman" w:cs="Times New Roman"/>
          <w:sz w:val="24"/>
          <w:szCs w:val="24"/>
          <w:vertAlign w:val="superscript"/>
        </w:rPr>
        <w:t>1</w:t>
      </w:r>
      <w:r w:rsidRPr="00CB553B">
        <w:rPr>
          <w:rFonts w:ascii="Times New Roman" w:eastAsia="Calibri" w:hAnsi="Times New Roman" w:cs="Times New Roman"/>
          <w:sz w:val="24"/>
          <w:szCs w:val="24"/>
        </w:rPr>
        <w:t xml:space="preserve">*, Ubydul Haque </w:t>
      </w:r>
      <w:r w:rsidRPr="00CB553B">
        <w:rPr>
          <w:rFonts w:ascii="Times New Roman" w:eastAsia="Calibri" w:hAnsi="Times New Roman" w:cs="Times New Roman"/>
          <w:sz w:val="24"/>
          <w:szCs w:val="24"/>
          <w:vertAlign w:val="superscript"/>
        </w:rPr>
        <w:t>2,5*</w:t>
      </w:r>
    </w:p>
    <w:p w14:paraId="2DFE4C50" w14:textId="77777777" w:rsidR="009170B4" w:rsidRPr="003E18F9" w:rsidRDefault="009170B4" w:rsidP="00EA35CF">
      <w:pPr>
        <w:spacing w:after="0" w:line="240" w:lineRule="auto"/>
        <w:jc w:val="both"/>
        <w:rPr>
          <w:rFonts w:ascii="Times New Roman" w:eastAsia="Times New Roman" w:hAnsi="Times New Roman" w:cs="Times New Roman"/>
          <w:kern w:val="0"/>
          <w:sz w:val="24"/>
          <w:szCs w:val="24"/>
          <w14:ligatures w14:val="none"/>
        </w:rPr>
      </w:pPr>
    </w:p>
    <w:p w14:paraId="0E13FA5D" w14:textId="77777777" w:rsidR="00EA35CF" w:rsidRPr="003E18F9" w:rsidRDefault="00EA35CF" w:rsidP="00EA35CF">
      <w:pPr>
        <w:jc w:val="both"/>
        <w:rPr>
          <w:rFonts w:ascii="Times New Roman" w:eastAsia="Times New Roman" w:hAnsi="Times New Roman" w:cs="Times New Roman"/>
          <w:b/>
          <w:kern w:val="0"/>
          <w:sz w:val="24"/>
          <w:szCs w:val="24"/>
          <w14:ligatures w14:val="none"/>
        </w:rPr>
      </w:pPr>
      <w:r w:rsidRPr="003E18F9">
        <w:rPr>
          <w:rFonts w:ascii="Times New Roman" w:eastAsia="Times New Roman" w:hAnsi="Times New Roman" w:cs="Times New Roman"/>
          <w:b/>
          <w:kern w:val="0"/>
          <w:sz w:val="24"/>
          <w:szCs w:val="24"/>
          <w14:ligatures w14:val="none"/>
        </w:rPr>
        <w:t>* Joint corresponding author</w:t>
      </w:r>
    </w:p>
    <w:p w14:paraId="2F788213" w14:textId="77777777" w:rsidR="00EA35CF" w:rsidRPr="003E18F9" w:rsidRDefault="00EA35CF" w:rsidP="00EA35CF">
      <w:pPr>
        <w:jc w:val="both"/>
        <w:rPr>
          <w:rFonts w:ascii="Times New Roman" w:eastAsia="Times New Roman" w:hAnsi="Times New Roman" w:cs="Times New Roman"/>
          <w:bCs/>
          <w:kern w:val="0"/>
          <w:sz w:val="24"/>
          <w:szCs w:val="24"/>
          <w14:ligatures w14:val="none"/>
        </w:rPr>
      </w:pPr>
      <w:r w:rsidRPr="003E18F9">
        <w:rPr>
          <w:rFonts w:ascii="Times New Roman" w:eastAsia="Times New Roman" w:hAnsi="Times New Roman" w:cs="Times New Roman"/>
          <w:bCs/>
          <w:kern w:val="0"/>
          <w:sz w:val="24"/>
          <w:szCs w:val="24"/>
          <w14:ligatures w14:val="none"/>
        </w:rPr>
        <w:t>Dr. M. Sohel Rahman</w:t>
      </w:r>
    </w:p>
    <w:p w14:paraId="3D22E6E6" w14:textId="77777777" w:rsidR="00EA35CF" w:rsidRPr="00B02B4D" w:rsidRDefault="00EA35CF" w:rsidP="00EA35CF">
      <w:pPr>
        <w:jc w:val="both"/>
        <w:rPr>
          <w:rFonts w:ascii="Times New Roman" w:eastAsia="Times New Roman" w:hAnsi="Times New Roman" w:cs="Times New Roman"/>
          <w:bCs/>
          <w:kern w:val="0"/>
          <w:sz w:val="24"/>
          <w:szCs w:val="24"/>
          <w:lang w:val="fr-FR"/>
          <w14:ligatures w14:val="none"/>
        </w:rPr>
      </w:pPr>
      <w:r w:rsidRPr="00B02B4D">
        <w:rPr>
          <w:rFonts w:ascii="Times New Roman" w:eastAsia="Times New Roman" w:hAnsi="Times New Roman" w:cs="Times New Roman"/>
          <w:bCs/>
          <w:kern w:val="0"/>
          <w:sz w:val="24"/>
          <w:szCs w:val="24"/>
          <w:lang w:val="fr-FR"/>
          <w14:ligatures w14:val="none"/>
        </w:rPr>
        <w:t xml:space="preserve">Ubydul Haque, PhD </w:t>
      </w:r>
    </w:p>
    <w:p w14:paraId="7F00D0C7" w14:textId="77777777" w:rsidR="00EA35CF" w:rsidRPr="00B02B4D" w:rsidRDefault="00EA35CF" w:rsidP="00EA35CF">
      <w:pPr>
        <w:spacing w:after="200" w:line="240" w:lineRule="auto"/>
        <w:jc w:val="both"/>
        <w:rPr>
          <w:rFonts w:ascii="Times New Roman" w:eastAsia="Times New Roman" w:hAnsi="Times New Roman" w:cs="Times New Roman"/>
          <w:bCs/>
          <w:kern w:val="0"/>
          <w:sz w:val="24"/>
          <w:szCs w:val="24"/>
          <w:lang w:val="fr-FR"/>
          <w14:ligatures w14:val="none"/>
        </w:rPr>
      </w:pPr>
      <w:proofErr w:type="gramStart"/>
      <w:r w:rsidRPr="00B02B4D">
        <w:rPr>
          <w:rFonts w:ascii="Times New Roman" w:eastAsia="Calibri" w:hAnsi="Times New Roman" w:cs="Times New Roman"/>
          <w:b/>
          <w:kern w:val="0"/>
          <w:sz w:val="24"/>
          <w:szCs w:val="24"/>
          <w:lang w:val="fr-FR"/>
          <w14:ligatures w14:val="none"/>
        </w:rPr>
        <w:t>Email:</w:t>
      </w:r>
      <w:proofErr w:type="gramEnd"/>
      <w:r w:rsidRPr="00B02B4D">
        <w:rPr>
          <w:rFonts w:ascii="Times New Roman" w:eastAsia="Calibri" w:hAnsi="Times New Roman" w:cs="Times New Roman"/>
          <w:b/>
          <w:kern w:val="0"/>
          <w:sz w:val="24"/>
          <w:szCs w:val="24"/>
          <w:lang w:val="fr-FR"/>
          <w14:ligatures w14:val="none"/>
        </w:rPr>
        <w:t xml:space="preserve"> </w:t>
      </w:r>
      <w:r w:rsidRPr="00B02B4D">
        <w:rPr>
          <w:rFonts w:ascii="Times New Roman" w:eastAsia="Calibri" w:hAnsi="Times New Roman" w:cs="Times New Roman"/>
          <w:kern w:val="0"/>
          <w:sz w:val="24"/>
          <w:szCs w:val="24"/>
          <w:lang w:val="fr-FR"/>
          <w14:ligatures w14:val="none"/>
        </w:rPr>
        <w:t xml:space="preserve"> </w:t>
      </w:r>
    </w:p>
    <w:p w14:paraId="5D567095" w14:textId="600F4734" w:rsidR="00EA35CF" w:rsidRPr="00B02B4D" w:rsidRDefault="00EA35CF" w:rsidP="00EA35CF">
      <w:pPr>
        <w:spacing w:after="200" w:line="240" w:lineRule="auto"/>
        <w:jc w:val="both"/>
        <w:rPr>
          <w:rFonts w:ascii="Times New Roman" w:eastAsia="Times New Roman" w:hAnsi="Times New Roman" w:cs="Times New Roman"/>
          <w:bCs/>
          <w:color w:val="0563C1" w:themeColor="hyperlink"/>
          <w:kern w:val="0"/>
          <w:sz w:val="24"/>
          <w:szCs w:val="24"/>
          <w:u w:val="single"/>
          <w:lang w:val="fr-FR"/>
          <w14:ligatures w14:val="none"/>
        </w:rPr>
      </w:pPr>
      <w:r w:rsidRPr="00B02B4D">
        <w:rPr>
          <w:rFonts w:ascii="Times New Roman" w:eastAsia="Times New Roman" w:hAnsi="Times New Roman" w:cs="Times New Roman"/>
          <w:bCs/>
          <w:color w:val="0563C1" w:themeColor="hyperlink"/>
          <w:kern w:val="0"/>
          <w:sz w:val="24"/>
          <w:szCs w:val="24"/>
          <w:u w:val="single"/>
          <w:lang w:val="fr-FR"/>
          <w14:ligatures w14:val="none"/>
        </w:rPr>
        <w:t>sohel.kcl@gmail.com</w:t>
      </w:r>
    </w:p>
    <w:p w14:paraId="5829DB92" w14:textId="42FF815B" w:rsidR="00EA35CF" w:rsidRPr="003E18F9" w:rsidRDefault="00EA35CF" w:rsidP="00EA35CF">
      <w:pPr>
        <w:spacing w:after="200" w:line="240" w:lineRule="auto"/>
        <w:jc w:val="both"/>
        <w:rPr>
          <w:rFonts w:ascii="Times New Roman" w:eastAsia="Times New Roman" w:hAnsi="Times New Roman" w:cs="Times New Roman"/>
          <w:bCs/>
          <w:color w:val="0563C1" w:themeColor="hyperlink"/>
          <w:kern w:val="0"/>
          <w:sz w:val="24"/>
          <w:szCs w:val="24"/>
          <w:u w:val="single"/>
          <w14:ligatures w14:val="none"/>
        </w:rPr>
      </w:pPr>
      <w:r w:rsidRPr="003E18F9">
        <w:rPr>
          <w:rFonts w:ascii="Times New Roman" w:eastAsia="Times New Roman" w:hAnsi="Times New Roman" w:cs="Times New Roman"/>
          <w:bCs/>
          <w:color w:val="0563C1" w:themeColor="hyperlink"/>
          <w:kern w:val="0"/>
          <w:sz w:val="24"/>
          <w:szCs w:val="24"/>
          <w:u w:val="single"/>
          <w14:ligatures w14:val="none"/>
        </w:rPr>
        <w:t>uhaque@globalhealth.rutgers.edu</w:t>
      </w:r>
    </w:p>
    <w:p w14:paraId="58D948E7" w14:textId="77777777" w:rsidR="00EA35CF" w:rsidRPr="003E18F9" w:rsidRDefault="00EA35CF" w:rsidP="00EA35CF">
      <w:pPr>
        <w:spacing w:after="0" w:line="240" w:lineRule="auto"/>
        <w:jc w:val="both"/>
        <w:rPr>
          <w:rFonts w:ascii="Times New Roman" w:eastAsia="Times New Roman" w:hAnsi="Times New Roman" w:cs="Times New Roman"/>
          <w:kern w:val="0"/>
          <w:sz w:val="24"/>
          <w:szCs w:val="24"/>
          <w14:ligatures w14:val="none"/>
        </w:rPr>
      </w:pPr>
    </w:p>
    <w:p w14:paraId="22CEB018" w14:textId="77777777" w:rsidR="00EA35CF" w:rsidRPr="003E18F9" w:rsidRDefault="00EA35CF" w:rsidP="00EA35CF">
      <w:pPr>
        <w:spacing w:after="0" w:line="240" w:lineRule="auto"/>
        <w:jc w:val="both"/>
        <w:rPr>
          <w:rFonts w:ascii="Times New Roman" w:eastAsia="Times New Roman" w:hAnsi="Times New Roman" w:cs="Times New Roman"/>
          <w:b/>
          <w:kern w:val="0"/>
          <w:sz w:val="24"/>
          <w:szCs w:val="24"/>
          <w14:ligatures w14:val="none"/>
        </w:rPr>
      </w:pPr>
    </w:p>
    <w:p w14:paraId="38BCE044" w14:textId="77777777" w:rsidR="00EA35CF" w:rsidRPr="003E18F9" w:rsidRDefault="00EA35CF" w:rsidP="00EA35CF">
      <w:pPr>
        <w:spacing w:after="0" w:line="240" w:lineRule="auto"/>
        <w:jc w:val="both"/>
        <w:rPr>
          <w:rFonts w:ascii="Times New Roman" w:eastAsia="Times New Roman" w:hAnsi="Times New Roman" w:cs="Times New Roman"/>
          <w:b/>
          <w:kern w:val="0"/>
          <w:sz w:val="24"/>
          <w:szCs w:val="24"/>
          <w14:ligatures w14:val="none"/>
        </w:rPr>
      </w:pPr>
    </w:p>
    <w:p w14:paraId="0D9BDF4E" w14:textId="77777777" w:rsidR="00CB553B" w:rsidRDefault="00CB553B" w:rsidP="00CB553B">
      <w:pPr>
        <w:contextualSpacing/>
        <w:jc w:val="both"/>
        <w:rPr>
          <w:rFonts w:ascii="Times New Roman" w:hAnsi="Times New Roman" w:cs="Times New Roman"/>
          <w:b/>
          <w:bCs/>
          <w:sz w:val="24"/>
          <w:szCs w:val="24"/>
        </w:rPr>
      </w:pPr>
    </w:p>
    <w:p w14:paraId="2630A0FA" w14:textId="77777777" w:rsidR="00CB553B" w:rsidRDefault="00CB553B" w:rsidP="00CB553B">
      <w:pPr>
        <w:contextualSpacing/>
        <w:jc w:val="both"/>
        <w:rPr>
          <w:rFonts w:ascii="Times New Roman" w:hAnsi="Times New Roman" w:cs="Times New Roman"/>
          <w:b/>
          <w:bCs/>
          <w:sz w:val="24"/>
          <w:szCs w:val="24"/>
        </w:rPr>
      </w:pPr>
    </w:p>
    <w:p w14:paraId="323407C3" w14:textId="77777777" w:rsidR="00CB553B" w:rsidRDefault="00CB553B" w:rsidP="00CB553B">
      <w:pPr>
        <w:contextualSpacing/>
        <w:jc w:val="both"/>
        <w:rPr>
          <w:rFonts w:ascii="Times New Roman" w:hAnsi="Times New Roman" w:cs="Times New Roman"/>
          <w:b/>
          <w:bCs/>
          <w:sz w:val="24"/>
          <w:szCs w:val="24"/>
        </w:rPr>
      </w:pPr>
    </w:p>
    <w:p w14:paraId="45AFA76B" w14:textId="77777777" w:rsidR="00CB553B" w:rsidRDefault="00CB553B" w:rsidP="00CB553B">
      <w:pPr>
        <w:contextualSpacing/>
        <w:jc w:val="both"/>
        <w:rPr>
          <w:rFonts w:ascii="Times New Roman" w:hAnsi="Times New Roman" w:cs="Times New Roman"/>
          <w:b/>
          <w:bCs/>
          <w:sz w:val="24"/>
          <w:szCs w:val="24"/>
        </w:rPr>
      </w:pPr>
    </w:p>
    <w:p w14:paraId="3A33EA23" w14:textId="77777777" w:rsidR="00CB553B" w:rsidRDefault="00CB553B" w:rsidP="00CB553B">
      <w:pPr>
        <w:contextualSpacing/>
        <w:jc w:val="both"/>
        <w:rPr>
          <w:rFonts w:ascii="Times New Roman" w:hAnsi="Times New Roman" w:cs="Times New Roman"/>
          <w:b/>
          <w:bCs/>
          <w:sz w:val="24"/>
          <w:szCs w:val="24"/>
        </w:rPr>
      </w:pPr>
    </w:p>
    <w:p w14:paraId="3D0E8828" w14:textId="77777777" w:rsidR="00CB553B" w:rsidRDefault="00CB553B" w:rsidP="00CB553B">
      <w:pPr>
        <w:contextualSpacing/>
        <w:jc w:val="both"/>
        <w:rPr>
          <w:rFonts w:ascii="Times New Roman" w:hAnsi="Times New Roman" w:cs="Times New Roman"/>
          <w:b/>
          <w:bCs/>
          <w:sz w:val="24"/>
          <w:szCs w:val="24"/>
        </w:rPr>
      </w:pPr>
    </w:p>
    <w:p w14:paraId="5C75F4FB" w14:textId="77777777" w:rsidR="00CB553B" w:rsidRDefault="00CB553B" w:rsidP="00CB553B">
      <w:pPr>
        <w:contextualSpacing/>
        <w:jc w:val="both"/>
        <w:rPr>
          <w:rFonts w:ascii="Times New Roman" w:hAnsi="Times New Roman" w:cs="Times New Roman"/>
          <w:b/>
          <w:bCs/>
          <w:sz w:val="24"/>
          <w:szCs w:val="24"/>
        </w:rPr>
      </w:pPr>
    </w:p>
    <w:p w14:paraId="350F785E" w14:textId="77777777" w:rsidR="00CB553B" w:rsidRDefault="00CB553B" w:rsidP="00CB553B">
      <w:pPr>
        <w:contextualSpacing/>
        <w:jc w:val="both"/>
        <w:rPr>
          <w:rFonts w:ascii="Times New Roman" w:hAnsi="Times New Roman" w:cs="Times New Roman"/>
          <w:b/>
          <w:bCs/>
          <w:sz w:val="24"/>
          <w:szCs w:val="24"/>
        </w:rPr>
      </w:pPr>
    </w:p>
    <w:p w14:paraId="0FF3896E" w14:textId="77777777" w:rsidR="00CB553B" w:rsidRDefault="00CB553B" w:rsidP="00CB553B">
      <w:pPr>
        <w:contextualSpacing/>
        <w:jc w:val="both"/>
        <w:rPr>
          <w:rFonts w:ascii="Times New Roman" w:hAnsi="Times New Roman" w:cs="Times New Roman"/>
          <w:b/>
          <w:bCs/>
          <w:sz w:val="24"/>
          <w:szCs w:val="24"/>
        </w:rPr>
      </w:pPr>
    </w:p>
    <w:p w14:paraId="5512A714" w14:textId="77777777" w:rsidR="00CB553B" w:rsidRDefault="00CB553B" w:rsidP="00CB553B">
      <w:pPr>
        <w:contextualSpacing/>
        <w:jc w:val="both"/>
        <w:rPr>
          <w:rFonts w:ascii="Times New Roman" w:hAnsi="Times New Roman" w:cs="Times New Roman"/>
          <w:b/>
          <w:bCs/>
          <w:sz w:val="24"/>
          <w:szCs w:val="24"/>
        </w:rPr>
      </w:pPr>
    </w:p>
    <w:p w14:paraId="77B8E648" w14:textId="77777777" w:rsidR="00CB553B" w:rsidRDefault="00CB553B" w:rsidP="00CB553B">
      <w:pPr>
        <w:contextualSpacing/>
        <w:jc w:val="both"/>
        <w:rPr>
          <w:rFonts w:ascii="Times New Roman" w:hAnsi="Times New Roman" w:cs="Times New Roman"/>
          <w:b/>
          <w:bCs/>
          <w:sz w:val="24"/>
          <w:szCs w:val="24"/>
        </w:rPr>
      </w:pPr>
    </w:p>
    <w:p w14:paraId="17568BEE" w14:textId="77777777" w:rsidR="00CB553B" w:rsidRDefault="00CB553B" w:rsidP="00CB553B">
      <w:pPr>
        <w:contextualSpacing/>
        <w:jc w:val="both"/>
        <w:rPr>
          <w:rFonts w:ascii="Times New Roman" w:hAnsi="Times New Roman" w:cs="Times New Roman"/>
          <w:b/>
          <w:bCs/>
          <w:sz w:val="24"/>
          <w:szCs w:val="24"/>
        </w:rPr>
      </w:pPr>
    </w:p>
    <w:p w14:paraId="1705CAA5" w14:textId="77777777" w:rsidR="00CB553B" w:rsidRDefault="00CB553B" w:rsidP="00CB553B">
      <w:pPr>
        <w:contextualSpacing/>
        <w:jc w:val="both"/>
        <w:rPr>
          <w:rFonts w:ascii="Times New Roman" w:hAnsi="Times New Roman" w:cs="Times New Roman"/>
          <w:b/>
          <w:bCs/>
          <w:sz w:val="24"/>
          <w:szCs w:val="24"/>
        </w:rPr>
      </w:pPr>
    </w:p>
    <w:p w14:paraId="1876AC2E" w14:textId="77777777" w:rsidR="00CB553B" w:rsidRDefault="00CB553B" w:rsidP="00CB553B">
      <w:pPr>
        <w:contextualSpacing/>
        <w:jc w:val="both"/>
        <w:rPr>
          <w:rFonts w:ascii="Times New Roman" w:hAnsi="Times New Roman" w:cs="Times New Roman"/>
          <w:b/>
          <w:bCs/>
          <w:sz w:val="24"/>
          <w:szCs w:val="24"/>
        </w:rPr>
      </w:pPr>
    </w:p>
    <w:p w14:paraId="017DB502" w14:textId="77777777" w:rsidR="00CB553B" w:rsidRDefault="00CB553B" w:rsidP="00CB553B">
      <w:pPr>
        <w:contextualSpacing/>
        <w:jc w:val="both"/>
        <w:rPr>
          <w:rFonts w:ascii="Times New Roman" w:hAnsi="Times New Roman" w:cs="Times New Roman"/>
          <w:b/>
          <w:bCs/>
          <w:sz w:val="24"/>
          <w:szCs w:val="24"/>
        </w:rPr>
      </w:pPr>
    </w:p>
    <w:p w14:paraId="220FA780" w14:textId="77777777" w:rsidR="00CB553B" w:rsidRDefault="00CB553B" w:rsidP="00CB553B">
      <w:pPr>
        <w:contextualSpacing/>
        <w:jc w:val="both"/>
        <w:rPr>
          <w:rFonts w:ascii="Times New Roman" w:hAnsi="Times New Roman" w:cs="Times New Roman"/>
          <w:b/>
          <w:bCs/>
          <w:sz w:val="24"/>
          <w:szCs w:val="24"/>
        </w:rPr>
      </w:pPr>
    </w:p>
    <w:p w14:paraId="08EFFBBA" w14:textId="77777777" w:rsidR="00CB553B" w:rsidRDefault="00CB553B" w:rsidP="00CB553B">
      <w:pPr>
        <w:contextualSpacing/>
        <w:jc w:val="both"/>
        <w:rPr>
          <w:rFonts w:ascii="Times New Roman" w:hAnsi="Times New Roman" w:cs="Times New Roman"/>
          <w:b/>
          <w:bCs/>
          <w:sz w:val="24"/>
          <w:szCs w:val="24"/>
        </w:rPr>
      </w:pPr>
    </w:p>
    <w:p w14:paraId="3F2E8BE9" w14:textId="77777777" w:rsidR="00CB553B" w:rsidRDefault="00CB553B" w:rsidP="00CB553B">
      <w:pPr>
        <w:contextualSpacing/>
        <w:jc w:val="both"/>
        <w:rPr>
          <w:rFonts w:ascii="Times New Roman" w:hAnsi="Times New Roman" w:cs="Times New Roman"/>
          <w:b/>
          <w:bCs/>
          <w:sz w:val="24"/>
          <w:szCs w:val="24"/>
        </w:rPr>
      </w:pPr>
    </w:p>
    <w:p w14:paraId="3F6B4157" w14:textId="77777777" w:rsidR="00CB553B" w:rsidRDefault="00CB553B" w:rsidP="00CB553B">
      <w:pPr>
        <w:contextualSpacing/>
        <w:jc w:val="both"/>
        <w:rPr>
          <w:rFonts w:ascii="Times New Roman" w:hAnsi="Times New Roman" w:cs="Times New Roman"/>
          <w:b/>
          <w:bCs/>
          <w:sz w:val="24"/>
          <w:szCs w:val="24"/>
        </w:rPr>
      </w:pPr>
    </w:p>
    <w:p w14:paraId="2A3FA4E8" w14:textId="77777777" w:rsidR="00CB553B" w:rsidRDefault="00CB553B" w:rsidP="00CB553B">
      <w:pPr>
        <w:contextualSpacing/>
        <w:jc w:val="both"/>
        <w:rPr>
          <w:rFonts w:ascii="Times New Roman" w:hAnsi="Times New Roman" w:cs="Times New Roman"/>
          <w:b/>
          <w:bCs/>
          <w:sz w:val="24"/>
          <w:szCs w:val="24"/>
        </w:rPr>
      </w:pPr>
    </w:p>
    <w:p w14:paraId="23D18468" w14:textId="77777777" w:rsidR="003D5DAB" w:rsidRDefault="003D5DAB" w:rsidP="003E18F9">
      <w:pPr>
        <w:spacing w:after="0" w:line="360" w:lineRule="auto"/>
        <w:contextualSpacing/>
        <w:jc w:val="both"/>
        <w:rPr>
          <w:rFonts w:ascii="Times New Roman" w:hAnsi="Times New Roman" w:cs="Times New Roman"/>
          <w:b/>
          <w:bCs/>
          <w:sz w:val="24"/>
          <w:szCs w:val="24"/>
        </w:rPr>
      </w:pPr>
    </w:p>
    <w:p w14:paraId="40F46632" w14:textId="51C23E01" w:rsidR="00EA35CF" w:rsidRPr="00CB553B" w:rsidRDefault="00EA35CF" w:rsidP="003E18F9">
      <w:pPr>
        <w:spacing w:after="0" w:line="360" w:lineRule="auto"/>
        <w:contextualSpacing/>
        <w:jc w:val="both"/>
        <w:rPr>
          <w:rFonts w:ascii="Times New Roman" w:hAnsi="Times New Roman" w:cs="Times New Roman"/>
          <w:b/>
          <w:bCs/>
          <w:sz w:val="24"/>
          <w:szCs w:val="24"/>
        </w:rPr>
      </w:pPr>
      <w:r w:rsidRPr="00CB553B">
        <w:rPr>
          <w:rFonts w:ascii="Times New Roman" w:hAnsi="Times New Roman" w:cs="Times New Roman"/>
          <w:b/>
          <w:bCs/>
          <w:sz w:val="24"/>
          <w:szCs w:val="24"/>
        </w:rPr>
        <w:lastRenderedPageBreak/>
        <w:t>Method</w:t>
      </w:r>
    </w:p>
    <w:p w14:paraId="7B016FAA" w14:textId="6698880B" w:rsidR="00EA35CF" w:rsidRPr="00CB553B" w:rsidRDefault="00EA35CF" w:rsidP="003E18F9">
      <w:pPr>
        <w:spacing w:after="0" w:line="360" w:lineRule="auto"/>
        <w:ind w:firstLine="720"/>
        <w:jc w:val="both"/>
        <w:rPr>
          <w:rFonts w:ascii="Times New Roman" w:hAnsi="Times New Roman" w:cs="Times New Roman"/>
          <w:kern w:val="0"/>
          <w:sz w:val="24"/>
          <w:szCs w:val="24"/>
          <w14:ligatures w14:val="none"/>
        </w:rPr>
      </w:pPr>
      <w:r w:rsidRPr="00CB553B">
        <w:rPr>
          <w:rFonts w:ascii="Times New Roman" w:hAnsi="Times New Roman" w:cs="Times New Roman"/>
          <w:kern w:val="0"/>
          <w:sz w:val="24"/>
          <w:szCs w:val="24"/>
          <w14:ligatures w14:val="none"/>
        </w:rPr>
        <w:t xml:space="preserve">The survey questions underwent meticulous piloting and testing to ensure accuracy and cross-cultural acceptability. Initially, project researchers and stakeholders reviewed and revised the questionnaire through email discussions and Zoom meetings. Questions identified as culturally inappropriate, less pertinent, or inapplicable to specific regions were eliminated. In the second round of piloting and testing, feedback from respondents in selected locations was systematically integrated into the final questionnaire version. The usability and functionality of the survey were further tested after being converted into </w:t>
      </w:r>
      <w:r w:rsidR="00025648">
        <w:rPr>
          <w:rFonts w:ascii="Times New Roman" w:hAnsi="Times New Roman" w:cs="Times New Roman"/>
          <w:kern w:val="0"/>
          <w:sz w:val="24"/>
          <w:szCs w:val="24"/>
          <w14:ligatures w14:val="none"/>
        </w:rPr>
        <w:t xml:space="preserve">an </w:t>
      </w:r>
      <w:r w:rsidRPr="00CB553B">
        <w:rPr>
          <w:rFonts w:ascii="Times New Roman" w:hAnsi="Times New Roman" w:cs="Times New Roman"/>
          <w:kern w:val="0"/>
          <w:sz w:val="24"/>
          <w:szCs w:val="24"/>
          <w14:ligatures w14:val="none"/>
        </w:rPr>
        <w:t xml:space="preserve">electronic format. </w:t>
      </w:r>
    </w:p>
    <w:p w14:paraId="0125D55B" w14:textId="6CACE408" w:rsidR="00EA35CF" w:rsidRPr="00CB553B" w:rsidRDefault="00EA35CF" w:rsidP="003E18F9">
      <w:pPr>
        <w:spacing w:after="0" w:line="360" w:lineRule="auto"/>
        <w:ind w:firstLine="720"/>
        <w:jc w:val="both"/>
        <w:rPr>
          <w:rFonts w:ascii="Times New Roman" w:hAnsi="Times New Roman" w:cs="Times New Roman"/>
          <w:kern w:val="0"/>
          <w:sz w:val="24"/>
          <w:szCs w:val="24"/>
          <w14:ligatures w14:val="none"/>
        </w:rPr>
      </w:pPr>
      <w:r w:rsidRPr="00CB553B">
        <w:rPr>
          <w:rFonts w:ascii="Times New Roman" w:hAnsi="Times New Roman" w:cs="Times New Roman"/>
          <w:kern w:val="0"/>
          <w:sz w:val="24"/>
          <w:szCs w:val="24"/>
          <w14:ligatures w14:val="none"/>
        </w:rPr>
        <w:t xml:space="preserve">Anyone </w:t>
      </w:r>
      <w:r w:rsidR="00201597" w:rsidRPr="00CB553B">
        <w:rPr>
          <w:rFonts w:ascii="Times New Roman" w:hAnsi="Times New Roman" w:cs="Times New Roman"/>
          <w:kern w:val="0"/>
          <w:sz w:val="24"/>
          <w:szCs w:val="24"/>
          <w14:ligatures w14:val="none"/>
        </w:rPr>
        <w:t>with at least</w:t>
      </w:r>
      <w:r w:rsidRPr="00CB553B">
        <w:rPr>
          <w:rFonts w:ascii="Times New Roman" w:hAnsi="Times New Roman" w:cs="Times New Roman"/>
          <w:kern w:val="0"/>
          <w:sz w:val="24"/>
          <w:szCs w:val="24"/>
          <w14:ligatures w14:val="none"/>
        </w:rPr>
        <w:t xml:space="preserve"> </w:t>
      </w:r>
      <w:r w:rsidR="00201597" w:rsidRPr="00CB553B">
        <w:rPr>
          <w:rFonts w:ascii="Times New Roman" w:hAnsi="Times New Roman" w:cs="Times New Roman"/>
          <w:kern w:val="0"/>
          <w:sz w:val="24"/>
          <w:szCs w:val="24"/>
          <w14:ligatures w14:val="none"/>
        </w:rPr>
        <w:t xml:space="preserve">18 </w:t>
      </w:r>
      <w:r w:rsidRPr="00CB553B">
        <w:rPr>
          <w:rFonts w:ascii="Times New Roman" w:hAnsi="Times New Roman" w:cs="Times New Roman"/>
          <w:kern w:val="0"/>
          <w:sz w:val="24"/>
          <w:szCs w:val="24"/>
          <w14:ligatures w14:val="none"/>
        </w:rPr>
        <w:t xml:space="preserve">years was eligible to participate in the survey. The survey consisted of five sections with 70 systematically arranged questions. </w:t>
      </w:r>
    </w:p>
    <w:p w14:paraId="5265262A" w14:textId="77777777" w:rsidR="00CB553B" w:rsidRDefault="00CB553B" w:rsidP="003E18F9">
      <w:pPr>
        <w:spacing w:after="0" w:line="360" w:lineRule="auto"/>
        <w:jc w:val="both"/>
        <w:rPr>
          <w:rFonts w:ascii="Times New Roman" w:eastAsia="Times New Roman" w:hAnsi="Times New Roman" w:cs="Times New Roman"/>
          <w:b/>
          <w:kern w:val="0"/>
          <w:sz w:val="24"/>
          <w:szCs w:val="24"/>
          <w14:ligatures w14:val="none"/>
        </w:rPr>
      </w:pPr>
    </w:p>
    <w:p w14:paraId="0E5AF8CC" w14:textId="77777777" w:rsidR="00EA35CF" w:rsidRPr="003E18F9" w:rsidRDefault="00EA35CF" w:rsidP="00EA35CF">
      <w:pPr>
        <w:jc w:val="both"/>
        <w:rPr>
          <w:rFonts w:ascii="Times New Roman" w:hAnsi="Times New Roman" w:cs="Times New Roman"/>
          <w:b/>
          <w:bCs/>
          <w:kern w:val="0"/>
          <w:sz w:val="24"/>
          <w:szCs w:val="24"/>
          <w14:ligatures w14:val="none"/>
        </w:rPr>
      </w:pPr>
    </w:p>
    <w:p w14:paraId="3BB5781A" w14:textId="3B72CD0D" w:rsidR="007F6B6F" w:rsidRPr="003E18F9" w:rsidRDefault="00EA35CF" w:rsidP="003C5E37">
      <w:pPr>
        <w:spacing w:after="0" w:line="360" w:lineRule="auto"/>
        <w:contextualSpacing/>
        <w:jc w:val="both"/>
        <w:rPr>
          <w:rFonts w:ascii="Times New Roman" w:hAnsi="Times New Roman" w:cs="Times New Roman"/>
          <w:b/>
          <w:bCs/>
          <w:sz w:val="24"/>
          <w:szCs w:val="24"/>
        </w:rPr>
      </w:pPr>
      <w:r w:rsidRPr="003E18F9">
        <w:rPr>
          <w:rFonts w:ascii="Times New Roman" w:hAnsi="Times New Roman" w:cs="Times New Roman"/>
          <w:b/>
          <w:bCs/>
          <w:sz w:val="24"/>
          <w:szCs w:val="24"/>
        </w:rPr>
        <w:t>Results</w:t>
      </w:r>
    </w:p>
    <w:p w14:paraId="1DB62588" w14:textId="4EC6EED3" w:rsidR="007F6B6F" w:rsidRPr="003E18F9" w:rsidRDefault="007F6B6F" w:rsidP="003C5E37">
      <w:pPr>
        <w:pBdr>
          <w:top w:val="nil"/>
          <w:left w:val="nil"/>
          <w:bottom w:val="nil"/>
          <w:right w:val="nil"/>
          <w:between w:val="nil"/>
        </w:pBdr>
        <w:spacing w:after="0" w:line="360" w:lineRule="auto"/>
        <w:jc w:val="both"/>
        <w:rPr>
          <w:rFonts w:ascii="Times New Roman" w:eastAsia="Calibri" w:hAnsi="Times New Roman" w:cs="Times New Roman"/>
          <w:color w:val="000000"/>
          <w:sz w:val="24"/>
          <w:szCs w:val="24"/>
        </w:rPr>
      </w:pPr>
      <w:r w:rsidRPr="003E18F9">
        <w:rPr>
          <w:rFonts w:ascii="Times New Roman" w:eastAsia="Calibri" w:hAnsi="Times New Roman" w:cs="Times New Roman"/>
          <w:color w:val="000000"/>
          <w:sz w:val="24"/>
          <w:szCs w:val="24"/>
        </w:rPr>
        <w:t xml:space="preserve">A total of </w:t>
      </w:r>
      <w:r w:rsidR="002354E6" w:rsidRPr="003E18F9">
        <w:rPr>
          <w:rFonts w:ascii="Times New Roman" w:eastAsia="Calibri" w:hAnsi="Times New Roman" w:cs="Times New Roman"/>
          <w:color w:val="000000"/>
          <w:sz w:val="24"/>
          <w:szCs w:val="24"/>
        </w:rPr>
        <w:t>324</w:t>
      </w:r>
      <w:r w:rsidRPr="003E18F9">
        <w:rPr>
          <w:rFonts w:ascii="Times New Roman" w:eastAsia="Calibri" w:hAnsi="Times New Roman" w:cs="Times New Roman"/>
          <w:color w:val="000000"/>
          <w:sz w:val="24"/>
          <w:szCs w:val="24"/>
        </w:rPr>
        <w:t xml:space="preserve"> respondents were surveyed, with 159 from Bangladesh (non-response rate=13%), 112 from Taiwan (non-response rate=10%), and </w:t>
      </w:r>
      <w:r w:rsidR="002354E6" w:rsidRPr="003E18F9">
        <w:rPr>
          <w:rFonts w:ascii="Times New Roman" w:eastAsia="Calibri" w:hAnsi="Times New Roman" w:cs="Times New Roman"/>
          <w:color w:val="000000"/>
          <w:sz w:val="24"/>
          <w:szCs w:val="24"/>
        </w:rPr>
        <w:t>53</w:t>
      </w:r>
      <w:r w:rsidRPr="003E18F9">
        <w:rPr>
          <w:rFonts w:ascii="Times New Roman" w:eastAsia="Calibri" w:hAnsi="Times New Roman" w:cs="Times New Roman"/>
          <w:color w:val="000000"/>
          <w:sz w:val="24"/>
          <w:szCs w:val="24"/>
        </w:rPr>
        <w:t xml:space="preserve"> from Portugal</w:t>
      </w:r>
      <w:r w:rsidRPr="003E18F9" w:rsidDel="006B46CA">
        <w:rPr>
          <w:rFonts w:ascii="Times New Roman" w:eastAsia="Calibri" w:hAnsi="Times New Roman" w:cs="Times New Roman"/>
          <w:color w:val="000000"/>
          <w:sz w:val="24"/>
          <w:szCs w:val="24"/>
        </w:rPr>
        <w:t xml:space="preserve"> </w:t>
      </w:r>
      <w:r w:rsidRPr="003E18F9">
        <w:rPr>
          <w:rFonts w:ascii="Times New Roman" w:eastAsia="Calibri" w:hAnsi="Times New Roman" w:cs="Times New Roman"/>
          <w:color w:val="000000"/>
          <w:sz w:val="24"/>
          <w:szCs w:val="24"/>
        </w:rPr>
        <w:t>(non-response rate=75%). In Bangladesh, Portugal, and Taiwan, 57.9%, 6</w:t>
      </w:r>
      <w:r w:rsidR="002354E6" w:rsidRPr="003E18F9">
        <w:rPr>
          <w:rFonts w:ascii="Times New Roman" w:eastAsia="Calibri" w:hAnsi="Times New Roman" w:cs="Times New Roman"/>
          <w:color w:val="000000"/>
          <w:sz w:val="24"/>
          <w:szCs w:val="24"/>
        </w:rPr>
        <w:t>4.15</w:t>
      </w:r>
      <w:r w:rsidRPr="003E18F9">
        <w:rPr>
          <w:rFonts w:ascii="Times New Roman" w:eastAsia="Calibri" w:hAnsi="Times New Roman" w:cs="Times New Roman"/>
          <w:color w:val="000000"/>
          <w:sz w:val="24"/>
          <w:szCs w:val="24"/>
        </w:rPr>
        <w:t>%, and 85.7% of the respondents were males, respectively (68.</w:t>
      </w:r>
      <w:r w:rsidR="002354E6" w:rsidRPr="003E18F9">
        <w:rPr>
          <w:rFonts w:ascii="Times New Roman" w:eastAsia="Calibri" w:hAnsi="Times New Roman" w:cs="Times New Roman"/>
          <w:color w:val="000000"/>
          <w:sz w:val="24"/>
          <w:szCs w:val="24"/>
        </w:rPr>
        <w:t>52</w:t>
      </w:r>
      <w:r w:rsidRPr="003E18F9">
        <w:rPr>
          <w:rFonts w:ascii="Times New Roman" w:eastAsia="Calibri" w:hAnsi="Times New Roman" w:cs="Times New Roman"/>
          <w:color w:val="000000"/>
          <w:sz w:val="24"/>
          <w:szCs w:val="24"/>
        </w:rPr>
        <w:t xml:space="preserve">% overall). Overall, </w:t>
      </w:r>
      <w:r w:rsidR="002354E6" w:rsidRPr="003E18F9">
        <w:rPr>
          <w:rFonts w:ascii="Times New Roman" w:eastAsia="Calibri" w:hAnsi="Times New Roman" w:cs="Times New Roman"/>
          <w:color w:val="000000"/>
          <w:sz w:val="24"/>
          <w:szCs w:val="24"/>
        </w:rPr>
        <w:t>0</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93</w:t>
      </w:r>
      <w:r w:rsidRPr="003E18F9">
        <w:rPr>
          <w:rFonts w:ascii="Times New Roman" w:eastAsia="Calibri" w:hAnsi="Times New Roman" w:cs="Times New Roman"/>
          <w:color w:val="000000"/>
          <w:sz w:val="24"/>
          <w:szCs w:val="24"/>
        </w:rPr>
        <w:t>% of the respondents were 18 years old, 75.</w:t>
      </w:r>
      <w:r w:rsidR="002354E6" w:rsidRPr="003E18F9">
        <w:rPr>
          <w:rFonts w:ascii="Times New Roman" w:eastAsia="Calibri" w:hAnsi="Times New Roman" w:cs="Times New Roman"/>
          <w:color w:val="000000"/>
          <w:sz w:val="24"/>
          <w:szCs w:val="24"/>
        </w:rPr>
        <w:t>93</w:t>
      </w:r>
      <w:r w:rsidRPr="003E18F9">
        <w:rPr>
          <w:rFonts w:ascii="Times New Roman" w:eastAsia="Calibri" w:hAnsi="Times New Roman" w:cs="Times New Roman"/>
          <w:color w:val="000000"/>
          <w:sz w:val="24"/>
          <w:szCs w:val="24"/>
        </w:rPr>
        <w:t xml:space="preserve">% were between </w:t>
      </w:r>
      <w:r w:rsidR="00AF6208" w:rsidRPr="003E18F9">
        <w:rPr>
          <w:rFonts w:ascii="Times New Roman" w:eastAsia="Calibri" w:hAnsi="Times New Roman" w:cs="Times New Roman"/>
          <w:color w:val="000000"/>
          <w:sz w:val="24"/>
          <w:szCs w:val="24"/>
        </w:rPr>
        <w:t>&gt;</w:t>
      </w:r>
      <w:r w:rsidRPr="003E18F9">
        <w:rPr>
          <w:rFonts w:ascii="Times New Roman" w:eastAsia="Calibri" w:hAnsi="Times New Roman" w:cs="Times New Roman"/>
          <w:color w:val="000000"/>
          <w:sz w:val="24"/>
          <w:szCs w:val="24"/>
        </w:rPr>
        <w:t>18 to 40 years old, and 23.</w:t>
      </w:r>
      <w:r w:rsidR="002354E6" w:rsidRPr="003E18F9">
        <w:rPr>
          <w:rFonts w:ascii="Times New Roman" w:eastAsia="Calibri" w:hAnsi="Times New Roman" w:cs="Times New Roman"/>
          <w:color w:val="000000"/>
          <w:sz w:val="24"/>
          <w:szCs w:val="24"/>
        </w:rPr>
        <w:t>15</w:t>
      </w:r>
      <w:r w:rsidRPr="003E18F9">
        <w:rPr>
          <w:rFonts w:ascii="Times New Roman" w:eastAsia="Calibri" w:hAnsi="Times New Roman" w:cs="Times New Roman"/>
          <w:color w:val="000000"/>
          <w:sz w:val="24"/>
          <w:szCs w:val="24"/>
        </w:rPr>
        <w:t>% were older than 40 years.  In terms of education level overall, 1.</w:t>
      </w:r>
      <w:r w:rsidR="002354E6" w:rsidRPr="003E18F9">
        <w:rPr>
          <w:rFonts w:ascii="Times New Roman" w:eastAsia="Calibri" w:hAnsi="Times New Roman" w:cs="Times New Roman"/>
          <w:color w:val="000000"/>
          <w:sz w:val="24"/>
          <w:szCs w:val="24"/>
        </w:rPr>
        <w:t>23</w:t>
      </w:r>
      <w:r w:rsidRPr="003E18F9">
        <w:rPr>
          <w:rFonts w:ascii="Times New Roman" w:eastAsia="Calibri" w:hAnsi="Times New Roman" w:cs="Times New Roman"/>
          <w:color w:val="000000"/>
          <w:sz w:val="24"/>
          <w:szCs w:val="24"/>
        </w:rPr>
        <w:t>% reported having less than a grade school education, 6.</w:t>
      </w:r>
      <w:r w:rsidR="002354E6" w:rsidRPr="003E18F9">
        <w:rPr>
          <w:rFonts w:ascii="Times New Roman" w:eastAsia="Calibri" w:hAnsi="Times New Roman" w:cs="Times New Roman"/>
          <w:color w:val="000000"/>
          <w:sz w:val="24"/>
          <w:szCs w:val="24"/>
        </w:rPr>
        <w:t>17</w:t>
      </w:r>
      <w:r w:rsidRPr="003E18F9">
        <w:rPr>
          <w:rFonts w:ascii="Times New Roman" w:eastAsia="Calibri" w:hAnsi="Times New Roman" w:cs="Times New Roman"/>
          <w:color w:val="000000"/>
          <w:sz w:val="24"/>
          <w:szCs w:val="24"/>
        </w:rPr>
        <w:t xml:space="preserve">% reported having completed grade school, </w:t>
      </w:r>
      <w:r w:rsidR="002354E6" w:rsidRPr="003E18F9">
        <w:rPr>
          <w:rFonts w:ascii="Times New Roman" w:eastAsia="Calibri" w:hAnsi="Times New Roman" w:cs="Times New Roman"/>
          <w:color w:val="000000"/>
          <w:sz w:val="24"/>
          <w:szCs w:val="24"/>
        </w:rPr>
        <w:t>2.86</w:t>
      </w:r>
      <w:r w:rsidRPr="003E18F9">
        <w:rPr>
          <w:rFonts w:ascii="Times New Roman" w:eastAsia="Calibri" w:hAnsi="Times New Roman" w:cs="Times New Roman"/>
          <w:color w:val="000000"/>
          <w:sz w:val="24"/>
          <w:szCs w:val="24"/>
        </w:rPr>
        <w:t>% reported having a high school diploma, 38.</w:t>
      </w:r>
      <w:r w:rsidR="002354E6" w:rsidRPr="003E18F9">
        <w:rPr>
          <w:rFonts w:ascii="Times New Roman" w:eastAsia="Calibri" w:hAnsi="Times New Roman" w:cs="Times New Roman"/>
          <w:color w:val="000000"/>
          <w:sz w:val="24"/>
          <w:szCs w:val="24"/>
        </w:rPr>
        <w:t>58</w:t>
      </w:r>
      <w:r w:rsidRPr="003E18F9">
        <w:rPr>
          <w:rFonts w:ascii="Times New Roman" w:eastAsia="Calibri" w:hAnsi="Times New Roman" w:cs="Times New Roman"/>
          <w:color w:val="000000"/>
          <w:sz w:val="24"/>
          <w:szCs w:val="24"/>
        </w:rPr>
        <w:t xml:space="preserve">% were college graduates, and </w:t>
      </w:r>
      <w:r w:rsidR="002354E6" w:rsidRPr="003E18F9">
        <w:rPr>
          <w:rFonts w:ascii="Times New Roman" w:eastAsia="Calibri" w:hAnsi="Times New Roman" w:cs="Times New Roman"/>
          <w:color w:val="000000"/>
          <w:sz w:val="24"/>
          <w:szCs w:val="24"/>
        </w:rPr>
        <w:t>48.15</w:t>
      </w:r>
      <w:r w:rsidRPr="003E18F9">
        <w:rPr>
          <w:rFonts w:ascii="Times New Roman" w:eastAsia="Calibri" w:hAnsi="Times New Roman" w:cs="Times New Roman"/>
          <w:color w:val="000000"/>
          <w:sz w:val="24"/>
          <w:szCs w:val="24"/>
        </w:rPr>
        <w:t xml:space="preserve">% had completed postgraduate education. For Bangladesh, 2.5% reported having less than a grade school education, 6.9% reported having completed grade school, 0.0% reported having a high school diploma, 44.65% were college graduates, and 40.25% had completed postgraduate education. For Taiwan, </w:t>
      </w:r>
      <w:r w:rsidR="00545788">
        <w:rPr>
          <w:rFonts w:ascii="Times New Roman" w:eastAsia="Calibri" w:hAnsi="Times New Roman" w:cs="Times New Roman"/>
          <w:color w:val="000000"/>
          <w:sz w:val="24"/>
          <w:szCs w:val="24"/>
        </w:rPr>
        <w:t xml:space="preserve">6.25 % </w:t>
      </w:r>
      <w:r w:rsidRPr="003E18F9">
        <w:rPr>
          <w:rFonts w:ascii="Times New Roman" w:eastAsia="Calibri" w:hAnsi="Times New Roman" w:cs="Times New Roman"/>
          <w:color w:val="000000"/>
          <w:sz w:val="24"/>
          <w:szCs w:val="24"/>
        </w:rPr>
        <w:t>reported having less than a grade school education or a high school diploma, 6.25% reported having completed grade school, 27.68% were college graduates, and 60.71% had completed postgraduate education. For Portugal, none of the respondents reported having less than a grade school education or a high school diploma, 3.8% reported having completed grade school, 1</w:t>
      </w:r>
      <w:r w:rsidR="002354E6" w:rsidRPr="003E18F9">
        <w:rPr>
          <w:rFonts w:ascii="Times New Roman" w:eastAsia="Calibri" w:hAnsi="Times New Roman" w:cs="Times New Roman"/>
          <w:color w:val="000000"/>
          <w:sz w:val="24"/>
          <w:szCs w:val="24"/>
        </w:rPr>
        <w:t>8</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9</w:t>
      </w:r>
      <w:r w:rsidRPr="003E18F9">
        <w:rPr>
          <w:rFonts w:ascii="Times New Roman" w:eastAsia="Calibri" w:hAnsi="Times New Roman" w:cs="Times New Roman"/>
          <w:color w:val="000000"/>
          <w:sz w:val="24"/>
          <w:szCs w:val="24"/>
        </w:rPr>
        <w:t xml:space="preserve">% were college graduates, and </w:t>
      </w:r>
      <w:r w:rsidR="002354E6" w:rsidRPr="003E18F9">
        <w:rPr>
          <w:rFonts w:ascii="Times New Roman" w:eastAsia="Calibri" w:hAnsi="Times New Roman" w:cs="Times New Roman"/>
          <w:color w:val="000000"/>
          <w:sz w:val="24"/>
          <w:szCs w:val="24"/>
        </w:rPr>
        <w:t>45</w:t>
      </w:r>
      <w:r w:rsidRPr="003E18F9">
        <w:rPr>
          <w:rFonts w:ascii="Times New Roman" w:eastAsia="Calibri" w:hAnsi="Times New Roman" w:cs="Times New Roman"/>
          <w:color w:val="000000"/>
          <w:sz w:val="24"/>
          <w:szCs w:val="24"/>
        </w:rPr>
        <w:t xml:space="preserve">.3% had completed postgraduate education. Regarding employment </w:t>
      </w:r>
      <w:r w:rsidRPr="003E18F9">
        <w:rPr>
          <w:rFonts w:ascii="Times New Roman" w:eastAsia="Calibri" w:hAnsi="Times New Roman" w:cs="Times New Roman"/>
          <w:color w:val="000000"/>
          <w:sz w:val="24"/>
          <w:szCs w:val="24"/>
        </w:rPr>
        <w:lastRenderedPageBreak/>
        <w:t>status overall, 4</w:t>
      </w:r>
      <w:r w:rsidR="002354E6" w:rsidRPr="003E18F9">
        <w:rPr>
          <w:rFonts w:ascii="Times New Roman" w:eastAsia="Calibri" w:hAnsi="Times New Roman" w:cs="Times New Roman"/>
          <w:color w:val="000000"/>
          <w:sz w:val="24"/>
          <w:szCs w:val="24"/>
        </w:rPr>
        <w:t>2.9</w:t>
      </w:r>
      <w:r w:rsidRPr="003E18F9">
        <w:rPr>
          <w:rFonts w:ascii="Times New Roman" w:eastAsia="Calibri" w:hAnsi="Times New Roman" w:cs="Times New Roman"/>
          <w:color w:val="000000"/>
          <w:sz w:val="24"/>
          <w:szCs w:val="24"/>
        </w:rPr>
        <w:t>% of respondents were employed, 4</w:t>
      </w:r>
      <w:r w:rsidR="002354E6" w:rsidRPr="003E18F9">
        <w:rPr>
          <w:rFonts w:ascii="Times New Roman" w:eastAsia="Calibri" w:hAnsi="Times New Roman" w:cs="Times New Roman"/>
          <w:color w:val="000000"/>
          <w:sz w:val="24"/>
          <w:szCs w:val="24"/>
        </w:rPr>
        <w:t>4</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1</w:t>
      </w:r>
      <w:r w:rsidRPr="003E18F9">
        <w:rPr>
          <w:rFonts w:ascii="Times New Roman" w:eastAsia="Calibri" w:hAnsi="Times New Roman" w:cs="Times New Roman"/>
          <w:color w:val="000000"/>
          <w:sz w:val="24"/>
          <w:szCs w:val="24"/>
        </w:rPr>
        <w:t>4% were students, and 1</w:t>
      </w:r>
      <w:r w:rsidR="002354E6" w:rsidRPr="003E18F9">
        <w:rPr>
          <w:rFonts w:ascii="Times New Roman" w:eastAsia="Calibri" w:hAnsi="Times New Roman" w:cs="Times New Roman"/>
          <w:color w:val="000000"/>
          <w:sz w:val="24"/>
          <w:szCs w:val="24"/>
        </w:rPr>
        <w:t>2</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96</w:t>
      </w:r>
      <w:r w:rsidRPr="003E18F9">
        <w:rPr>
          <w:rFonts w:ascii="Times New Roman" w:eastAsia="Calibri" w:hAnsi="Times New Roman" w:cs="Times New Roman"/>
          <w:color w:val="000000"/>
          <w:sz w:val="24"/>
          <w:szCs w:val="24"/>
        </w:rPr>
        <w:t xml:space="preserve">% reported being unemployed. For Bangladesh, 18.24% of respondents were employed, 22.64% were students, and 59.12% reported being unemployed. For Taiwan, 72.32% of respondents were employed, 2.68% were students, and 25% reported unemployment. For Portugal, </w:t>
      </w:r>
      <w:r w:rsidR="002354E6" w:rsidRPr="003E18F9">
        <w:rPr>
          <w:rFonts w:ascii="Times New Roman" w:eastAsia="Calibri" w:hAnsi="Times New Roman" w:cs="Times New Roman"/>
          <w:color w:val="000000"/>
          <w:sz w:val="24"/>
          <w:szCs w:val="24"/>
        </w:rPr>
        <w:t>54.7</w:t>
      </w:r>
      <w:r w:rsidRPr="003E18F9">
        <w:rPr>
          <w:rFonts w:ascii="Times New Roman" w:eastAsia="Calibri" w:hAnsi="Times New Roman" w:cs="Times New Roman"/>
          <w:color w:val="000000"/>
          <w:sz w:val="24"/>
          <w:szCs w:val="24"/>
        </w:rPr>
        <w:t xml:space="preserve">% of respondents were employed, </w:t>
      </w:r>
      <w:r w:rsidR="002354E6" w:rsidRPr="003E18F9">
        <w:rPr>
          <w:rFonts w:ascii="Times New Roman" w:eastAsia="Calibri" w:hAnsi="Times New Roman" w:cs="Times New Roman"/>
          <w:color w:val="000000"/>
          <w:sz w:val="24"/>
          <w:szCs w:val="24"/>
        </w:rPr>
        <w:t>39</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6</w:t>
      </w:r>
      <w:r w:rsidRPr="003E18F9">
        <w:rPr>
          <w:rFonts w:ascii="Times New Roman" w:eastAsia="Calibri" w:hAnsi="Times New Roman" w:cs="Times New Roman"/>
          <w:color w:val="000000"/>
          <w:sz w:val="24"/>
          <w:szCs w:val="24"/>
        </w:rPr>
        <w:t xml:space="preserve">% were students, and </w:t>
      </w:r>
      <w:r w:rsidR="002354E6" w:rsidRPr="003E18F9">
        <w:rPr>
          <w:rFonts w:ascii="Times New Roman" w:eastAsia="Calibri" w:hAnsi="Times New Roman" w:cs="Times New Roman"/>
          <w:color w:val="000000"/>
          <w:sz w:val="24"/>
          <w:szCs w:val="24"/>
        </w:rPr>
        <w:t>5.7</w:t>
      </w:r>
      <w:r w:rsidRPr="003E18F9">
        <w:rPr>
          <w:rFonts w:ascii="Times New Roman" w:eastAsia="Calibri" w:hAnsi="Times New Roman" w:cs="Times New Roman"/>
          <w:color w:val="000000"/>
          <w:sz w:val="24"/>
          <w:szCs w:val="24"/>
        </w:rPr>
        <w:t>% were unemployed. When asked about the number of people currently living in their household overall, the majority indicated that they live with 3-5 people (</w:t>
      </w:r>
      <w:r w:rsidR="002354E6" w:rsidRPr="003E18F9">
        <w:rPr>
          <w:rFonts w:ascii="Times New Roman" w:eastAsia="Calibri" w:hAnsi="Times New Roman" w:cs="Times New Roman"/>
          <w:color w:val="000000"/>
          <w:sz w:val="24"/>
          <w:szCs w:val="24"/>
        </w:rPr>
        <w:t>65</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43</w:t>
      </w:r>
      <w:r w:rsidRPr="003E18F9">
        <w:rPr>
          <w:rFonts w:ascii="Times New Roman" w:eastAsia="Calibri" w:hAnsi="Times New Roman" w:cs="Times New Roman"/>
          <w:color w:val="000000"/>
          <w:sz w:val="24"/>
          <w:szCs w:val="24"/>
        </w:rPr>
        <w:t>%). At the same time, fewer respondents reported living in a household with 2 or fewer individuals (19.</w:t>
      </w:r>
      <w:r w:rsidR="002354E6" w:rsidRPr="003E18F9">
        <w:rPr>
          <w:rFonts w:ascii="Times New Roman" w:eastAsia="Calibri" w:hAnsi="Times New Roman" w:cs="Times New Roman"/>
          <w:color w:val="000000"/>
          <w:sz w:val="24"/>
          <w:szCs w:val="24"/>
        </w:rPr>
        <w:t>7</w:t>
      </w:r>
      <w:r w:rsidRPr="003E18F9">
        <w:rPr>
          <w:rFonts w:ascii="Times New Roman" w:eastAsia="Calibri" w:hAnsi="Times New Roman" w:cs="Times New Roman"/>
          <w:color w:val="000000"/>
          <w:sz w:val="24"/>
          <w:szCs w:val="24"/>
        </w:rPr>
        <w:t>5%) and more than 5 individuals (1</w:t>
      </w:r>
      <w:r w:rsidR="002354E6" w:rsidRPr="003E18F9">
        <w:rPr>
          <w:rFonts w:ascii="Times New Roman" w:eastAsia="Calibri" w:hAnsi="Times New Roman" w:cs="Times New Roman"/>
          <w:color w:val="000000"/>
          <w:sz w:val="24"/>
          <w:szCs w:val="24"/>
        </w:rPr>
        <w:t>4</w:t>
      </w:r>
      <w:r w:rsidRPr="003E18F9">
        <w:rPr>
          <w:rFonts w:ascii="Times New Roman" w:eastAsia="Calibri" w:hAnsi="Times New Roman" w:cs="Times New Roman"/>
          <w:color w:val="000000"/>
          <w:sz w:val="24"/>
          <w:szCs w:val="24"/>
        </w:rPr>
        <w:t>.8</w:t>
      </w:r>
      <w:r w:rsidR="002354E6" w:rsidRPr="003E18F9">
        <w:rPr>
          <w:rFonts w:ascii="Times New Roman" w:eastAsia="Calibri" w:hAnsi="Times New Roman" w:cs="Times New Roman"/>
          <w:color w:val="000000"/>
          <w:sz w:val="24"/>
          <w:szCs w:val="24"/>
        </w:rPr>
        <w:t>1</w:t>
      </w:r>
      <w:r w:rsidRPr="003E18F9">
        <w:rPr>
          <w:rFonts w:ascii="Times New Roman" w:eastAsia="Calibri" w:hAnsi="Times New Roman" w:cs="Times New Roman"/>
          <w:color w:val="000000"/>
          <w:sz w:val="24"/>
          <w:szCs w:val="24"/>
        </w:rPr>
        <w:t xml:space="preserve">%). For Bangladesh, the majority responded that they live with 3-5 people (66.67%), while fewer respondents reported living in a household with 2 or fewer individuals (6.92%), and more than 5 individuals (26.42%). For Taiwan also, the majority said that they live with 3-5 people (66.96%), and a smaller number of respondents reported living in a household with 2 or fewer individuals (28.57%) and more than 5 individuals (4.46%). </w:t>
      </w:r>
      <w:r w:rsidR="002354E6" w:rsidRPr="003E18F9">
        <w:rPr>
          <w:rFonts w:ascii="Times New Roman" w:eastAsia="Calibri" w:hAnsi="Times New Roman" w:cs="Times New Roman"/>
          <w:color w:val="000000"/>
          <w:sz w:val="24"/>
          <w:szCs w:val="24"/>
        </w:rPr>
        <w:t>For</w:t>
      </w:r>
      <w:r w:rsidRPr="003E18F9">
        <w:rPr>
          <w:rFonts w:ascii="Times New Roman" w:eastAsia="Calibri" w:hAnsi="Times New Roman" w:cs="Times New Roman"/>
          <w:color w:val="000000"/>
          <w:sz w:val="24"/>
          <w:szCs w:val="24"/>
        </w:rPr>
        <w:t xml:space="preserve"> Portugal, </w:t>
      </w:r>
      <w:r w:rsidR="002354E6" w:rsidRPr="003E18F9">
        <w:rPr>
          <w:rFonts w:ascii="Times New Roman" w:eastAsia="Calibri" w:hAnsi="Times New Roman" w:cs="Times New Roman"/>
          <w:color w:val="000000"/>
          <w:sz w:val="24"/>
          <w:szCs w:val="24"/>
        </w:rPr>
        <w:t>t</w:t>
      </w:r>
      <w:r w:rsidRPr="003E18F9">
        <w:rPr>
          <w:rFonts w:ascii="Times New Roman" w:eastAsia="Calibri" w:hAnsi="Times New Roman" w:cs="Times New Roman"/>
          <w:color w:val="000000"/>
          <w:sz w:val="24"/>
          <w:szCs w:val="24"/>
        </w:rPr>
        <w:t xml:space="preserve">he majority responded that they lived in a household with </w:t>
      </w:r>
      <w:r w:rsidR="002354E6" w:rsidRPr="003E18F9">
        <w:rPr>
          <w:rFonts w:ascii="Times New Roman" w:eastAsia="Calibri" w:hAnsi="Times New Roman" w:cs="Times New Roman"/>
          <w:color w:val="000000"/>
          <w:sz w:val="24"/>
          <w:szCs w:val="24"/>
        </w:rPr>
        <w:t>3-5 people</w:t>
      </w:r>
      <w:r w:rsidR="002354E6" w:rsidRPr="003E18F9" w:rsidDel="002354E6">
        <w:rPr>
          <w:rFonts w:ascii="Times New Roman" w:eastAsia="Calibri" w:hAnsi="Times New Roman" w:cs="Times New Roman"/>
          <w:color w:val="000000"/>
          <w:sz w:val="24"/>
          <w:szCs w:val="24"/>
        </w:rPr>
        <w:t xml:space="preserve"> </w:t>
      </w:r>
      <w:r w:rsidRPr="003E18F9">
        <w:rPr>
          <w:rFonts w:ascii="Times New Roman" w:eastAsia="Calibri" w:hAnsi="Times New Roman" w:cs="Times New Roman"/>
          <w:color w:val="000000"/>
          <w:sz w:val="24"/>
          <w:szCs w:val="24"/>
        </w:rPr>
        <w:t>(5</w:t>
      </w:r>
      <w:r w:rsidR="002354E6" w:rsidRPr="003E18F9">
        <w:rPr>
          <w:rFonts w:ascii="Times New Roman" w:eastAsia="Calibri" w:hAnsi="Times New Roman" w:cs="Times New Roman"/>
          <w:color w:val="000000"/>
          <w:sz w:val="24"/>
          <w:szCs w:val="24"/>
        </w:rPr>
        <w:t>8</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49</w:t>
      </w:r>
      <w:r w:rsidRPr="003E18F9">
        <w:rPr>
          <w:rFonts w:ascii="Times New Roman" w:eastAsia="Calibri" w:hAnsi="Times New Roman" w:cs="Times New Roman"/>
          <w:color w:val="000000"/>
          <w:sz w:val="24"/>
          <w:szCs w:val="24"/>
        </w:rPr>
        <w:t xml:space="preserve">%), </w:t>
      </w:r>
      <w:r w:rsidR="002354E6" w:rsidRPr="003E18F9">
        <w:rPr>
          <w:rFonts w:ascii="Times New Roman" w:eastAsia="Calibri" w:hAnsi="Times New Roman" w:cs="Times New Roman"/>
          <w:color w:val="000000"/>
          <w:sz w:val="24"/>
          <w:szCs w:val="24"/>
        </w:rPr>
        <w:t>39</w:t>
      </w:r>
      <w:r w:rsidRPr="003E18F9">
        <w:rPr>
          <w:rFonts w:ascii="Times New Roman" w:eastAsia="Calibri" w:hAnsi="Times New Roman" w:cs="Times New Roman"/>
          <w:color w:val="000000"/>
          <w:sz w:val="24"/>
          <w:szCs w:val="24"/>
        </w:rPr>
        <w:t>.</w:t>
      </w:r>
      <w:r w:rsidR="002354E6" w:rsidRPr="003E18F9">
        <w:rPr>
          <w:rFonts w:ascii="Times New Roman" w:eastAsia="Calibri" w:hAnsi="Times New Roman" w:cs="Times New Roman"/>
          <w:color w:val="000000"/>
          <w:sz w:val="24"/>
          <w:szCs w:val="24"/>
        </w:rPr>
        <w:t>62</w:t>
      </w:r>
      <w:r w:rsidRPr="003E18F9">
        <w:rPr>
          <w:rFonts w:ascii="Times New Roman" w:eastAsia="Calibri" w:hAnsi="Times New Roman" w:cs="Times New Roman"/>
          <w:color w:val="000000"/>
          <w:sz w:val="24"/>
          <w:szCs w:val="24"/>
        </w:rPr>
        <w:t xml:space="preserve">% reported living in a household with </w:t>
      </w:r>
      <w:r w:rsidR="002354E6" w:rsidRPr="003E18F9">
        <w:rPr>
          <w:rFonts w:ascii="Times New Roman" w:eastAsia="Calibri" w:hAnsi="Times New Roman" w:cs="Times New Roman"/>
          <w:color w:val="000000"/>
          <w:sz w:val="24"/>
          <w:szCs w:val="24"/>
        </w:rPr>
        <w:t>2 or fewer individuals</w:t>
      </w:r>
      <w:r w:rsidRPr="003E18F9">
        <w:rPr>
          <w:rFonts w:ascii="Times New Roman" w:eastAsia="Calibri" w:hAnsi="Times New Roman" w:cs="Times New Roman"/>
          <w:color w:val="000000"/>
          <w:sz w:val="24"/>
          <w:szCs w:val="24"/>
        </w:rPr>
        <w:t>, and one lived with more than 5 individuals (</w:t>
      </w:r>
      <w:r w:rsidR="00EF553F" w:rsidRPr="003E18F9">
        <w:rPr>
          <w:rFonts w:ascii="Times New Roman" w:eastAsia="Calibri" w:hAnsi="Times New Roman" w:cs="Times New Roman"/>
          <w:color w:val="000000"/>
          <w:sz w:val="24"/>
          <w:szCs w:val="24"/>
        </w:rPr>
        <w:t>1.89</w:t>
      </w:r>
      <w:r w:rsidRPr="003E18F9">
        <w:rPr>
          <w:rFonts w:ascii="Times New Roman" w:eastAsia="Calibri" w:hAnsi="Times New Roman" w:cs="Times New Roman"/>
          <w:color w:val="000000"/>
          <w:sz w:val="24"/>
          <w:szCs w:val="24"/>
        </w:rPr>
        <w:t>%). In terms of community size overall, most respondents (6</w:t>
      </w:r>
      <w:r w:rsidR="00EF553F" w:rsidRPr="003E18F9">
        <w:rPr>
          <w:rFonts w:ascii="Times New Roman" w:eastAsia="Calibri" w:hAnsi="Times New Roman" w:cs="Times New Roman"/>
          <w:color w:val="000000"/>
          <w:sz w:val="24"/>
          <w:szCs w:val="24"/>
        </w:rPr>
        <w:t>2</w:t>
      </w:r>
      <w:r w:rsidRPr="003E18F9">
        <w:rPr>
          <w:rFonts w:ascii="Times New Roman" w:eastAsia="Calibri" w:hAnsi="Times New Roman" w:cs="Times New Roman"/>
          <w:color w:val="000000"/>
          <w:sz w:val="24"/>
          <w:szCs w:val="24"/>
        </w:rPr>
        <w:t>.</w:t>
      </w:r>
      <w:r w:rsidR="00EF553F" w:rsidRPr="003E18F9">
        <w:rPr>
          <w:rFonts w:ascii="Times New Roman" w:eastAsia="Calibri" w:hAnsi="Times New Roman" w:cs="Times New Roman"/>
          <w:color w:val="000000"/>
          <w:sz w:val="24"/>
          <w:szCs w:val="24"/>
        </w:rPr>
        <w:t>03</w:t>
      </w:r>
      <w:r w:rsidRPr="003E18F9">
        <w:rPr>
          <w:rFonts w:ascii="Times New Roman" w:eastAsia="Calibri" w:hAnsi="Times New Roman" w:cs="Times New Roman"/>
          <w:color w:val="000000"/>
          <w:sz w:val="24"/>
          <w:szCs w:val="24"/>
        </w:rPr>
        <w:t>%) lived in a sizeable community (more than 100 residents), while fewer respondents lived in a community with 1-50 residents (23.</w:t>
      </w:r>
      <w:r w:rsidR="00EF553F" w:rsidRPr="003E18F9">
        <w:rPr>
          <w:rFonts w:ascii="Times New Roman" w:eastAsia="Calibri" w:hAnsi="Times New Roman" w:cs="Times New Roman"/>
          <w:color w:val="000000"/>
          <w:sz w:val="24"/>
          <w:szCs w:val="24"/>
        </w:rPr>
        <w:t>73</w:t>
      </w:r>
      <w:r w:rsidRPr="003E18F9">
        <w:rPr>
          <w:rFonts w:ascii="Times New Roman" w:eastAsia="Calibri" w:hAnsi="Times New Roman" w:cs="Times New Roman"/>
          <w:color w:val="000000"/>
          <w:sz w:val="24"/>
          <w:szCs w:val="24"/>
        </w:rPr>
        <w:t>%) or 50-100 residents (14.</w:t>
      </w:r>
      <w:r w:rsidR="00EF553F" w:rsidRPr="003E18F9">
        <w:rPr>
          <w:rFonts w:ascii="Times New Roman" w:eastAsia="Calibri" w:hAnsi="Times New Roman" w:cs="Times New Roman"/>
          <w:color w:val="000000"/>
          <w:sz w:val="24"/>
          <w:szCs w:val="24"/>
        </w:rPr>
        <w:t>24</w:t>
      </w:r>
      <w:r w:rsidRPr="003E18F9">
        <w:rPr>
          <w:rFonts w:ascii="Times New Roman" w:eastAsia="Calibri" w:hAnsi="Times New Roman" w:cs="Times New Roman"/>
          <w:color w:val="000000"/>
          <w:sz w:val="24"/>
          <w:szCs w:val="24"/>
        </w:rPr>
        <w:t xml:space="preserve">%). For Bangladesh also, most of the respondents (49.06%) lived in a sizeable community (more than 100 residents), while fewer respondents lived in a community with 1-50 residents (26.56%) or 50-100 residents (18.87%). For Taiwan, 69.64% of respondents lived in a community with more than 100 residents, 17.86% lived in a community with 1-50 residents, </w:t>
      </w:r>
      <w:r w:rsidR="00380FCA">
        <w:rPr>
          <w:rFonts w:ascii="Times New Roman" w:eastAsia="Calibri" w:hAnsi="Times New Roman" w:cs="Times New Roman"/>
          <w:color w:val="000000"/>
          <w:sz w:val="24"/>
          <w:szCs w:val="24"/>
        </w:rPr>
        <w:t xml:space="preserve">and 8.93% lived </w:t>
      </w:r>
      <w:r w:rsidRPr="003E18F9">
        <w:rPr>
          <w:rFonts w:ascii="Times New Roman" w:eastAsia="Calibri" w:hAnsi="Times New Roman" w:cs="Times New Roman"/>
          <w:color w:val="000000"/>
          <w:sz w:val="24"/>
          <w:szCs w:val="24"/>
        </w:rPr>
        <w:t xml:space="preserve">in a community with 50-100 residents. We see a similar trend for Portugal also: </w:t>
      </w:r>
      <w:r w:rsidR="00EF553F" w:rsidRPr="003E18F9">
        <w:rPr>
          <w:rFonts w:ascii="Times New Roman" w:eastAsia="Calibri" w:hAnsi="Times New Roman" w:cs="Times New Roman"/>
          <w:color w:val="000000"/>
          <w:sz w:val="24"/>
          <w:szCs w:val="24"/>
        </w:rPr>
        <w:t>75.47</w:t>
      </w:r>
      <w:r w:rsidRPr="003E18F9">
        <w:rPr>
          <w:rFonts w:ascii="Times New Roman" w:eastAsia="Calibri" w:hAnsi="Times New Roman" w:cs="Times New Roman"/>
          <w:color w:val="000000"/>
          <w:sz w:val="24"/>
          <w:szCs w:val="24"/>
        </w:rPr>
        <w:t>% of respondents lived in a community with more than 100 residents, 15.</w:t>
      </w:r>
      <w:r w:rsidR="00EF553F" w:rsidRPr="003E18F9">
        <w:rPr>
          <w:rFonts w:ascii="Times New Roman" w:eastAsia="Calibri" w:hAnsi="Times New Roman" w:cs="Times New Roman"/>
          <w:color w:val="000000"/>
          <w:sz w:val="24"/>
          <w:szCs w:val="24"/>
        </w:rPr>
        <w:t>09</w:t>
      </w:r>
      <w:r w:rsidRPr="003E18F9">
        <w:rPr>
          <w:rFonts w:ascii="Times New Roman" w:eastAsia="Calibri" w:hAnsi="Times New Roman" w:cs="Times New Roman"/>
          <w:color w:val="000000"/>
          <w:sz w:val="24"/>
          <w:szCs w:val="24"/>
        </w:rPr>
        <w:t xml:space="preserve">% lived in a community with 1-50 residents, and </w:t>
      </w:r>
      <w:r w:rsidR="00EF553F" w:rsidRPr="003E18F9">
        <w:rPr>
          <w:rFonts w:ascii="Times New Roman" w:eastAsia="Calibri" w:hAnsi="Times New Roman" w:cs="Times New Roman"/>
          <w:color w:val="000000"/>
          <w:sz w:val="24"/>
          <w:szCs w:val="24"/>
        </w:rPr>
        <w:t>9.43</w:t>
      </w:r>
      <w:r w:rsidRPr="003E18F9">
        <w:rPr>
          <w:rFonts w:ascii="Times New Roman" w:eastAsia="Calibri" w:hAnsi="Times New Roman" w:cs="Times New Roman"/>
          <w:color w:val="000000"/>
          <w:sz w:val="24"/>
          <w:szCs w:val="24"/>
        </w:rPr>
        <w:t xml:space="preserve">% lived in a community with 50-100 residents (Supplementary Table S1). </w:t>
      </w:r>
    </w:p>
    <w:p w14:paraId="49AF72D4" w14:textId="77777777" w:rsidR="007F6B6F" w:rsidRPr="003E18F9" w:rsidRDefault="007F6B6F" w:rsidP="003C5E37">
      <w:pPr>
        <w:spacing w:after="0" w:line="360" w:lineRule="auto"/>
        <w:jc w:val="both"/>
        <w:rPr>
          <w:rFonts w:ascii="Times New Roman" w:hAnsi="Times New Roman" w:cs="Times New Roman"/>
          <w:b/>
          <w:bCs/>
          <w:sz w:val="24"/>
          <w:szCs w:val="24"/>
        </w:rPr>
      </w:pPr>
    </w:p>
    <w:p w14:paraId="5DAC4902" w14:textId="671BD7E7" w:rsidR="00EA35CF" w:rsidRPr="003E18F9" w:rsidRDefault="00E4091E" w:rsidP="003C5E37">
      <w:pPr>
        <w:spacing w:after="0" w:line="360" w:lineRule="auto"/>
        <w:jc w:val="both"/>
        <w:rPr>
          <w:rFonts w:ascii="Times New Roman" w:hAnsi="Times New Roman" w:cs="Times New Roman"/>
          <w:kern w:val="0"/>
          <w:sz w:val="24"/>
          <w:szCs w:val="24"/>
          <w14:ligatures w14:val="none"/>
        </w:rPr>
      </w:pPr>
      <w:r w:rsidRPr="003E18F9">
        <w:rPr>
          <w:rFonts w:ascii="Times New Roman" w:hAnsi="Times New Roman" w:cs="Times New Roman"/>
          <w:kern w:val="0"/>
          <w:sz w:val="24"/>
          <w:szCs w:val="24"/>
          <w14:ligatures w14:val="none"/>
        </w:rPr>
        <w:t>Also</w:t>
      </w:r>
      <w:r w:rsidR="00EA35CF" w:rsidRPr="003E18F9">
        <w:rPr>
          <w:rFonts w:ascii="Times New Roman" w:hAnsi="Times New Roman" w:cs="Times New Roman"/>
          <w:kern w:val="0"/>
          <w:sz w:val="24"/>
          <w:szCs w:val="24"/>
          <w14:ligatures w14:val="none"/>
        </w:rPr>
        <w:t>, 68.</w:t>
      </w:r>
      <w:r w:rsidRPr="003E18F9">
        <w:rPr>
          <w:rFonts w:ascii="Times New Roman" w:hAnsi="Times New Roman" w:cs="Times New Roman"/>
          <w:kern w:val="0"/>
          <w:sz w:val="24"/>
          <w:szCs w:val="24"/>
          <w14:ligatures w14:val="none"/>
        </w:rPr>
        <w:t>52</w:t>
      </w:r>
      <w:r w:rsidR="00EA35CF" w:rsidRPr="003E18F9">
        <w:rPr>
          <w:rFonts w:ascii="Times New Roman" w:hAnsi="Times New Roman" w:cs="Times New Roman"/>
          <w:kern w:val="0"/>
          <w:sz w:val="24"/>
          <w:szCs w:val="24"/>
          <w14:ligatures w14:val="none"/>
        </w:rPr>
        <w:t>% of the respondents were males, and 31.</w:t>
      </w:r>
      <w:r w:rsidRPr="003E18F9">
        <w:rPr>
          <w:rFonts w:ascii="Times New Roman" w:hAnsi="Times New Roman" w:cs="Times New Roman"/>
          <w:kern w:val="0"/>
          <w:sz w:val="24"/>
          <w:szCs w:val="24"/>
          <w14:ligatures w14:val="none"/>
        </w:rPr>
        <w:t>48</w:t>
      </w:r>
      <w:r w:rsidR="00EA35CF" w:rsidRPr="003E18F9">
        <w:rPr>
          <w:rFonts w:ascii="Times New Roman" w:hAnsi="Times New Roman" w:cs="Times New Roman"/>
          <w:kern w:val="0"/>
          <w:sz w:val="24"/>
          <w:szCs w:val="24"/>
          <w14:ligatures w14:val="none"/>
        </w:rPr>
        <w:t xml:space="preserve">% were females. </w:t>
      </w:r>
      <w:r w:rsidRPr="003E18F9">
        <w:rPr>
          <w:rFonts w:ascii="Times New Roman" w:hAnsi="Times New Roman" w:cs="Times New Roman"/>
          <w:kern w:val="0"/>
          <w:sz w:val="24"/>
          <w:szCs w:val="24"/>
          <w14:ligatures w14:val="none"/>
        </w:rPr>
        <w:t>0.93</w:t>
      </w:r>
      <w:r w:rsidR="00EA35CF" w:rsidRPr="003E18F9">
        <w:rPr>
          <w:rFonts w:ascii="Times New Roman" w:hAnsi="Times New Roman" w:cs="Times New Roman"/>
          <w:kern w:val="0"/>
          <w:sz w:val="24"/>
          <w:szCs w:val="24"/>
          <w14:ligatures w14:val="none"/>
        </w:rPr>
        <w:t>% of the respondents were 18 years old, 75.</w:t>
      </w:r>
      <w:r w:rsidRPr="003E18F9">
        <w:rPr>
          <w:rFonts w:ascii="Times New Roman" w:hAnsi="Times New Roman" w:cs="Times New Roman"/>
          <w:kern w:val="0"/>
          <w:sz w:val="24"/>
          <w:szCs w:val="24"/>
          <w14:ligatures w14:val="none"/>
        </w:rPr>
        <w:t>93</w:t>
      </w:r>
      <w:r w:rsidR="00EA35CF" w:rsidRPr="003E18F9">
        <w:rPr>
          <w:rFonts w:ascii="Times New Roman" w:hAnsi="Times New Roman" w:cs="Times New Roman"/>
          <w:kern w:val="0"/>
          <w:sz w:val="24"/>
          <w:szCs w:val="24"/>
          <w14:ligatures w14:val="none"/>
        </w:rPr>
        <w:t xml:space="preserve">% were </w:t>
      </w:r>
      <w:r w:rsidR="000B06E1">
        <w:rPr>
          <w:rFonts w:ascii="Times New Roman" w:hAnsi="Times New Roman" w:cs="Times New Roman"/>
          <w:kern w:val="0"/>
          <w:sz w:val="24"/>
          <w:szCs w:val="24"/>
          <w14:ligatures w14:val="none"/>
        </w:rPr>
        <w:t>&gt;</w:t>
      </w:r>
      <w:r w:rsidR="000B06E1" w:rsidRPr="003E18F9">
        <w:rPr>
          <w:rFonts w:ascii="Times New Roman" w:hAnsi="Times New Roman" w:cs="Times New Roman"/>
          <w:kern w:val="0"/>
          <w:sz w:val="24"/>
          <w:szCs w:val="24"/>
          <w14:ligatures w14:val="none"/>
        </w:rPr>
        <w:t xml:space="preserve"> </w:t>
      </w:r>
      <w:r w:rsidR="00EA35CF" w:rsidRPr="003E18F9">
        <w:rPr>
          <w:rFonts w:ascii="Times New Roman" w:hAnsi="Times New Roman" w:cs="Times New Roman"/>
          <w:kern w:val="0"/>
          <w:sz w:val="24"/>
          <w:szCs w:val="24"/>
          <w14:ligatures w14:val="none"/>
        </w:rPr>
        <w:t>18 to 40 years old, and 23.</w:t>
      </w:r>
      <w:r w:rsidRPr="003E18F9">
        <w:rPr>
          <w:rFonts w:ascii="Times New Roman" w:hAnsi="Times New Roman" w:cs="Times New Roman"/>
          <w:kern w:val="0"/>
          <w:sz w:val="24"/>
          <w:szCs w:val="24"/>
          <w14:ligatures w14:val="none"/>
        </w:rPr>
        <w:t>15</w:t>
      </w:r>
      <w:r w:rsidR="00EA35CF" w:rsidRPr="003E18F9">
        <w:rPr>
          <w:rFonts w:ascii="Times New Roman" w:hAnsi="Times New Roman" w:cs="Times New Roman"/>
          <w:kern w:val="0"/>
          <w:sz w:val="24"/>
          <w:szCs w:val="24"/>
          <w14:ligatures w14:val="none"/>
        </w:rPr>
        <w:t xml:space="preserve">% were older than 40 years. For Bangladesh, 1.89% of the respondents were younger than 18 years old, </w:t>
      </w:r>
      <w:r w:rsidR="00EA35CF" w:rsidRPr="003E18F9">
        <w:rPr>
          <w:rFonts w:ascii="Times New Roman" w:hAnsi="Times New Roman" w:cs="Times New Roman"/>
          <w:kern w:val="0"/>
          <w:sz w:val="24"/>
          <w:szCs w:val="24"/>
          <w14:ligatures w14:val="none"/>
        </w:rPr>
        <w:lastRenderedPageBreak/>
        <w:t xml:space="preserve">95.0% were between 18 to 40 years old, and 3.1% were older than 40 years. For Taiwan, none of the respondents were younger than 18 years old, 53.6% were between 18 to 40 years old, and 46.3% were older than 40 years. For Portugal, none of the respondents were younger than 18 years old, </w:t>
      </w:r>
      <w:r w:rsidRPr="003E18F9">
        <w:rPr>
          <w:rFonts w:ascii="Times New Roman" w:hAnsi="Times New Roman" w:cs="Times New Roman"/>
          <w:kern w:val="0"/>
          <w:sz w:val="24"/>
          <w:szCs w:val="24"/>
          <w14:ligatures w14:val="none"/>
        </w:rPr>
        <w:t>66</w:t>
      </w:r>
      <w:r w:rsidR="00EA35CF" w:rsidRPr="003E18F9">
        <w:rPr>
          <w:rFonts w:ascii="Times New Roman" w:hAnsi="Times New Roman" w:cs="Times New Roman"/>
          <w:kern w:val="0"/>
          <w:sz w:val="24"/>
          <w:szCs w:val="24"/>
          <w14:ligatures w14:val="none"/>
        </w:rPr>
        <w:t>.</w:t>
      </w:r>
      <w:r w:rsidRPr="003E18F9">
        <w:rPr>
          <w:rFonts w:ascii="Times New Roman" w:hAnsi="Times New Roman" w:cs="Times New Roman"/>
          <w:kern w:val="0"/>
          <w:sz w:val="24"/>
          <w:szCs w:val="24"/>
          <w14:ligatures w14:val="none"/>
        </w:rPr>
        <w:t>04</w:t>
      </w:r>
      <w:r w:rsidR="00EA35CF" w:rsidRPr="003E18F9">
        <w:rPr>
          <w:rFonts w:ascii="Times New Roman" w:hAnsi="Times New Roman" w:cs="Times New Roman"/>
          <w:kern w:val="0"/>
          <w:sz w:val="24"/>
          <w:szCs w:val="24"/>
          <w14:ligatures w14:val="none"/>
        </w:rPr>
        <w:t xml:space="preserve">% were between 18 to 40 years old, and </w:t>
      </w:r>
      <w:r w:rsidRPr="003E18F9">
        <w:rPr>
          <w:rFonts w:ascii="Times New Roman" w:hAnsi="Times New Roman" w:cs="Times New Roman"/>
          <w:kern w:val="0"/>
          <w:sz w:val="24"/>
          <w:szCs w:val="24"/>
          <w14:ligatures w14:val="none"/>
        </w:rPr>
        <w:t>33.96</w:t>
      </w:r>
      <w:r w:rsidR="00EA35CF" w:rsidRPr="003E18F9">
        <w:rPr>
          <w:rFonts w:ascii="Times New Roman" w:hAnsi="Times New Roman" w:cs="Times New Roman"/>
          <w:kern w:val="0"/>
          <w:sz w:val="24"/>
          <w:szCs w:val="24"/>
          <w14:ligatures w14:val="none"/>
        </w:rPr>
        <w:t>% were older than 40 years. (Table S1).</w:t>
      </w:r>
    </w:p>
    <w:p w14:paraId="3579A75F" w14:textId="335F5CF1" w:rsidR="00EA35CF" w:rsidRPr="003E18F9" w:rsidRDefault="00EA35CF" w:rsidP="003C5E37">
      <w:pPr>
        <w:spacing w:after="0" w:line="360" w:lineRule="auto"/>
        <w:ind w:firstLine="720"/>
        <w:jc w:val="both"/>
        <w:rPr>
          <w:rFonts w:ascii="Times New Roman" w:hAnsi="Times New Roman" w:cs="Times New Roman"/>
          <w:kern w:val="0"/>
          <w:sz w:val="24"/>
          <w:szCs w:val="24"/>
          <w14:ligatures w14:val="none"/>
        </w:rPr>
      </w:pPr>
      <w:r w:rsidRPr="003E18F9">
        <w:rPr>
          <w:rFonts w:ascii="Times New Roman" w:hAnsi="Times New Roman" w:cs="Times New Roman"/>
          <w:kern w:val="0"/>
          <w:sz w:val="24"/>
          <w:szCs w:val="24"/>
          <w14:ligatures w14:val="none"/>
        </w:rPr>
        <w:t>Most respondents (6</w:t>
      </w:r>
      <w:r w:rsidR="003C172D" w:rsidRPr="003E18F9">
        <w:rPr>
          <w:rFonts w:ascii="Times New Roman" w:hAnsi="Times New Roman" w:cs="Times New Roman"/>
          <w:kern w:val="0"/>
          <w:sz w:val="24"/>
          <w:szCs w:val="24"/>
          <w14:ligatures w14:val="none"/>
        </w:rPr>
        <w:t>5</w:t>
      </w:r>
      <w:r w:rsidRPr="003E18F9">
        <w:rPr>
          <w:rFonts w:ascii="Times New Roman" w:hAnsi="Times New Roman" w:cs="Times New Roman"/>
          <w:kern w:val="0"/>
          <w:sz w:val="24"/>
          <w:szCs w:val="24"/>
          <w14:ligatures w14:val="none"/>
        </w:rPr>
        <w:t>.1</w:t>
      </w:r>
      <w:r w:rsidR="003C172D" w:rsidRPr="003E18F9">
        <w:rPr>
          <w:rFonts w:ascii="Times New Roman" w:hAnsi="Times New Roman" w:cs="Times New Roman"/>
          <w:kern w:val="0"/>
          <w:sz w:val="24"/>
          <w:szCs w:val="24"/>
          <w14:ligatures w14:val="none"/>
        </w:rPr>
        <w:t>2</w:t>
      </w:r>
      <w:r w:rsidRPr="003E18F9">
        <w:rPr>
          <w:rFonts w:ascii="Times New Roman" w:hAnsi="Times New Roman" w:cs="Times New Roman"/>
          <w:kern w:val="0"/>
          <w:sz w:val="24"/>
          <w:szCs w:val="24"/>
          <w14:ligatures w14:val="none"/>
        </w:rPr>
        <w:t>%) reported that their dwelling’s roofing material was concrete slab (</w:t>
      </w:r>
      <w:r w:rsidR="00E14192" w:rsidRPr="003E18F9">
        <w:rPr>
          <w:rFonts w:ascii="Times New Roman" w:hAnsi="Times New Roman" w:cs="Times New Roman"/>
          <w:kern w:val="0"/>
          <w:sz w:val="24"/>
          <w:szCs w:val="24"/>
          <w14:ligatures w14:val="none"/>
        </w:rPr>
        <w:t>Table S1</w:t>
      </w:r>
      <w:r w:rsidRPr="003E18F9">
        <w:rPr>
          <w:rFonts w:ascii="Times New Roman" w:hAnsi="Times New Roman" w:cs="Times New Roman"/>
          <w:kern w:val="0"/>
          <w:sz w:val="24"/>
          <w:szCs w:val="24"/>
          <w14:ligatures w14:val="none"/>
        </w:rPr>
        <w:t xml:space="preserve">), while </w:t>
      </w:r>
      <w:r w:rsidR="003C172D" w:rsidRPr="003E18F9">
        <w:rPr>
          <w:rFonts w:ascii="Times New Roman" w:hAnsi="Times New Roman" w:cs="Times New Roman"/>
          <w:kern w:val="0"/>
          <w:sz w:val="24"/>
          <w:szCs w:val="24"/>
          <w14:ligatures w14:val="none"/>
        </w:rPr>
        <w:t>59</w:t>
      </w:r>
      <w:r w:rsidRPr="003E18F9">
        <w:rPr>
          <w:rFonts w:ascii="Times New Roman" w:hAnsi="Times New Roman" w:cs="Times New Roman"/>
          <w:kern w:val="0"/>
          <w:sz w:val="24"/>
          <w:szCs w:val="24"/>
          <w14:ligatures w14:val="none"/>
        </w:rPr>
        <w:t>.</w:t>
      </w:r>
      <w:r w:rsidR="003C172D" w:rsidRPr="003E18F9">
        <w:rPr>
          <w:rFonts w:ascii="Times New Roman" w:hAnsi="Times New Roman" w:cs="Times New Roman"/>
          <w:kern w:val="0"/>
          <w:sz w:val="24"/>
          <w:szCs w:val="24"/>
          <w14:ligatures w14:val="none"/>
        </w:rPr>
        <w:t>26</w:t>
      </w:r>
      <w:r w:rsidRPr="003E18F9">
        <w:rPr>
          <w:rFonts w:ascii="Times New Roman" w:hAnsi="Times New Roman" w:cs="Times New Roman"/>
          <w:kern w:val="0"/>
          <w:sz w:val="24"/>
          <w:szCs w:val="24"/>
          <w14:ligatures w14:val="none"/>
        </w:rPr>
        <w:t>% mentioned that their floor</w:t>
      </w:r>
      <w:r w:rsidR="00380FCA">
        <w:rPr>
          <w:rFonts w:ascii="Times New Roman" w:hAnsi="Times New Roman" w:cs="Times New Roman"/>
          <w:kern w:val="0"/>
          <w:sz w:val="24"/>
          <w:szCs w:val="24"/>
          <w14:ligatures w14:val="none"/>
        </w:rPr>
        <w:t>,</w:t>
      </w:r>
      <w:r w:rsidRPr="003E18F9">
        <w:rPr>
          <w:rFonts w:ascii="Times New Roman" w:hAnsi="Times New Roman" w:cs="Times New Roman"/>
          <w:kern w:val="0"/>
          <w:sz w:val="24"/>
          <w:szCs w:val="24"/>
          <w14:ligatures w14:val="none"/>
        </w:rPr>
        <w:t xml:space="preserve"> and </w:t>
      </w:r>
      <w:r w:rsidR="003C172D" w:rsidRPr="003E18F9">
        <w:rPr>
          <w:rFonts w:ascii="Times New Roman" w:hAnsi="Times New Roman" w:cs="Times New Roman"/>
          <w:kern w:val="0"/>
          <w:sz w:val="24"/>
          <w:szCs w:val="24"/>
          <w14:ligatures w14:val="none"/>
        </w:rPr>
        <w:t>92</w:t>
      </w:r>
      <w:r w:rsidRPr="003E18F9">
        <w:rPr>
          <w:rFonts w:ascii="Times New Roman" w:hAnsi="Times New Roman" w:cs="Times New Roman"/>
          <w:kern w:val="0"/>
          <w:sz w:val="24"/>
          <w:szCs w:val="24"/>
          <w14:ligatures w14:val="none"/>
        </w:rPr>
        <w:t>.</w:t>
      </w:r>
      <w:r w:rsidR="003C172D" w:rsidRPr="003E18F9">
        <w:rPr>
          <w:rFonts w:ascii="Times New Roman" w:hAnsi="Times New Roman" w:cs="Times New Roman"/>
          <w:kern w:val="0"/>
          <w:sz w:val="24"/>
          <w:szCs w:val="24"/>
          <w14:ligatures w14:val="none"/>
        </w:rPr>
        <w:t>21</w:t>
      </w:r>
      <w:r w:rsidRPr="003E18F9">
        <w:rPr>
          <w:rFonts w:ascii="Times New Roman" w:hAnsi="Times New Roman" w:cs="Times New Roman"/>
          <w:kern w:val="0"/>
          <w:sz w:val="24"/>
          <w:szCs w:val="24"/>
          <w14:ligatures w14:val="none"/>
        </w:rPr>
        <w:t>% stated that their outer walls were constructed with cement.</w:t>
      </w:r>
      <w:r w:rsidR="003C5E37">
        <w:rPr>
          <w:rFonts w:ascii="Times New Roman" w:hAnsi="Times New Roman" w:cs="Times New Roman"/>
          <w:kern w:val="0"/>
          <w:sz w:val="24"/>
          <w:szCs w:val="24"/>
          <w14:ligatures w14:val="none"/>
        </w:rPr>
        <w:t xml:space="preserve"> </w:t>
      </w:r>
      <w:r w:rsidRPr="003E18F9">
        <w:rPr>
          <w:rFonts w:ascii="Times New Roman" w:hAnsi="Times New Roman" w:cs="Times New Roman"/>
          <w:kern w:val="0"/>
          <w:sz w:val="24"/>
          <w:szCs w:val="24"/>
          <w14:ligatures w14:val="none"/>
        </w:rPr>
        <w:t>Furthermore, almost 8</w:t>
      </w:r>
      <w:r w:rsidR="003C172D" w:rsidRPr="003E18F9">
        <w:rPr>
          <w:rFonts w:ascii="Times New Roman" w:hAnsi="Times New Roman" w:cs="Times New Roman"/>
          <w:kern w:val="0"/>
          <w:sz w:val="24"/>
          <w:szCs w:val="24"/>
          <w14:ligatures w14:val="none"/>
        </w:rPr>
        <w:t>3</w:t>
      </w:r>
      <w:r w:rsidRPr="003E18F9">
        <w:rPr>
          <w:rFonts w:ascii="Times New Roman" w:hAnsi="Times New Roman" w:cs="Times New Roman"/>
          <w:kern w:val="0"/>
          <w:sz w:val="24"/>
          <w:szCs w:val="24"/>
          <w14:ligatures w14:val="none"/>
        </w:rPr>
        <w:t>.</w:t>
      </w:r>
      <w:r w:rsidR="003C172D" w:rsidRPr="003E18F9">
        <w:rPr>
          <w:rFonts w:ascii="Times New Roman" w:hAnsi="Times New Roman" w:cs="Times New Roman"/>
          <w:kern w:val="0"/>
          <w:sz w:val="24"/>
          <w:szCs w:val="24"/>
          <w14:ligatures w14:val="none"/>
        </w:rPr>
        <w:t>64</w:t>
      </w:r>
      <w:r w:rsidRPr="003E18F9">
        <w:rPr>
          <w:rFonts w:ascii="Times New Roman" w:hAnsi="Times New Roman" w:cs="Times New Roman"/>
          <w:kern w:val="0"/>
          <w:sz w:val="24"/>
          <w:szCs w:val="24"/>
          <w14:ligatures w14:val="none"/>
        </w:rPr>
        <w:t xml:space="preserve">% of respondents reported living in residential areas. </w:t>
      </w:r>
    </w:p>
    <w:p w14:paraId="1716B298" w14:textId="278086CD" w:rsidR="00EA35CF" w:rsidRPr="003E18F9" w:rsidRDefault="00EA35CF" w:rsidP="003C5E37">
      <w:pPr>
        <w:spacing w:after="0" w:line="360" w:lineRule="auto"/>
        <w:ind w:firstLine="720"/>
        <w:jc w:val="both"/>
        <w:rPr>
          <w:rFonts w:ascii="Times New Roman" w:hAnsi="Times New Roman" w:cs="Times New Roman"/>
          <w:kern w:val="0"/>
          <w:sz w:val="24"/>
          <w:szCs w:val="24"/>
          <w14:ligatures w14:val="none"/>
        </w:rPr>
      </w:pPr>
      <w:r w:rsidRPr="003E18F9">
        <w:rPr>
          <w:rFonts w:ascii="Times New Roman" w:hAnsi="Times New Roman" w:cs="Times New Roman"/>
          <w:kern w:val="0"/>
          <w:sz w:val="24"/>
          <w:szCs w:val="24"/>
          <w14:ligatures w14:val="none"/>
        </w:rPr>
        <w:t xml:space="preserve">When asked about the most relevant geohazard event experienced, the most frequent response (29.6%) was an earthquake, followed by flood (22.4%), hurricane (19.4%), and landslides (16.9%) (Figure 2). Regarding awareness of the local government emergency response plan, 61.01% of respondents from Bangladesh, 38.39% from Taiwan, and </w:t>
      </w:r>
      <w:r w:rsidR="003C172D" w:rsidRPr="003E18F9">
        <w:rPr>
          <w:rFonts w:ascii="Times New Roman" w:hAnsi="Times New Roman" w:cs="Times New Roman"/>
          <w:kern w:val="0"/>
          <w:sz w:val="24"/>
          <w:szCs w:val="24"/>
          <w14:ligatures w14:val="none"/>
        </w:rPr>
        <w:t>60.38</w:t>
      </w:r>
      <w:r w:rsidRPr="003E18F9">
        <w:rPr>
          <w:rFonts w:ascii="Times New Roman" w:hAnsi="Times New Roman" w:cs="Times New Roman"/>
          <w:kern w:val="0"/>
          <w:sz w:val="24"/>
          <w:szCs w:val="24"/>
          <w14:ligatures w14:val="none"/>
        </w:rPr>
        <w:t xml:space="preserve">% from Portugal reported having no awareness. However, respondents from all three countries reported receiving warning information from the government, with positive responses from 70.67% in Bangladesh, 74.49% in Taiwan, and </w:t>
      </w:r>
      <w:r w:rsidR="003C172D" w:rsidRPr="003E18F9">
        <w:rPr>
          <w:rFonts w:ascii="Times New Roman" w:hAnsi="Times New Roman" w:cs="Times New Roman"/>
          <w:kern w:val="0"/>
          <w:sz w:val="24"/>
          <w:szCs w:val="24"/>
          <w14:ligatures w14:val="none"/>
        </w:rPr>
        <w:t>78</w:t>
      </w:r>
      <w:r w:rsidRPr="003E18F9">
        <w:rPr>
          <w:rFonts w:ascii="Times New Roman" w:hAnsi="Times New Roman" w:cs="Times New Roman"/>
          <w:kern w:val="0"/>
          <w:sz w:val="24"/>
          <w:szCs w:val="24"/>
          <w14:ligatures w14:val="none"/>
        </w:rPr>
        <w:t xml:space="preserve">% in Portugal. </w:t>
      </w:r>
    </w:p>
    <w:p w14:paraId="5CCE24D8" w14:textId="5F26F5A2" w:rsidR="00EA35CF" w:rsidRPr="003E18F9" w:rsidRDefault="003C5E37" w:rsidP="003C5E37">
      <w:pPr>
        <w:spacing w:after="0" w:line="360" w:lineRule="auto"/>
        <w:ind w:firstLine="720"/>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Regarding</w:t>
      </w:r>
      <w:r w:rsidR="00EA35CF" w:rsidRPr="003E18F9">
        <w:rPr>
          <w:rFonts w:ascii="Times New Roman" w:hAnsi="Times New Roman" w:cs="Times New Roman"/>
          <w:kern w:val="0"/>
          <w:sz w:val="24"/>
          <w:szCs w:val="24"/>
          <w14:ligatures w14:val="none"/>
        </w:rPr>
        <w:t xml:space="preserve"> community disaster mitigation teams, 59.12% of respondents from Bangladesh reported the absence of such a team, whereas 50.00% from Taiwan and</w:t>
      </w:r>
      <w:r w:rsidR="00353C5A" w:rsidRPr="003E18F9">
        <w:rPr>
          <w:rFonts w:ascii="Times New Roman" w:hAnsi="Times New Roman" w:cs="Times New Roman"/>
          <w:kern w:val="0"/>
          <w:sz w:val="24"/>
          <w:szCs w:val="24"/>
          <w14:ligatures w14:val="none"/>
        </w:rPr>
        <w:t xml:space="preserve"> 45.28% from</w:t>
      </w:r>
      <w:r w:rsidR="00EA35CF" w:rsidRPr="003E18F9">
        <w:rPr>
          <w:rFonts w:ascii="Times New Roman" w:hAnsi="Times New Roman" w:cs="Times New Roman"/>
          <w:kern w:val="0"/>
          <w:sz w:val="24"/>
          <w:szCs w:val="24"/>
          <w14:ligatures w14:val="none"/>
        </w:rPr>
        <w:t xml:space="preserve"> Portugal reported having them. Similarly, 72.33% of respondents from Bangladesh and </w:t>
      </w:r>
      <w:r w:rsidR="00353C5A" w:rsidRPr="003E18F9">
        <w:rPr>
          <w:rFonts w:ascii="Times New Roman" w:hAnsi="Times New Roman" w:cs="Times New Roman"/>
          <w:kern w:val="0"/>
          <w:sz w:val="24"/>
          <w:szCs w:val="24"/>
          <w14:ligatures w14:val="none"/>
        </w:rPr>
        <w:t>73</w:t>
      </w:r>
      <w:r w:rsidR="00EA35CF" w:rsidRPr="003E18F9">
        <w:rPr>
          <w:rFonts w:ascii="Times New Roman" w:hAnsi="Times New Roman" w:cs="Times New Roman"/>
          <w:kern w:val="0"/>
          <w:sz w:val="24"/>
          <w:szCs w:val="24"/>
          <w14:ligatures w14:val="none"/>
        </w:rPr>
        <w:t>.</w:t>
      </w:r>
      <w:r w:rsidR="00353C5A" w:rsidRPr="003E18F9">
        <w:rPr>
          <w:rFonts w:ascii="Times New Roman" w:hAnsi="Times New Roman" w:cs="Times New Roman"/>
          <w:kern w:val="0"/>
          <w:sz w:val="24"/>
          <w:szCs w:val="24"/>
          <w14:ligatures w14:val="none"/>
        </w:rPr>
        <w:t>58</w:t>
      </w:r>
      <w:r w:rsidR="00EA35CF" w:rsidRPr="003E18F9">
        <w:rPr>
          <w:rFonts w:ascii="Times New Roman" w:hAnsi="Times New Roman" w:cs="Times New Roman"/>
          <w:kern w:val="0"/>
          <w:sz w:val="24"/>
          <w:szCs w:val="24"/>
          <w14:ligatures w14:val="none"/>
        </w:rPr>
        <w:t>% from Portugal reported a lack of evacuation route maps, compared to 58.04% from Taiwan</w:t>
      </w:r>
      <w:r w:rsidR="00380FCA">
        <w:rPr>
          <w:rFonts w:ascii="Times New Roman" w:hAnsi="Times New Roman" w:cs="Times New Roman"/>
          <w:kern w:val="0"/>
          <w:sz w:val="24"/>
          <w:szCs w:val="24"/>
          <w14:ligatures w14:val="none"/>
        </w:rPr>
        <w:t>,</w:t>
      </w:r>
      <w:r w:rsidR="00EA35CF" w:rsidRPr="003E18F9">
        <w:rPr>
          <w:rFonts w:ascii="Times New Roman" w:hAnsi="Times New Roman" w:cs="Times New Roman"/>
          <w:kern w:val="0"/>
          <w:sz w:val="24"/>
          <w:szCs w:val="24"/>
          <w14:ligatures w14:val="none"/>
        </w:rPr>
        <w:t xml:space="preserve"> who reported having them. Regarding standard operating procedures (SOP) for evacuation, 75.47% of respondents from Bangladesh and 69.</w:t>
      </w:r>
      <w:r w:rsidR="00353C5A" w:rsidRPr="003E18F9">
        <w:rPr>
          <w:rFonts w:ascii="Times New Roman" w:hAnsi="Times New Roman" w:cs="Times New Roman"/>
          <w:kern w:val="0"/>
          <w:sz w:val="24"/>
          <w:szCs w:val="24"/>
          <w14:ligatures w14:val="none"/>
        </w:rPr>
        <w:t>81</w:t>
      </w:r>
      <w:r w:rsidR="00EA35CF" w:rsidRPr="003E18F9">
        <w:rPr>
          <w:rFonts w:ascii="Times New Roman" w:hAnsi="Times New Roman" w:cs="Times New Roman"/>
          <w:kern w:val="0"/>
          <w:sz w:val="24"/>
          <w:szCs w:val="24"/>
          <w14:ligatures w14:val="none"/>
        </w:rPr>
        <w:t xml:space="preserve">% from Portugal reported a lack of SOP, while 58.93% from Taiwan reported having them. Finally, in terms of mitigation practices, </w:t>
      </w:r>
      <w:r w:rsidR="00251F34" w:rsidRPr="003E18F9">
        <w:rPr>
          <w:rFonts w:ascii="Times New Roman" w:hAnsi="Times New Roman" w:cs="Times New Roman"/>
          <w:kern w:val="0"/>
          <w:sz w:val="24"/>
          <w:szCs w:val="24"/>
          <w14:ligatures w14:val="none"/>
        </w:rPr>
        <w:t>most of</w:t>
      </w:r>
      <w:r w:rsidR="00EA35CF" w:rsidRPr="003E18F9">
        <w:rPr>
          <w:rFonts w:ascii="Times New Roman" w:hAnsi="Times New Roman" w:cs="Times New Roman"/>
          <w:kern w:val="0"/>
          <w:sz w:val="24"/>
          <w:szCs w:val="24"/>
          <w14:ligatures w14:val="none"/>
        </w:rPr>
        <w:t xml:space="preserve"> the respondents from all three countries (Bangladesh: 79.25%, Taiwan: 74.77%, and Portugal: </w:t>
      </w:r>
      <w:r w:rsidR="00353C5A" w:rsidRPr="003E18F9">
        <w:rPr>
          <w:rFonts w:ascii="Times New Roman" w:hAnsi="Times New Roman" w:cs="Times New Roman"/>
          <w:kern w:val="0"/>
          <w:sz w:val="24"/>
          <w:szCs w:val="24"/>
          <w14:ligatures w14:val="none"/>
        </w:rPr>
        <w:t>62</w:t>
      </w:r>
      <w:r w:rsidR="00EA35CF" w:rsidRPr="003E18F9">
        <w:rPr>
          <w:rFonts w:ascii="Times New Roman" w:hAnsi="Times New Roman" w:cs="Times New Roman"/>
          <w:kern w:val="0"/>
          <w:sz w:val="24"/>
          <w:szCs w:val="24"/>
          <w14:ligatures w14:val="none"/>
        </w:rPr>
        <w:t>.</w:t>
      </w:r>
      <w:r w:rsidR="00353C5A" w:rsidRPr="003E18F9">
        <w:rPr>
          <w:rFonts w:ascii="Times New Roman" w:hAnsi="Times New Roman" w:cs="Times New Roman"/>
          <w:kern w:val="0"/>
          <w:sz w:val="24"/>
          <w:szCs w:val="24"/>
          <w14:ligatures w14:val="none"/>
        </w:rPr>
        <w:t>26</w:t>
      </w:r>
      <w:r w:rsidR="00EA35CF" w:rsidRPr="003E18F9">
        <w:rPr>
          <w:rFonts w:ascii="Times New Roman" w:hAnsi="Times New Roman" w:cs="Times New Roman"/>
          <w:kern w:val="0"/>
          <w:sz w:val="24"/>
          <w:szCs w:val="24"/>
          <w14:ligatures w14:val="none"/>
        </w:rPr>
        <w:t>%) reported the absence of measures and practices in their communities to mitigate the landslides (Table S</w:t>
      </w:r>
      <w:r w:rsidR="00353C5A" w:rsidRPr="003E18F9">
        <w:rPr>
          <w:rFonts w:ascii="Times New Roman" w:hAnsi="Times New Roman" w:cs="Times New Roman"/>
          <w:kern w:val="0"/>
          <w:sz w:val="24"/>
          <w:szCs w:val="24"/>
          <w14:ligatures w14:val="none"/>
        </w:rPr>
        <w:t>8</w:t>
      </w:r>
      <w:r w:rsidR="00EA35CF" w:rsidRPr="003E18F9">
        <w:rPr>
          <w:rFonts w:ascii="Times New Roman" w:hAnsi="Times New Roman" w:cs="Times New Roman"/>
          <w:kern w:val="0"/>
          <w:sz w:val="24"/>
          <w:szCs w:val="24"/>
          <w14:ligatures w14:val="none"/>
        </w:rPr>
        <w:t xml:space="preserve">). </w:t>
      </w:r>
    </w:p>
    <w:p w14:paraId="3AD69DB6" w14:textId="77777777" w:rsidR="003C5E37" w:rsidRDefault="003C5E37" w:rsidP="003C5E37">
      <w:pPr>
        <w:spacing w:after="0" w:line="360" w:lineRule="auto"/>
        <w:jc w:val="both"/>
        <w:rPr>
          <w:rFonts w:ascii="Times New Roman" w:eastAsia="Times New Roman" w:hAnsi="Times New Roman" w:cs="Times New Roman"/>
          <w:b/>
          <w:kern w:val="0"/>
          <w:sz w:val="24"/>
          <w:szCs w:val="24"/>
          <w14:ligatures w14:val="none"/>
        </w:rPr>
      </w:pPr>
    </w:p>
    <w:p w14:paraId="61F33C57" w14:textId="77777777" w:rsidR="002C38AD" w:rsidRDefault="002C38AD" w:rsidP="003C5E37">
      <w:pPr>
        <w:spacing w:after="0" w:line="360" w:lineRule="auto"/>
        <w:jc w:val="both"/>
        <w:rPr>
          <w:rFonts w:ascii="Times New Roman" w:eastAsia="Times New Roman" w:hAnsi="Times New Roman" w:cs="Times New Roman"/>
          <w:b/>
          <w:color w:val="4472C4" w:themeColor="accent1"/>
          <w:kern w:val="0"/>
          <w:sz w:val="24"/>
          <w:szCs w:val="24"/>
          <w14:ligatures w14:val="none"/>
        </w:rPr>
      </w:pPr>
    </w:p>
    <w:p w14:paraId="2FB3993F" w14:textId="77777777" w:rsidR="003D5DAB" w:rsidRPr="003D5DAB" w:rsidRDefault="003D5DAB" w:rsidP="00B02B4D">
      <w:pPr>
        <w:jc w:val="right"/>
        <w:rPr>
          <w:rFonts w:ascii="Times New Roman" w:hAnsi="Times New Roman" w:cs="Times New Roman"/>
          <w:sz w:val="24"/>
          <w:szCs w:val="24"/>
        </w:rPr>
      </w:pPr>
    </w:p>
    <w:sectPr w:rsidR="003D5DAB" w:rsidRPr="003D5DAB" w:rsidSect="00EA35CF">
      <w:headerReference w:type="default"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ACF63" w14:textId="77777777" w:rsidR="00042DB7" w:rsidRDefault="00042DB7">
      <w:pPr>
        <w:spacing w:after="0" w:line="240" w:lineRule="auto"/>
      </w:pPr>
      <w:r>
        <w:separator/>
      </w:r>
    </w:p>
  </w:endnote>
  <w:endnote w:type="continuationSeparator" w:id="0">
    <w:p w14:paraId="119EF920" w14:textId="77777777" w:rsidR="00042DB7" w:rsidRDefault="00042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CE8A0" w14:textId="77777777" w:rsidR="00EA35CF" w:rsidRDefault="00EA35CF">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0D82B" w14:textId="77777777" w:rsidR="00042DB7" w:rsidRDefault="00042DB7">
      <w:pPr>
        <w:spacing w:after="0" w:line="240" w:lineRule="auto"/>
      </w:pPr>
      <w:r>
        <w:separator/>
      </w:r>
    </w:p>
  </w:footnote>
  <w:footnote w:type="continuationSeparator" w:id="0">
    <w:p w14:paraId="2FF96951" w14:textId="77777777" w:rsidR="00042DB7" w:rsidRDefault="00042D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E9667" w14:textId="77777777" w:rsidR="00EA35CF" w:rsidRDefault="00EA35CF">
    <w:pPr>
      <w:jc w:val="right"/>
      <w:rPr>
        <w:sz w:val="20"/>
        <w:szCs w:val="20"/>
      </w:rPr>
    </w:pPr>
  </w:p>
  <w:p w14:paraId="258CD066" w14:textId="77777777" w:rsidR="00EA35CF" w:rsidRDefault="00EA35C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30C16"/>
    <w:multiLevelType w:val="hybridMultilevel"/>
    <w:tmpl w:val="35CE8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820932"/>
    <w:multiLevelType w:val="multilevel"/>
    <w:tmpl w:val="D66A4E0C"/>
    <w:lvl w:ilvl="0">
      <w:start w:val="1"/>
      <w:numFmt w:val="decimal"/>
      <w:lvlText w:val="%1."/>
      <w:lvlJc w:val="left"/>
      <w:pPr>
        <w:ind w:left="1800" w:hanging="360"/>
      </w:pPr>
      <w:rPr>
        <w:u w:val="none"/>
      </w:rPr>
    </w:lvl>
    <w:lvl w:ilvl="1">
      <w:start w:val="1"/>
      <w:numFmt w:val="lowerLetter"/>
      <w:lvlText w:val="%2."/>
      <w:lvlJc w:val="left"/>
      <w:pPr>
        <w:ind w:left="2520" w:hanging="360"/>
      </w:pPr>
      <w:rPr>
        <w:u w:val="none"/>
      </w:rPr>
    </w:lvl>
    <w:lvl w:ilvl="2">
      <w:start w:val="1"/>
      <w:numFmt w:val="lowerRoman"/>
      <w:lvlText w:val="%3."/>
      <w:lvlJc w:val="right"/>
      <w:pPr>
        <w:ind w:left="3240" w:hanging="360"/>
      </w:pPr>
      <w:rPr>
        <w:u w:val="none"/>
      </w:rPr>
    </w:lvl>
    <w:lvl w:ilvl="3">
      <w:start w:val="1"/>
      <w:numFmt w:val="decimal"/>
      <w:lvlText w:val="%4."/>
      <w:lvlJc w:val="left"/>
      <w:pPr>
        <w:ind w:left="3960" w:hanging="360"/>
      </w:pPr>
      <w:rPr>
        <w:u w:val="none"/>
      </w:rPr>
    </w:lvl>
    <w:lvl w:ilvl="4">
      <w:start w:val="1"/>
      <w:numFmt w:val="lowerLetter"/>
      <w:lvlText w:val="%5."/>
      <w:lvlJc w:val="left"/>
      <w:pPr>
        <w:ind w:left="4680" w:hanging="360"/>
      </w:pPr>
      <w:rPr>
        <w:u w:val="none"/>
      </w:rPr>
    </w:lvl>
    <w:lvl w:ilvl="5">
      <w:start w:val="1"/>
      <w:numFmt w:val="lowerRoman"/>
      <w:lvlText w:val="%6."/>
      <w:lvlJc w:val="right"/>
      <w:pPr>
        <w:ind w:left="5400" w:hanging="360"/>
      </w:pPr>
      <w:rPr>
        <w:u w:val="none"/>
      </w:rPr>
    </w:lvl>
    <w:lvl w:ilvl="6">
      <w:start w:val="1"/>
      <w:numFmt w:val="decimal"/>
      <w:lvlText w:val="%7."/>
      <w:lvlJc w:val="left"/>
      <w:pPr>
        <w:ind w:left="6120" w:hanging="360"/>
      </w:pPr>
      <w:rPr>
        <w:u w:val="none"/>
      </w:rPr>
    </w:lvl>
    <w:lvl w:ilvl="7">
      <w:start w:val="1"/>
      <w:numFmt w:val="lowerLetter"/>
      <w:lvlText w:val="%8."/>
      <w:lvlJc w:val="left"/>
      <w:pPr>
        <w:ind w:left="6840" w:hanging="360"/>
      </w:pPr>
      <w:rPr>
        <w:u w:val="none"/>
      </w:rPr>
    </w:lvl>
    <w:lvl w:ilvl="8">
      <w:start w:val="1"/>
      <w:numFmt w:val="lowerRoman"/>
      <w:lvlText w:val="%9."/>
      <w:lvlJc w:val="right"/>
      <w:pPr>
        <w:ind w:left="7560" w:hanging="360"/>
      </w:pPr>
      <w:rPr>
        <w:u w:val="none"/>
      </w:rPr>
    </w:lvl>
  </w:abstractNum>
  <w:abstractNum w:abstractNumId="2"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1597435">
    <w:abstractNumId w:val="2"/>
  </w:num>
  <w:num w:numId="2" w16cid:durableId="14375998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39639249">
    <w:abstractNumId w:val="0"/>
  </w:num>
  <w:num w:numId="4" w16cid:durableId="16256239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5CF"/>
    <w:rsid w:val="00001C3D"/>
    <w:rsid w:val="00023B56"/>
    <w:rsid w:val="00025648"/>
    <w:rsid w:val="00041500"/>
    <w:rsid w:val="00042DB7"/>
    <w:rsid w:val="00091744"/>
    <w:rsid w:val="00096DD3"/>
    <w:rsid w:val="000A56F2"/>
    <w:rsid w:val="000B06E1"/>
    <w:rsid w:val="000E2B22"/>
    <w:rsid w:val="00113D27"/>
    <w:rsid w:val="00156AA7"/>
    <w:rsid w:val="001C1B42"/>
    <w:rsid w:val="001C4B6C"/>
    <w:rsid w:val="001F68D8"/>
    <w:rsid w:val="00201597"/>
    <w:rsid w:val="002354E6"/>
    <w:rsid w:val="00251DE9"/>
    <w:rsid w:val="00251F34"/>
    <w:rsid w:val="00252235"/>
    <w:rsid w:val="00271843"/>
    <w:rsid w:val="002741F8"/>
    <w:rsid w:val="00281600"/>
    <w:rsid w:val="002A10D7"/>
    <w:rsid w:val="002B63D4"/>
    <w:rsid w:val="002C38AD"/>
    <w:rsid w:val="002D4335"/>
    <w:rsid w:val="00315347"/>
    <w:rsid w:val="00315C3B"/>
    <w:rsid w:val="00321E61"/>
    <w:rsid w:val="00353C5A"/>
    <w:rsid w:val="0036408F"/>
    <w:rsid w:val="00365937"/>
    <w:rsid w:val="00380FCA"/>
    <w:rsid w:val="003A6728"/>
    <w:rsid w:val="003C172D"/>
    <w:rsid w:val="003C5E37"/>
    <w:rsid w:val="003C682A"/>
    <w:rsid w:val="003D24FC"/>
    <w:rsid w:val="003D5DAB"/>
    <w:rsid w:val="003E18F9"/>
    <w:rsid w:val="003E2F34"/>
    <w:rsid w:val="003E5108"/>
    <w:rsid w:val="00402527"/>
    <w:rsid w:val="004331EA"/>
    <w:rsid w:val="004543A2"/>
    <w:rsid w:val="004C73AC"/>
    <w:rsid w:val="00502E08"/>
    <w:rsid w:val="00545788"/>
    <w:rsid w:val="00593A5C"/>
    <w:rsid w:val="00594B6D"/>
    <w:rsid w:val="00596B7B"/>
    <w:rsid w:val="005F4186"/>
    <w:rsid w:val="005F6B9A"/>
    <w:rsid w:val="00652F97"/>
    <w:rsid w:val="006D5BAB"/>
    <w:rsid w:val="006E74BA"/>
    <w:rsid w:val="006F0A53"/>
    <w:rsid w:val="006F6524"/>
    <w:rsid w:val="007079B6"/>
    <w:rsid w:val="00716750"/>
    <w:rsid w:val="007566F4"/>
    <w:rsid w:val="007E5750"/>
    <w:rsid w:val="007F66AF"/>
    <w:rsid w:val="007F6B6F"/>
    <w:rsid w:val="008072EB"/>
    <w:rsid w:val="00810E02"/>
    <w:rsid w:val="00876C13"/>
    <w:rsid w:val="008D32AF"/>
    <w:rsid w:val="008E07D8"/>
    <w:rsid w:val="009028A4"/>
    <w:rsid w:val="009170B4"/>
    <w:rsid w:val="009B6D3A"/>
    <w:rsid w:val="009E49CB"/>
    <w:rsid w:val="009F02F6"/>
    <w:rsid w:val="00A07540"/>
    <w:rsid w:val="00A67467"/>
    <w:rsid w:val="00AA11A9"/>
    <w:rsid w:val="00AD64A6"/>
    <w:rsid w:val="00AF6208"/>
    <w:rsid w:val="00AF781B"/>
    <w:rsid w:val="00B02B4D"/>
    <w:rsid w:val="00B93915"/>
    <w:rsid w:val="00B950AA"/>
    <w:rsid w:val="00BB3397"/>
    <w:rsid w:val="00BC1C70"/>
    <w:rsid w:val="00C1423E"/>
    <w:rsid w:val="00C26C6C"/>
    <w:rsid w:val="00C37E28"/>
    <w:rsid w:val="00C549DD"/>
    <w:rsid w:val="00C94094"/>
    <w:rsid w:val="00C97591"/>
    <w:rsid w:val="00CB553B"/>
    <w:rsid w:val="00CD57A2"/>
    <w:rsid w:val="00CF3CD9"/>
    <w:rsid w:val="00D34A0E"/>
    <w:rsid w:val="00D374C4"/>
    <w:rsid w:val="00D43A2D"/>
    <w:rsid w:val="00D74866"/>
    <w:rsid w:val="00D94DC5"/>
    <w:rsid w:val="00DC7436"/>
    <w:rsid w:val="00DE24D5"/>
    <w:rsid w:val="00E14192"/>
    <w:rsid w:val="00E22FDD"/>
    <w:rsid w:val="00E4091E"/>
    <w:rsid w:val="00E767BA"/>
    <w:rsid w:val="00EA35CF"/>
    <w:rsid w:val="00EC01CF"/>
    <w:rsid w:val="00EE54C4"/>
    <w:rsid w:val="00EE64E7"/>
    <w:rsid w:val="00EF0F27"/>
    <w:rsid w:val="00EF553F"/>
    <w:rsid w:val="00F111B3"/>
    <w:rsid w:val="00F11EF3"/>
    <w:rsid w:val="00F17C07"/>
    <w:rsid w:val="00F37863"/>
    <w:rsid w:val="00F37BCB"/>
    <w:rsid w:val="00F76EB6"/>
    <w:rsid w:val="00F863A2"/>
    <w:rsid w:val="00F86BCB"/>
    <w:rsid w:val="00F9120B"/>
    <w:rsid w:val="00FF1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E1A4C8"/>
  <w15:chartTrackingRefBased/>
  <w15:docId w15:val="{DCC8DB92-268D-440A-A36D-F06750508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35C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35C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35C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35C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35C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35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35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35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35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5C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35C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35C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35C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35C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35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35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35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35CF"/>
    <w:rPr>
      <w:rFonts w:eastAsiaTheme="majorEastAsia" w:cstheme="majorBidi"/>
      <w:color w:val="272727" w:themeColor="text1" w:themeTint="D8"/>
    </w:rPr>
  </w:style>
  <w:style w:type="paragraph" w:styleId="Title">
    <w:name w:val="Title"/>
    <w:basedOn w:val="Normal"/>
    <w:next w:val="Normal"/>
    <w:link w:val="TitleChar"/>
    <w:uiPriority w:val="10"/>
    <w:qFormat/>
    <w:rsid w:val="00EA35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35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35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35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35CF"/>
    <w:pPr>
      <w:spacing w:before="160"/>
      <w:jc w:val="center"/>
    </w:pPr>
    <w:rPr>
      <w:i/>
      <w:iCs/>
      <w:color w:val="404040" w:themeColor="text1" w:themeTint="BF"/>
    </w:rPr>
  </w:style>
  <w:style w:type="character" w:customStyle="1" w:styleId="QuoteChar">
    <w:name w:val="Quote Char"/>
    <w:basedOn w:val="DefaultParagraphFont"/>
    <w:link w:val="Quote"/>
    <w:uiPriority w:val="29"/>
    <w:rsid w:val="00EA35CF"/>
    <w:rPr>
      <w:i/>
      <w:iCs/>
      <w:color w:val="404040" w:themeColor="text1" w:themeTint="BF"/>
    </w:rPr>
  </w:style>
  <w:style w:type="paragraph" w:styleId="ListParagraph">
    <w:name w:val="List Paragraph"/>
    <w:basedOn w:val="Normal"/>
    <w:uiPriority w:val="34"/>
    <w:qFormat/>
    <w:rsid w:val="00EA35CF"/>
    <w:pPr>
      <w:ind w:left="720"/>
      <w:contextualSpacing/>
    </w:pPr>
  </w:style>
  <w:style w:type="character" w:styleId="IntenseEmphasis">
    <w:name w:val="Intense Emphasis"/>
    <w:basedOn w:val="DefaultParagraphFont"/>
    <w:uiPriority w:val="21"/>
    <w:qFormat/>
    <w:rsid w:val="00EA35CF"/>
    <w:rPr>
      <w:i/>
      <w:iCs/>
      <w:color w:val="2F5496" w:themeColor="accent1" w:themeShade="BF"/>
    </w:rPr>
  </w:style>
  <w:style w:type="paragraph" w:styleId="IntenseQuote">
    <w:name w:val="Intense Quote"/>
    <w:basedOn w:val="Normal"/>
    <w:next w:val="Normal"/>
    <w:link w:val="IntenseQuoteChar"/>
    <w:uiPriority w:val="30"/>
    <w:qFormat/>
    <w:rsid w:val="00EA35C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35CF"/>
    <w:rPr>
      <w:i/>
      <w:iCs/>
      <w:color w:val="2F5496" w:themeColor="accent1" w:themeShade="BF"/>
    </w:rPr>
  </w:style>
  <w:style w:type="character" w:styleId="IntenseReference">
    <w:name w:val="Intense Reference"/>
    <w:basedOn w:val="DefaultParagraphFont"/>
    <w:uiPriority w:val="32"/>
    <w:qFormat/>
    <w:rsid w:val="00EA35CF"/>
    <w:rPr>
      <w:b/>
      <w:bCs/>
      <w:smallCaps/>
      <w:color w:val="2F5496" w:themeColor="accent1" w:themeShade="BF"/>
      <w:spacing w:val="5"/>
    </w:rPr>
  </w:style>
  <w:style w:type="numbering" w:customStyle="1" w:styleId="NoList1">
    <w:name w:val="No List1"/>
    <w:next w:val="NoList"/>
    <w:uiPriority w:val="99"/>
    <w:semiHidden/>
    <w:unhideWhenUsed/>
    <w:rsid w:val="00EA35CF"/>
  </w:style>
  <w:style w:type="paragraph" w:styleId="CommentText">
    <w:name w:val="annotation text"/>
    <w:basedOn w:val="Normal"/>
    <w:link w:val="CommentTextChar"/>
    <w:uiPriority w:val="99"/>
    <w:unhideWhenUsed/>
    <w:rsid w:val="00EA35CF"/>
    <w:pPr>
      <w:spacing w:line="240" w:lineRule="auto"/>
    </w:pPr>
    <w:rPr>
      <w:kern w:val="0"/>
      <w:sz w:val="20"/>
      <w:szCs w:val="20"/>
      <w:lang w:val="en-GB"/>
      <w14:ligatures w14:val="none"/>
    </w:rPr>
  </w:style>
  <w:style w:type="character" w:customStyle="1" w:styleId="CommentTextChar">
    <w:name w:val="Comment Text Char"/>
    <w:basedOn w:val="DefaultParagraphFont"/>
    <w:link w:val="CommentText"/>
    <w:uiPriority w:val="99"/>
    <w:rsid w:val="00EA35CF"/>
    <w:rPr>
      <w:kern w:val="0"/>
      <w:sz w:val="20"/>
      <w:szCs w:val="20"/>
      <w:lang w:val="en-GB"/>
      <w14:ligatures w14:val="none"/>
    </w:rPr>
  </w:style>
  <w:style w:type="character" w:styleId="CommentReference">
    <w:name w:val="annotation reference"/>
    <w:basedOn w:val="DefaultParagraphFont"/>
    <w:uiPriority w:val="99"/>
    <w:semiHidden/>
    <w:unhideWhenUsed/>
    <w:rsid w:val="00EA35CF"/>
    <w:rPr>
      <w:sz w:val="16"/>
      <w:szCs w:val="16"/>
    </w:rPr>
  </w:style>
  <w:style w:type="paragraph" w:styleId="BalloonText">
    <w:name w:val="Balloon Text"/>
    <w:basedOn w:val="Normal"/>
    <w:link w:val="BalloonTextChar"/>
    <w:uiPriority w:val="99"/>
    <w:semiHidden/>
    <w:unhideWhenUsed/>
    <w:rsid w:val="00EA35CF"/>
    <w:pPr>
      <w:spacing w:after="0" w:line="240" w:lineRule="auto"/>
    </w:pPr>
    <w:rPr>
      <w:rFonts w:ascii="Segoe UI" w:hAnsi="Segoe UI" w:cs="Segoe UI"/>
      <w:kern w:val="0"/>
      <w:sz w:val="18"/>
      <w:szCs w:val="18"/>
      <w:lang w:val="en-GB"/>
      <w14:ligatures w14:val="none"/>
    </w:rPr>
  </w:style>
  <w:style w:type="character" w:customStyle="1" w:styleId="BalloonTextChar">
    <w:name w:val="Balloon Text Char"/>
    <w:basedOn w:val="DefaultParagraphFont"/>
    <w:link w:val="BalloonText"/>
    <w:uiPriority w:val="99"/>
    <w:semiHidden/>
    <w:rsid w:val="00EA35CF"/>
    <w:rPr>
      <w:rFonts w:ascii="Segoe UI" w:hAnsi="Segoe UI" w:cs="Segoe UI"/>
      <w:kern w:val="0"/>
      <w:sz w:val="18"/>
      <w:szCs w:val="18"/>
      <w:lang w:val="en-GB"/>
      <w14:ligatures w14:val="none"/>
    </w:rPr>
  </w:style>
  <w:style w:type="character" w:styleId="Hyperlink">
    <w:name w:val="Hyperlink"/>
    <w:basedOn w:val="DefaultParagraphFont"/>
    <w:unhideWhenUsed/>
    <w:rsid w:val="00EA35CF"/>
    <w:rPr>
      <w:color w:val="0563C1" w:themeColor="hyperlink"/>
      <w:u w:val="single"/>
    </w:rPr>
  </w:style>
  <w:style w:type="character" w:styleId="UnresolvedMention">
    <w:name w:val="Unresolved Mention"/>
    <w:basedOn w:val="DefaultParagraphFont"/>
    <w:uiPriority w:val="99"/>
    <w:unhideWhenUsed/>
    <w:rsid w:val="00EA35CF"/>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A35CF"/>
    <w:rPr>
      <w:b/>
      <w:bCs/>
    </w:rPr>
  </w:style>
  <w:style w:type="character" w:customStyle="1" w:styleId="CommentSubjectChar">
    <w:name w:val="Comment Subject Char"/>
    <w:basedOn w:val="CommentTextChar"/>
    <w:link w:val="CommentSubject"/>
    <w:uiPriority w:val="99"/>
    <w:semiHidden/>
    <w:rsid w:val="00EA35CF"/>
    <w:rPr>
      <w:b/>
      <w:bCs/>
      <w:kern w:val="0"/>
      <w:sz w:val="20"/>
      <w:szCs w:val="20"/>
      <w:lang w:val="en-GB"/>
      <w14:ligatures w14:val="none"/>
    </w:rPr>
  </w:style>
  <w:style w:type="paragraph" w:styleId="Header">
    <w:name w:val="header"/>
    <w:basedOn w:val="Normal"/>
    <w:link w:val="HeaderChar"/>
    <w:uiPriority w:val="99"/>
    <w:unhideWhenUsed/>
    <w:rsid w:val="00EA35CF"/>
    <w:pPr>
      <w:tabs>
        <w:tab w:val="center" w:pos="4513"/>
        <w:tab w:val="right" w:pos="9026"/>
      </w:tabs>
      <w:spacing w:after="0" w:line="240" w:lineRule="auto"/>
    </w:pPr>
    <w:rPr>
      <w:kern w:val="0"/>
      <w:lang w:val="en-GB"/>
      <w14:ligatures w14:val="none"/>
    </w:rPr>
  </w:style>
  <w:style w:type="character" w:customStyle="1" w:styleId="HeaderChar">
    <w:name w:val="Header Char"/>
    <w:basedOn w:val="DefaultParagraphFont"/>
    <w:link w:val="Header"/>
    <w:uiPriority w:val="99"/>
    <w:rsid w:val="00EA35CF"/>
    <w:rPr>
      <w:kern w:val="0"/>
      <w:lang w:val="en-GB"/>
      <w14:ligatures w14:val="none"/>
    </w:rPr>
  </w:style>
  <w:style w:type="paragraph" w:styleId="Footer">
    <w:name w:val="footer"/>
    <w:basedOn w:val="Normal"/>
    <w:link w:val="FooterChar"/>
    <w:uiPriority w:val="99"/>
    <w:unhideWhenUsed/>
    <w:rsid w:val="00EA35CF"/>
    <w:pPr>
      <w:tabs>
        <w:tab w:val="center" w:pos="4513"/>
        <w:tab w:val="right" w:pos="9026"/>
      </w:tabs>
      <w:spacing w:after="0" w:line="240" w:lineRule="auto"/>
    </w:pPr>
    <w:rPr>
      <w:kern w:val="0"/>
      <w:lang w:val="en-GB"/>
      <w14:ligatures w14:val="none"/>
    </w:rPr>
  </w:style>
  <w:style w:type="character" w:customStyle="1" w:styleId="FooterChar">
    <w:name w:val="Footer Char"/>
    <w:basedOn w:val="DefaultParagraphFont"/>
    <w:link w:val="Footer"/>
    <w:uiPriority w:val="99"/>
    <w:rsid w:val="00EA35CF"/>
    <w:rPr>
      <w:kern w:val="0"/>
      <w:lang w:val="en-GB"/>
      <w14:ligatures w14:val="none"/>
    </w:rPr>
  </w:style>
  <w:style w:type="character" w:styleId="Mention">
    <w:name w:val="Mention"/>
    <w:basedOn w:val="DefaultParagraphFont"/>
    <w:uiPriority w:val="99"/>
    <w:unhideWhenUsed/>
    <w:rsid w:val="00EA35CF"/>
    <w:rPr>
      <w:color w:val="2B579A"/>
      <w:shd w:val="clear" w:color="auto" w:fill="E1DFDD"/>
    </w:rPr>
  </w:style>
  <w:style w:type="table" w:styleId="TableGrid">
    <w:name w:val="Table Grid"/>
    <w:basedOn w:val="TableNormal"/>
    <w:uiPriority w:val="39"/>
    <w:rsid w:val="00EA35CF"/>
    <w:pPr>
      <w:spacing w:after="0" w:line="240" w:lineRule="auto"/>
    </w:pPr>
    <w:rPr>
      <w:rFonts w:ascii="Arial" w:eastAsia="Arial" w:hAnsi="Arial"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A35CF"/>
    <w:rPr>
      <w:color w:val="666666"/>
    </w:rPr>
  </w:style>
  <w:style w:type="paragraph" w:styleId="Revision">
    <w:name w:val="Revision"/>
    <w:hidden/>
    <w:uiPriority w:val="99"/>
    <w:semiHidden/>
    <w:rsid w:val="00EA35CF"/>
    <w:pPr>
      <w:spacing w:after="0" w:line="240" w:lineRule="auto"/>
    </w:pPr>
    <w:rPr>
      <w:kern w:val="0"/>
      <w:lang w:val="en-GB"/>
      <w14:ligatures w14:val="none"/>
    </w:rPr>
  </w:style>
  <w:style w:type="table" w:styleId="PlainTable2">
    <w:name w:val="Plain Table 2"/>
    <w:basedOn w:val="TableNormal"/>
    <w:uiPriority w:val="42"/>
    <w:rsid w:val="00EA35CF"/>
    <w:pPr>
      <w:spacing w:after="0" w:line="240" w:lineRule="auto"/>
    </w:pPr>
    <w:rPr>
      <w:kern w:val="0"/>
      <w:lang w:val="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Normal"/>
    <w:link w:val="EndNoteBibliographyTitleChar"/>
    <w:rsid w:val="00EA35CF"/>
    <w:pPr>
      <w:spacing w:after="0"/>
      <w:jc w:val="center"/>
    </w:pPr>
    <w:rPr>
      <w:rFonts w:ascii="Calibri" w:hAnsi="Calibri" w:cs="Calibri"/>
      <w:noProof/>
      <w:kern w:val="0"/>
      <w14:ligatures w14:val="none"/>
    </w:rPr>
  </w:style>
  <w:style w:type="character" w:customStyle="1" w:styleId="EndNoteBibliographyTitleChar">
    <w:name w:val="EndNote Bibliography Title Char"/>
    <w:basedOn w:val="DefaultParagraphFont"/>
    <w:link w:val="EndNoteBibliographyTitle"/>
    <w:rsid w:val="00EA35CF"/>
    <w:rPr>
      <w:rFonts w:ascii="Calibri" w:hAnsi="Calibri" w:cs="Calibri"/>
      <w:noProof/>
      <w:kern w:val="0"/>
      <w14:ligatures w14:val="none"/>
    </w:rPr>
  </w:style>
  <w:style w:type="paragraph" w:customStyle="1" w:styleId="EndNoteBibliography">
    <w:name w:val="EndNote Bibliography"/>
    <w:basedOn w:val="Normal"/>
    <w:link w:val="EndNoteBibliographyChar"/>
    <w:rsid w:val="00EA35CF"/>
    <w:pPr>
      <w:spacing w:line="240" w:lineRule="auto"/>
    </w:pPr>
    <w:rPr>
      <w:rFonts w:ascii="Calibri" w:hAnsi="Calibri" w:cs="Calibri"/>
      <w:noProof/>
      <w:kern w:val="0"/>
      <w14:ligatures w14:val="none"/>
    </w:rPr>
  </w:style>
  <w:style w:type="character" w:customStyle="1" w:styleId="EndNoteBibliographyChar">
    <w:name w:val="EndNote Bibliography Char"/>
    <w:basedOn w:val="DefaultParagraphFont"/>
    <w:link w:val="EndNoteBibliography"/>
    <w:rsid w:val="00EA35CF"/>
    <w:rPr>
      <w:rFonts w:ascii="Calibri" w:hAnsi="Calibri" w:cs="Calibri"/>
      <w:noProo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5184962">
      <w:bodyDiv w:val="1"/>
      <w:marLeft w:val="0"/>
      <w:marRight w:val="0"/>
      <w:marTop w:val="0"/>
      <w:marBottom w:val="0"/>
      <w:divBdr>
        <w:top w:val="none" w:sz="0" w:space="0" w:color="auto"/>
        <w:left w:val="none" w:sz="0" w:space="0" w:color="auto"/>
        <w:bottom w:val="none" w:sz="0" w:space="0" w:color="auto"/>
        <w:right w:val="none" w:sz="0" w:space="0" w:color="auto"/>
      </w:divBdr>
    </w:div>
    <w:div w:id="2114593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32610-3B11-4356-B95E-8702DD62C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Pages>
  <Words>1096</Words>
  <Characters>6177</Characters>
  <Application>Microsoft Office Word</Application>
  <DocSecurity>0</DocSecurity>
  <Lines>772</Lines>
  <Paragraphs>519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Ubydul Haque</dc:creator>
  <cp:keywords/>
  <dc:description/>
  <cp:lastModifiedBy>Ubydul Haque</cp:lastModifiedBy>
  <cp:revision>45</cp:revision>
  <dcterms:created xsi:type="dcterms:W3CDTF">2025-03-09T20:31:00Z</dcterms:created>
  <dcterms:modified xsi:type="dcterms:W3CDTF">2025-06-17T00:31:00Z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51ac94b8-ebdd-45f3-91ab-8b4b1cd68c1a</vt:lpwstr>
  </property>
</Properties>
</file>