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3BFD" w14:textId="41E91E51" w:rsidR="41465247" w:rsidRDefault="41465247" w:rsidP="7AD91BC5">
      <w:pPr>
        <w:rPr>
          <w:rFonts w:ascii="Times New Roman" w:eastAsia="Times New Roman" w:hAnsi="Times New Roman" w:cs="Times New Roman"/>
          <w:b/>
          <w:bCs/>
        </w:rPr>
      </w:pPr>
      <w:r w:rsidRPr="35D3FA12">
        <w:rPr>
          <w:rFonts w:ascii="Times New Roman" w:eastAsia="Times New Roman" w:hAnsi="Times New Roman" w:cs="Times New Roman"/>
          <w:b/>
          <w:bCs/>
        </w:rPr>
        <w:t>Supplementary File 1. Description of Partnership</w:t>
      </w:r>
      <w:r w:rsidR="3415878B" w:rsidRPr="35D3FA12">
        <w:rPr>
          <w:rFonts w:ascii="Times New Roman" w:eastAsia="Times New Roman" w:hAnsi="Times New Roman" w:cs="Times New Roman"/>
          <w:b/>
          <w:bCs/>
        </w:rPr>
        <w:t xml:space="preserve">, </w:t>
      </w:r>
      <w:r w:rsidRPr="35D3FA12">
        <w:rPr>
          <w:rFonts w:ascii="Times New Roman" w:eastAsia="Times New Roman" w:hAnsi="Times New Roman" w:cs="Times New Roman"/>
          <w:b/>
          <w:bCs/>
        </w:rPr>
        <w:t>Partnership Activities</w:t>
      </w:r>
      <w:r w:rsidR="42A8C0BC" w:rsidRPr="35D3FA12">
        <w:rPr>
          <w:rFonts w:ascii="Times New Roman" w:eastAsia="Times New Roman" w:hAnsi="Times New Roman" w:cs="Times New Roman"/>
          <w:b/>
          <w:bCs/>
        </w:rPr>
        <w:t>, and SCI-RAC Modules</w:t>
      </w:r>
    </w:p>
    <w:p w14:paraId="2B32BFEE" w14:textId="6AA79CF0" w:rsidR="74E47AC1" w:rsidRPr="003B49D5" w:rsidRDefault="003B49D5" w:rsidP="7AD91BC5">
      <w:pPr>
        <w:rPr>
          <w:rFonts w:ascii="Times New Roman" w:eastAsia="Times New Roman" w:hAnsi="Times New Roman" w:cs="Times New Roman"/>
          <w:b/>
          <w:bCs/>
        </w:rPr>
      </w:pPr>
      <w:r>
        <w:br/>
      </w:r>
      <w:r w:rsidR="5AFBC6DE" w:rsidRPr="41DBEF1C">
        <w:rPr>
          <w:rFonts w:ascii="Times New Roman" w:eastAsia="Times New Roman" w:hAnsi="Times New Roman" w:cs="Times New Roman"/>
          <w:b/>
          <w:bCs/>
        </w:rPr>
        <w:t>The Inte</w:t>
      </w:r>
      <w:r w:rsidR="00B41627" w:rsidRPr="41DBEF1C">
        <w:rPr>
          <w:rFonts w:ascii="Times New Roman" w:eastAsia="Times New Roman" w:hAnsi="Times New Roman" w:cs="Times New Roman"/>
          <w:b/>
          <w:bCs/>
        </w:rPr>
        <w:t>grated Knowledge Translation Guiding Principles</w:t>
      </w:r>
    </w:p>
    <w:tbl>
      <w:tblPr>
        <w:tblStyle w:val="TableGrid"/>
        <w:tblW w:w="0" w:type="auto"/>
        <w:tblLayout w:type="fixed"/>
        <w:tblLook w:val="06A0" w:firstRow="1" w:lastRow="0" w:firstColumn="1" w:lastColumn="0" w:noHBand="1" w:noVBand="1"/>
      </w:tblPr>
      <w:tblGrid>
        <w:gridCol w:w="4680"/>
        <w:gridCol w:w="4680"/>
      </w:tblGrid>
      <w:tr w:rsidR="41DBEF1C" w14:paraId="72B57B17" w14:textId="77777777" w:rsidTr="0E9E93CE">
        <w:trPr>
          <w:trHeight w:val="300"/>
        </w:trPr>
        <w:tc>
          <w:tcPr>
            <w:tcW w:w="4680" w:type="dxa"/>
          </w:tcPr>
          <w:p w14:paraId="27499613" w14:textId="198504EA" w:rsidR="686197F0" w:rsidRDefault="686197F0" w:rsidP="41DBEF1C">
            <w:pPr>
              <w:rPr>
                <w:rFonts w:ascii="Times New Roman" w:eastAsia="Times New Roman" w:hAnsi="Times New Roman" w:cs="Times New Roman"/>
                <w:b/>
                <w:bCs/>
              </w:rPr>
            </w:pPr>
            <w:r w:rsidRPr="41DBEF1C">
              <w:rPr>
                <w:rFonts w:ascii="Times New Roman" w:eastAsia="Times New Roman" w:hAnsi="Times New Roman" w:cs="Times New Roman"/>
                <w:b/>
                <w:bCs/>
              </w:rPr>
              <w:t>Principle</w:t>
            </w:r>
          </w:p>
        </w:tc>
        <w:tc>
          <w:tcPr>
            <w:tcW w:w="4680" w:type="dxa"/>
          </w:tcPr>
          <w:p w14:paraId="04D2226E" w14:textId="7033539A" w:rsidR="686197F0" w:rsidRDefault="686197F0" w:rsidP="41DBEF1C">
            <w:pPr>
              <w:rPr>
                <w:rFonts w:ascii="Times New Roman" w:eastAsia="Times New Roman" w:hAnsi="Times New Roman" w:cs="Times New Roman"/>
                <w:b/>
                <w:bCs/>
              </w:rPr>
            </w:pPr>
            <w:r w:rsidRPr="41DBEF1C">
              <w:rPr>
                <w:rFonts w:ascii="Times New Roman" w:eastAsia="Times New Roman" w:hAnsi="Times New Roman" w:cs="Times New Roman"/>
                <w:b/>
                <w:bCs/>
              </w:rPr>
              <w:t>Strategy</w:t>
            </w:r>
          </w:p>
        </w:tc>
      </w:tr>
      <w:tr w:rsidR="41DBEF1C" w14:paraId="515F0D53" w14:textId="77777777" w:rsidTr="0E9E93CE">
        <w:trPr>
          <w:trHeight w:val="300"/>
        </w:trPr>
        <w:tc>
          <w:tcPr>
            <w:tcW w:w="4680" w:type="dxa"/>
          </w:tcPr>
          <w:p w14:paraId="708310C6" w14:textId="3815A54F" w:rsidR="686197F0" w:rsidRDefault="686197F0" w:rsidP="41DBEF1C">
            <w:pPr>
              <w:rPr>
                <w:rFonts w:ascii="Times New Roman" w:eastAsia="Times New Roman" w:hAnsi="Times New Roman" w:cs="Times New Roman"/>
              </w:rPr>
            </w:pPr>
            <w:r w:rsidRPr="41DBEF1C">
              <w:rPr>
                <w:rFonts w:ascii="Times New Roman" w:eastAsia="Times New Roman" w:hAnsi="Times New Roman" w:cs="Times New Roman"/>
              </w:rPr>
              <w:t>Partners develop and maintain relationships based on trust, respect, dignity, and transparency.</w:t>
            </w:r>
          </w:p>
        </w:tc>
        <w:tc>
          <w:tcPr>
            <w:tcW w:w="4680" w:type="dxa"/>
          </w:tcPr>
          <w:p w14:paraId="1D5DC95A" w14:textId="022AB1C1" w:rsidR="7043B239" w:rsidRDefault="7043B239" w:rsidP="41DBEF1C">
            <w:pPr>
              <w:rPr>
                <w:rFonts w:ascii="Times New Roman" w:eastAsia="Times New Roman" w:hAnsi="Times New Roman" w:cs="Times New Roman"/>
              </w:rPr>
            </w:pPr>
            <w:r w:rsidRPr="41DBEF1C">
              <w:rPr>
                <w:rFonts w:ascii="Times New Roman" w:eastAsia="Times New Roman" w:hAnsi="Times New Roman" w:cs="Times New Roman"/>
              </w:rPr>
              <w:t>NASCIC has been a partner with HG since its inception, and NASCIC is a partner of the IKT Guiding Principles Partnership. Over</w:t>
            </w:r>
            <w:r w:rsidR="49BDC3EB" w:rsidRPr="41DBEF1C">
              <w:rPr>
                <w:rFonts w:ascii="Times New Roman" w:eastAsia="Times New Roman" w:hAnsi="Times New Roman" w:cs="Times New Roman"/>
              </w:rPr>
              <w:t xml:space="preserve"> the</w:t>
            </w:r>
            <w:r w:rsidRPr="41DBEF1C">
              <w:rPr>
                <w:rFonts w:ascii="Times New Roman" w:eastAsia="Times New Roman" w:hAnsi="Times New Roman" w:cs="Times New Roman"/>
              </w:rPr>
              <w:t xml:space="preserve"> t</w:t>
            </w:r>
            <w:r w:rsidR="7E54F6C8" w:rsidRPr="41DBEF1C">
              <w:rPr>
                <w:rFonts w:ascii="Times New Roman" w:eastAsia="Times New Roman" w:hAnsi="Times New Roman" w:cs="Times New Roman"/>
              </w:rPr>
              <w:t>ime</w:t>
            </w:r>
            <w:r w:rsidR="100FF0BF" w:rsidRPr="41DBEF1C">
              <w:rPr>
                <w:rFonts w:ascii="Times New Roman" w:eastAsia="Times New Roman" w:hAnsi="Times New Roman" w:cs="Times New Roman"/>
              </w:rPr>
              <w:t xml:space="preserve"> they have worked together</w:t>
            </w:r>
            <w:r w:rsidR="7E54F6C8" w:rsidRPr="41DBEF1C">
              <w:rPr>
                <w:rFonts w:ascii="Times New Roman" w:eastAsia="Times New Roman" w:hAnsi="Times New Roman" w:cs="Times New Roman"/>
              </w:rPr>
              <w:t xml:space="preserve">, NASCIC and HG have </w:t>
            </w:r>
            <w:r w:rsidR="7A5449DD" w:rsidRPr="41DBEF1C">
              <w:rPr>
                <w:rFonts w:ascii="Times New Roman" w:eastAsia="Times New Roman" w:hAnsi="Times New Roman" w:cs="Times New Roman"/>
              </w:rPr>
              <w:t>developed trust through transparent and respectful communication.</w:t>
            </w:r>
            <w:r w:rsidR="661863B8" w:rsidRPr="41DBEF1C">
              <w:rPr>
                <w:rFonts w:ascii="Times New Roman" w:eastAsia="Times New Roman" w:hAnsi="Times New Roman" w:cs="Times New Roman"/>
              </w:rPr>
              <w:t xml:space="preserve"> As a trainee of HG, EG has begun developing her own partnership with NASCIC, following similar actions of transparent and respectful communication.</w:t>
            </w:r>
          </w:p>
        </w:tc>
      </w:tr>
      <w:tr w:rsidR="41DBEF1C" w14:paraId="3DA9E23D" w14:textId="77777777" w:rsidTr="0E9E93CE">
        <w:trPr>
          <w:trHeight w:val="300"/>
        </w:trPr>
        <w:tc>
          <w:tcPr>
            <w:tcW w:w="4680" w:type="dxa"/>
          </w:tcPr>
          <w:p w14:paraId="30E1DCBB" w14:textId="670CB08C" w:rsidR="686197F0" w:rsidRDefault="686197F0" w:rsidP="41DBEF1C">
            <w:pPr>
              <w:rPr>
                <w:rFonts w:ascii="Times New Roman" w:eastAsia="Times New Roman" w:hAnsi="Times New Roman" w:cs="Times New Roman"/>
              </w:rPr>
            </w:pPr>
            <w:r w:rsidRPr="41DBEF1C">
              <w:rPr>
                <w:rFonts w:ascii="Times New Roman" w:eastAsia="Times New Roman" w:hAnsi="Times New Roman" w:cs="Times New Roman"/>
              </w:rPr>
              <w:t>Partners share in decision-making.</w:t>
            </w:r>
          </w:p>
        </w:tc>
        <w:tc>
          <w:tcPr>
            <w:tcW w:w="4680" w:type="dxa"/>
          </w:tcPr>
          <w:p w14:paraId="1091817B" w14:textId="50C943D8" w:rsidR="65A2F7DE" w:rsidRDefault="65A2F7DE" w:rsidP="41DBEF1C">
            <w:pPr>
              <w:rPr>
                <w:rFonts w:ascii="Times New Roman" w:eastAsia="Times New Roman" w:hAnsi="Times New Roman" w:cs="Times New Roman"/>
              </w:rPr>
            </w:pPr>
            <w:r w:rsidRPr="41DBEF1C">
              <w:rPr>
                <w:rFonts w:ascii="Times New Roman" w:eastAsia="Times New Roman" w:hAnsi="Times New Roman" w:cs="Times New Roman"/>
              </w:rPr>
              <w:t>No single member of the partnership made any decisions regarding the project without confirmation or a check-in with all other partnership members.</w:t>
            </w:r>
          </w:p>
        </w:tc>
      </w:tr>
      <w:tr w:rsidR="41DBEF1C" w14:paraId="4FA9E947" w14:textId="77777777" w:rsidTr="0E9E93CE">
        <w:trPr>
          <w:trHeight w:val="300"/>
        </w:trPr>
        <w:tc>
          <w:tcPr>
            <w:tcW w:w="4680" w:type="dxa"/>
          </w:tcPr>
          <w:p w14:paraId="0E49135D" w14:textId="5A2AE6FD" w:rsidR="686197F0" w:rsidRDefault="686197F0" w:rsidP="41DBEF1C">
            <w:pPr>
              <w:rPr>
                <w:rFonts w:ascii="Times New Roman" w:eastAsia="Times New Roman" w:hAnsi="Times New Roman" w:cs="Times New Roman"/>
              </w:rPr>
            </w:pPr>
            <w:r w:rsidRPr="41DBEF1C">
              <w:rPr>
                <w:rFonts w:ascii="Times New Roman" w:eastAsia="Times New Roman" w:hAnsi="Times New Roman" w:cs="Times New Roman"/>
              </w:rPr>
              <w:t>Partners foster open, honest, and responsive communication.</w:t>
            </w:r>
          </w:p>
        </w:tc>
        <w:tc>
          <w:tcPr>
            <w:tcW w:w="4680" w:type="dxa"/>
          </w:tcPr>
          <w:p w14:paraId="457F91B7" w14:textId="30C22D86" w:rsidR="00936259" w:rsidRDefault="00936259" w:rsidP="41DBEF1C">
            <w:pPr>
              <w:rPr>
                <w:rFonts w:ascii="Times New Roman" w:eastAsia="Times New Roman" w:hAnsi="Times New Roman" w:cs="Times New Roman"/>
              </w:rPr>
            </w:pPr>
            <w:r w:rsidRPr="41DBEF1C">
              <w:rPr>
                <w:rFonts w:ascii="Times New Roman" w:eastAsia="Times New Roman" w:hAnsi="Times New Roman" w:cs="Times New Roman"/>
              </w:rPr>
              <w:t>All partners were aware of preferred communication methods, and external deadlines, and were mindful of these</w:t>
            </w:r>
          </w:p>
        </w:tc>
      </w:tr>
      <w:tr w:rsidR="41DBEF1C" w14:paraId="09BC60F8" w14:textId="77777777" w:rsidTr="0E9E93CE">
        <w:trPr>
          <w:trHeight w:val="300"/>
        </w:trPr>
        <w:tc>
          <w:tcPr>
            <w:tcW w:w="4680" w:type="dxa"/>
          </w:tcPr>
          <w:p w14:paraId="69B33F45" w14:textId="26625E28" w:rsidR="50730FA8" w:rsidRDefault="50730FA8" w:rsidP="41DBEF1C">
            <w:pPr>
              <w:rPr>
                <w:rFonts w:ascii="Times New Roman" w:eastAsia="Times New Roman" w:hAnsi="Times New Roman" w:cs="Times New Roman"/>
              </w:rPr>
            </w:pPr>
            <w:r w:rsidRPr="41DBEF1C">
              <w:rPr>
                <w:rFonts w:ascii="Times New Roman" w:eastAsia="Times New Roman" w:hAnsi="Times New Roman" w:cs="Times New Roman"/>
              </w:rPr>
              <w:t>Partners recognize, value, and share their diverse expertise and knowledge.</w:t>
            </w:r>
          </w:p>
        </w:tc>
        <w:tc>
          <w:tcPr>
            <w:tcW w:w="4680" w:type="dxa"/>
          </w:tcPr>
          <w:p w14:paraId="3C52A821" w14:textId="25C2B34C" w:rsidR="5535EDB1" w:rsidRDefault="5535EDB1" w:rsidP="41DBEF1C">
            <w:pPr>
              <w:rPr>
                <w:rFonts w:ascii="Times New Roman" w:eastAsia="Times New Roman" w:hAnsi="Times New Roman" w:cs="Times New Roman"/>
              </w:rPr>
            </w:pPr>
            <w:r w:rsidRPr="41DBEF1C">
              <w:rPr>
                <w:rFonts w:ascii="Times New Roman" w:eastAsia="Times New Roman" w:hAnsi="Times New Roman" w:cs="Times New Roman"/>
              </w:rPr>
              <w:t xml:space="preserve">BM, GO, and the NASCIC Community Engagement Working Group (CEWG)’s unique knowledge was incorporated throughout the project (e.g., modifying wording to align more with an American context, aligning partnership </w:t>
            </w:r>
            <w:proofErr w:type="spellStart"/>
            <w:r w:rsidRPr="41DBEF1C">
              <w:rPr>
                <w:rFonts w:ascii="Times New Roman" w:eastAsia="Times New Roman" w:hAnsi="Times New Roman" w:cs="Times New Roman"/>
              </w:rPr>
              <w:t>behaviour</w:t>
            </w:r>
            <w:r w:rsidR="4B304C6C" w:rsidRPr="41DBEF1C">
              <w:rPr>
                <w:rFonts w:ascii="Times New Roman" w:eastAsia="Times New Roman" w:hAnsi="Times New Roman" w:cs="Times New Roman"/>
              </w:rPr>
              <w:t>s</w:t>
            </w:r>
            <w:proofErr w:type="spellEnd"/>
            <w:r w:rsidRPr="41DBEF1C">
              <w:rPr>
                <w:rFonts w:ascii="Times New Roman" w:eastAsia="Times New Roman" w:hAnsi="Times New Roman" w:cs="Times New Roman"/>
              </w:rPr>
              <w:t xml:space="preserve"> with NASCIC’s preferred goals</w:t>
            </w:r>
            <w:r w:rsidR="0F95B9C0" w:rsidRPr="41DBEF1C">
              <w:rPr>
                <w:rFonts w:ascii="Times New Roman" w:eastAsia="Times New Roman" w:hAnsi="Times New Roman" w:cs="Times New Roman"/>
              </w:rPr>
              <w:t xml:space="preserve"> of their membership and SCI research more broadly</w:t>
            </w:r>
            <w:r w:rsidRPr="41DBEF1C">
              <w:rPr>
                <w:rFonts w:ascii="Times New Roman" w:eastAsia="Times New Roman" w:hAnsi="Times New Roman" w:cs="Times New Roman"/>
              </w:rPr>
              <w:t>).</w:t>
            </w:r>
          </w:p>
        </w:tc>
      </w:tr>
      <w:tr w:rsidR="41DBEF1C" w14:paraId="5B534A3A" w14:textId="77777777" w:rsidTr="0E9E93CE">
        <w:trPr>
          <w:trHeight w:val="300"/>
        </w:trPr>
        <w:tc>
          <w:tcPr>
            <w:tcW w:w="4680" w:type="dxa"/>
          </w:tcPr>
          <w:p w14:paraId="201B26EC" w14:textId="5CECEA68" w:rsidR="50730FA8" w:rsidRDefault="50730FA8" w:rsidP="41DBEF1C">
            <w:pPr>
              <w:rPr>
                <w:rFonts w:ascii="Times New Roman" w:eastAsia="Times New Roman" w:hAnsi="Times New Roman" w:cs="Times New Roman"/>
              </w:rPr>
            </w:pPr>
            <w:r w:rsidRPr="41DBEF1C">
              <w:rPr>
                <w:rFonts w:ascii="Times New Roman" w:eastAsia="Times New Roman" w:hAnsi="Times New Roman" w:cs="Times New Roman"/>
              </w:rPr>
              <w:t>Partners are flexible and receptive in tailoring the research approach to match the aims and context of the project.</w:t>
            </w:r>
          </w:p>
        </w:tc>
        <w:tc>
          <w:tcPr>
            <w:tcW w:w="4680" w:type="dxa"/>
          </w:tcPr>
          <w:p w14:paraId="2FA45668" w14:textId="5AABCE54" w:rsidR="4EDD8769" w:rsidRDefault="4EDD8769" w:rsidP="41DBEF1C">
            <w:pPr>
              <w:rPr>
                <w:rFonts w:ascii="Times New Roman" w:eastAsia="Times New Roman" w:hAnsi="Times New Roman" w:cs="Times New Roman"/>
              </w:rPr>
            </w:pPr>
            <w:r w:rsidRPr="41DBEF1C">
              <w:rPr>
                <w:rFonts w:ascii="Times New Roman" w:eastAsia="Times New Roman" w:hAnsi="Times New Roman" w:cs="Times New Roman"/>
              </w:rPr>
              <w:t>NASCIC came to HG and EG</w:t>
            </w:r>
            <w:r w:rsidR="3DD99FF4" w:rsidRPr="41DBEF1C">
              <w:rPr>
                <w:rFonts w:ascii="Times New Roman" w:eastAsia="Times New Roman" w:hAnsi="Times New Roman" w:cs="Times New Roman"/>
              </w:rPr>
              <w:t xml:space="preserve"> asking for them to evaluate the course. All decisions regarding the research approach have been in consideration of the projects aims. For example, NASCIC wanted to know if “SCI-RAC works,” so we worked with NASCIC to further define what was meant by “works</w:t>
            </w:r>
            <w:r w:rsidR="29CA9ECE" w:rsidRPr="41DBEF1C">
              <w:rPr>
                <w:rFonts w:ascii="Times New Roman" w:eastAsia="Times New Roman" w:hAnsi="Times New Roman" w:cs="Times New Roman"/>
              </w:rPr>
              <w:t>.</w:t>
            </w:r>
            <w:r w:rsidR="3DD99FF4" w:rsidRPr="41DBEF1C">
              <w:rPr>
                <w:rFonts w:ascii="Times New Roman" w:eastAsia="Times New Roman" w:hAnsi="Times New Roman" w:cs="Times New Roman"/>
              </w:rPr>
              <w:t>”</w:t>
            </w:r>
          </w:p>
        </w:tc>
      </w:tr>
      <w:tr w:rsidR="41DBEF1C" w14:paraId="3DBA13DF" w14:textId="77777777" w:rsidTr="0E9E93CE">
        <w:trPr>
          <w:trHeight w:val="300"/>
        </w:trPr>
        <w:tc>
          <w:tcPr>
            <w:tcW w:w="4680" w:type="dxa"/>
          </w:tcPr>
          <w:p w14:paraId="3296A67A" w14:textId="750AC5B9" w:rsidR="50730FA8" w:rsidRDefault="50730FA8" w:rsidP="41DBEF1C">
            <w:pPr>
              <w:rPr>
                <w:rFonts w:ascii="Times New Roman" w:eastAsia="Times New Roman" w:hAnsi="Times New Roman" w:cs="Times New Roman"/>
              </w:rPr>
            </w:pPr>
            <w:r w:rsidRPr="41DBEF1C">
              <w:rPr>
                <w:rFonts w:ascii="Times New Roman" w:eastAsia="Times New Roman" w:hAnsi="Times New Roman" w:cs="Times New Roman"/>
              </w:rPr>
              <w:t>Partners can meaningfully benefit by participating in the partnership.</w:t>
            </w:r>
          </w:p>
        </w:tc>
        <w:tc>
          <w:tcPr>
            <w:tcW w:w="4680" w:type="dxa"/>
          </w:tcPr>
          <w:p w14:paraId="3FF81980" w14:textId="6E7C0355" w:rsidR="2348372D" w:rsidRDefault="2348372D" w:rsidP="41DBEF1C">
            <w:pPr>
              <w:rPr>
                <w:rFonts w:ascii="Times New Roman" w:eastAsia="Times New Roman" w:hAnsi="Times New Roman" w:cs="Times New Roman"/>
              </w:rPr>
            </w:pPr>
            <w:r w:rsidRPr="41DBEF1C">
              <w:rPr>
                <w:rFonts w:ascii="Times New Roman" w:eastAsia="Times New Roman" w:hAnsi="Times New Roman" w:cs="Times New Roman"/>
              </w:rPr>
              <w:t xml:space="preserve">The production of a manuscript of this work is supportive in both EG and HG’s </w:t>
            </w:r>
            <w:r w:rsidR="44987117" w:rsidRPr="41DBEF1C">
              <w:rPr>
                <w:rFonts w:ascii="Times New Roman" w:eastAsia="Times New Roman" w:hAnsi="Times New Roman" w:cs="Times New Roman"/>
              </w:rPr>
              <w:t xml:space="preserve">careers. </w:t>
            </w:r>
          </w:p>
          <w:p w14:paraId="3FFE97A5" w14:textId="7B0F64BE" w:rsidR="41DBEF1C" w:rsidRDefault="41DBEF1C" w:rsidP="41DBEF1C">
            <w:pPr>
              <w:rPr>
                <w:rFonts w:ascii="Times New Roman" w:eastAsia="Times New Roman" w:hAnsi="Times New Roman" w:cs="Times New Roman"/>
              </w:rPr>
            </w:pPr>
          </w:p>
          <w:p w14:paraId="651F2FF0" w14:textId="3CD76863" w:rsidR="44987117" w:rsidRDefault="44987117" w:rsidP="41DBEF1C">
            <w:pPr>
              <w:rPr>
                <w:rFonts w:ascii="Times New Roman" w:eastAsia="Times New Roman" w:hAnsi="Times New Roman" w:cs="Times New Roman"/>
              </w:rPr>
            </w:pPr>
            <w:r w:rsidRPr="41DBEF1C">
              <w:rPr>
                <w:rFonts w:ascii="Times New Roman" w:eastAsia="Times New Roman" w:hAnsi="Times New Roman" w:cs="Times New Roman"/>
              </w:rPr>
              <w:t xml:space="preserve">NASCIC has been able to use the findings to inform future iterations of the course (e.g., the creation of SCI-RAC) and plans to use the </w:t>
            </w:r>
            <w:r w:rsidRPr="41DBEF1C">
              <w:rPr>
                <w:rFonts w:ascii="Times New Roman" w:eastAsia="Times New Roman" w:hAnsi="Times New Roman" w:cs="Times New Roman"/>
              </w:rPr>
              <w:lastRenderedPageBreak/>
              <w:t>findings to disseminate the course to more audiences.</w:t>
            </w:r>
          </w:p>
        </w:tc>
      </w:tr>
      <w:tr w:rsidR="41DBEF1C" w14:paraId="13851FEB" w14:textId="77777777" w:rsidTr="0E9E93CE">
        <w:trPr>
          <w:trHeight w:val="300"/>
        </w:trPr>
        <w:tc>
          <w:tcPr>
            <w:tcW w:w="4680" w:type="dxa"/>
          </w:tcPr>
          <w:p w14:paraId="5D8C1214" w14:textId="061762BD" w:rsidR="50730FA8" w:rsidRDefault="50730FA8" w:rsidP="41DBEF1C">
            <w:pPr>
              <w:rPr>
                <w:rFonts w:ascii="Times New Roman" w:eastAsia="Times New Roman" w:hAnsi="Times New Roman" w:cs="Times New Roman"/>
              </w:rPr>
            </w:pPr>
            <w:r w:rsidRPr="41DBEF1C">
              <w:rPr>
                <w:rFonts w:ascii="Times New Roman" w:eastAsia="Times New Roman" w:hAnsi="Times New Roman" w:cs="Times New Roman"/>
              </w:rPr>
              <w:lastRenderedPageBreak/>
              <w:t>Partners address ethical considerations.</w:t>
            </w:r>
          </w:p>
        </w:tc>
        <w:tc>
          <w:tcPr>
            <w:tcW w:w="4680" w:type="dxa"/>
          </w:tcPr>
          <w:p w14:paraId="0D2F0C6C" w14:textId="5E42045E" w:rsidR="5B8D8745" w:rsidRDefault="5B8D8745" w:rsidP="41DBEF1C">
            <w:pPr>
              <w:rPr>
                <w:rFonts w:ascii="Times New Roman" w:eastAsia="Times New Roman" w:hAnsi="Times New Roman" w:cs="Times New Roman"/>
              </w:rPr>
            </w:pPr>
            <w:r w:rsidRPr="41DBEF1C">
              <w:rPr>
                <w:rFonts w:ascii="Times New Roman" w:eastAsia="Times New Roman" w:hAnsi="Times New Roman" w:cs="Times New Roman"/>
              </w:rPr>
              <w:t>Intentional decisions were made to protect the anonymity of participants by choosing to n</w:t>
            </w:r>
            <w:r w:rsidR="1BB67587" w:rsidRPr="41DBEF1C">
              <w:rPr>
                <w:rFonts w:ascii="Times New Roman" w:eastAsia="Times New Roman" w:hAnsi="Times New Roman" w:cs="Times New Roman"/>
              </w:rPr>
              <w:t>ot disaggregate participants’ multiple roles or analyze data from an intersectional lens.</w:t>
            </w:r>
          </w:p>
        </w:tc>
      </w:tr>
      <w:tr w:rsidR="41DBEF1C" w14:paraId="5E1AB29A" w14:textId="77777777" w:rsidTr="0E9E93CE">
        <w:trPr>
          <w:trHeight w:val="300"/>
        </w:trPr>
        <w:tc>
          <w:tcPr>
            <w:tcW w:w="4680" w:type="dxa"/>
          </w:tcPr>
          <w:p w14:paraId="51233C57" w14:textId="4816CC89" w:rsidR="7A5666C3" w:rsidRDefault="7A5666C3" w:rsidP="41DBEF1C">
            <w:pPr>
              <w:rPr>
                <w:rFonts w:ascii="Times New Roman" w:eastAsia="Times New Roman" w:hAnsi="Times New Roman" w:cs="Times New Roman"/>
              </w:rPr>
            </w:pPr>
            <w:r w:rsidRPr="41DBEF1C">
              <w:rPr>
                <w:rFonts w:ascii="Times New Roman" w:eastAsia="Times New Roman" w:hAnsi="Times New Roman" w:cs="Times New Roman"/>
              </w:rPr>
              <w:t>Partners respect the practical considerations and financial constraints of all partners.</w:t>
            </w:r>
          </w:p>
        </w:tc>
        <w:tc>
          <w:tcPr>
            <w:tcW w:w="4680" w:type="dxa"/>
          </w:tcPr>
          <w:p w14:paraId="524D608F" w14:textId="471604BA" w:rsidR="3E7C1245" w:rsidRDefault="3E7C1245" w:rsidP="41DBEF1C">
            <w:pPr>
              <w:rPr>
                <w:rFonts w:ascii="Times New Roman" w:eastAsia="Times New Roman" w:hAnsi="Times New Roman" w:cs="Times New Roman"/>
              </w:rPr>
            </w:pPr>
            <w:r w:rsidRPr="0E9E93CE">
              <w:rPr>
                <w:rFonts w:ascii="Times New Roman" w:eastAsia="Times New Roman" w:hAnsi="Times New Roman" w:cs="Times New Roman"/>
              </w:rPr>
              <w:t>Given the partnership’s financial constraints, a mutual decision was made to not examine the adoption, implementation (and associated maintenance) domain</w:t>
            </w:r>
            <w:r w:rsidR="006E0A39">
              <w:rPr>
                <w:rFonts w:ascii="Times New Roman" w:eastAsia="Times New Roman" w:hAnsi="Times New Roman" w:cs="Times New Roman"/>
              </w:rPr>
              <w:t>s.</w:t>
            </w:r>
            <w:r w:rsidRPr="0E9E93CE">
              <w:rPr>
                <w:rFonts w:ascii="Times New Roman" w:eastAsia="Times New Roman" w:hAnsi="Times New Roman" w:cs="Times New Roman"/>
              </w:rPr>
              <w:t xml:space="preserve"> </w:t>
            </w:r>
          </w:p>
        </w:tc>
      </w:tr>
    </w:tbl>
    <w:p w14:paraId="73AEFFC7" w14:textId="7D7151FA" w:rsidR="41DBEF1C" w:rsidRDefault="41DBEF1C" w:rsidP="41DBEF1C">
      <w:pPr>
        <w:rPr>
          <w:rFonts w:ascii="Times New Roman" w:eastAsia="Times New Roman" w:hAnsi="Times New Roman" w:cs="Times New Roman"/>
          <w:b/>
          <w:bCs/>
        </w:rPr>
      </w:pPr>
    </w:p>
    <w:p w14:paraId="19776460" w14:textId="77777777" w:rsidR="002B7348" w:rsidRPr="002B7348" w:rsidRDefault="002B7348" w:rsidP="002B7348">
      <w:pPr>
        <w:spacing w:after="0" w:line="480" w:lineRule="auto"/>
        <w:rPr>
          <w:rFonts w:ascii="Times New Roman" w:eastAsia="Times New Roman" w:hAnsi="Times New Roman" w:cs="Times New Roman"/>
          <w:b/>
          <w:bCs/>
        </w:rPr>
      </w:pPr>
      <w:r w:rsidRPr="002B7348">
        <w:rPr>
          <w:rFonts w:ascii="Times New Roman" w:eastAsia="Times New Roman" w:hAnsi="Times New Roman" w:cs="Times New Roman"/>
          <w:b/>
          <w:bCs/>
        </w:rPr>
        <w:t>Philosophical Assumptions and Partnership Approach</w:t>
      </w:r>
    </w:p>
    <w:p w14:paraId="14526363" w14:textId="0DE3867D" w:rsidR="002B7348" w:rsidRPr="002B7348" w:rsidRDefault="002B7348" w:rsidP="002B7348">
      <w:pPr>
        <w:spacing w:after="0" w:line="480" w:lineRule="auto"/>
        <w:jc w:val="both"/>
        <w:rPr>
          <w:rFonts w:ascii="Times New Roman" w:eastAsia="Times New Roman" w:hAnsi="Times New Roman" w:cs="Times New Roman"/>
        </w:rPr>
      </w:pPr>
      <w:r w:rsidRPr="002B7348">
        <w:rPr>
          <w:rFonts w:ascii="Times New Roman" w:eastAsia="Times New Roman" w:hAnsi="Times New Roman" w:cs="Times New Roman"/>
          <w:b/>
          <w:bCs/>
        </w:rPr>
        <w:tab/>
      </w:r>
      <w:r w:rsidRPr="002B7348">
        <w:rPr>
          <w:rFonts w:ascii="Times New Roman" w:eastAsia="Times New Roman" w:hAnsi="Times New Roman" w:cs="Times New Roman"/>
        </w:rPr>
        <w:t xml:space="preserve">This study was guided by critical realism </w:t>
      </w:r>
      <w:r w:rsidRPr="002B7348">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{"citationID":"p1QBTo13","properties":{"formattedCitation":"(1,2)","plainCitation":"(1,2)","noteIndex":0},"citationItems":[{"id":725,"uris":["http://zotero.org/users/14503817/items/VAAICB3K"],"itemData":{"id":725,"type":"article-journal","abstract":"M c E V O Y P . &amp; R I C H A R D S D. ( 2 0 0 3 ) Journal of Advanced Nursing 43(4), 411–420 Critical realism: a way forward for evaluation research in nursing? Background. Critical realism is a relatively new philosophical perspective that combines a realist ontology with a relativist epistemology in subscribing to a form of ‘robust’ relativism. The potential beneﬁts of adopting a critical realist approach are considered in two areas of evaluation research: theory-driven programme evaluation and policy evaluation. Aim. The aim of the paper is to identify the main features of critical realism and explore its potential as a philosophical framework in the ﬁeld of evaluation research. Conclusion. We argue that critical realism provides a coherent framework for evaluation research that is based on the understanding of causal mechanisms. This is particularly important for frontline services seeking to use evidence-based interventions, as interventions need to be properly understood if they are to be used effectively in the context of clinical practice. Critical realism can also add depth to policy analysis. However, there is a potential for critical realists to drift beyond the boundary that separates scientiﬁc knowledge from speculative theory when making recommendations about the best course of action to follow.","container-title":"Journal of Advanced Nursing","DOI":"10.1046/j.1365-2648.2003.02730.x","ISSN":"0309-2402, 1365-2648","issue":"4","journalAbbreviation":"Journal of Advanced Nursing","language":"en","license":"http://onlinelibrary.wiley.com/termsAndConditions#vor","page":"411-420","source":"DOI.org (Crossref)","title":"Critical realism: a way forward for evaluation research in nursing?","title-short":"Critical realism","volume":"43","author":[{"family":"McEvoy","given":"Phil"},{"family":"Richards","given":"David"}],"issued":{"date-parts":[["2003",8]]}}},{"id":798,"uris":["http://zotero.org/users/14503817/items/GAYMIKL4"],"itemData":{"id":798,"type":"book","event-place":"London","number-of-pages":"360","publisher":"Routledge","publisher-place":"London","title":"Scientific Realism &amp; Human Emancipation","author":[{"family":"Bhaskar","given":"Roy"}],"issued":{"date-parts":[["2009"]]}}}],"schema":"https://github.com/citation-style-language/schema/raw/master/csl-citation.json"} </w:instrText>
      </w:r>
      <w:r w:rsidRPr="002B7348">
        <w:rPr>
          <w:rFonts w:ascii="Times New Roman" w:eastAsia="Times New Roman" w:hAnsi="Times New Roman" w:cs="Times New Roman"/>
        </w:rPr>
        <w:fldChar w:fldCharType="separate"/>
      </w:r>
      <w:r>
        <w:rPr>
          <w:rFonts w:ascii="Times New Roman" w:eastAsia="Times New Roman" w:hAnsi="Times New Roman" w:cs="Times New Roman"/>
          <w:noProof/>
        </w:rPr>
        <w:t>(1,2)</w:t>
      </w:r>
      <w:r w:rsidRPr="002B7348">
        <w:rPr>
          <w:rFonts w:ascii="Times New Roman" w:eastAsia="Times New Roman" w:hAnsi="Times New Roman" w:cs="Times New Roman"/>
        </w:rPr>
        <w:fldChar w:fldCharType="end"/>
      </w:r>
      <w:r w:rsidRPr="002B7348">
        <w:rPr>
          <w:rFonts w:ascii="Times New Roman" w:eastAsia="Times New Roman" w:hAnsi="Times New Roman" w:cs="Times New Roman"/>
        </w:rPr>
        <w:t xml:space="preserve">. Aligning with ontological realism, we sought objective truths. While seeking these objective truths, we were conscious that the answers to these truths were shaped by unobservable and context-dependent influences </w:t>
      </w:r>
      <w:r w:rsidRPr="002B7348">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{"citationID":"18MfH6Mo","properties":{"formattedCitation":"(1,3)","plainCitation":"(1,3)","noteIndex":0},"citationItems":[{"id":725,"uris":["http://zotero.org/users/14503817/items/VAAICB3K"],"itemData":{"id":725,"type":"article-journal","abstract":"M c E V O Y P . &amp; R I C H A R D S D. ( 2 0 0 3 ) Journal of Advanced Nursing 43(4), 411–420 Critical realism: a way forward for evaluation research in nursing? Background. Critical realism is a relatively new philosophical perspective that combines a realist ontology with a relativist epistemology in subscribing to a form of ‘robust’ relativism. The potential beneﬁts of adopting a critical realist approach are considered in two areas of evaluation research: theory-driven programme evaluation and policy evaluation. Aim. The aim of the paper is to identify the main features of critical realism and explore its potential as a philosophical framework in the ﬁeld of evaluation research. Conclusion. We argue that critical realism provides a coherent framework for evaluation research that is based on the understanding of causal mechanisms. This is particularly important for frontline services seeking to use evidence-based interventions, as interventions need to be properly understood if they are to be used effectively in the context of clinical practice. Critical realism can also add depth to policy analysis. However, there is a potential for critical realists to drift beyond the boundary that separates scientiﬁc knowledge from speculative theory when making recommendations about the best course of action to follow.","container-title":"Journal of Advanced Nursing","DOI":"10.1046/j.1365-2648.2003.02730.x","ISSN":"0309-2402, 1365-2648","issue":"4","journalAbbreviation":"Journal of Advanced Nursing","language":"en","license":"http://onlinelibrary.wiley.com/termsAndConditions#vor","page":"411-420","source":"DOI.org (Crossref)","title":"Critical realism: a way forward for evaluation research in nursing?","title-short":"Critical realism","volume":"43","author":[{"family":"McEvoy","given":"Phil"},{"family":"Richards","given":"David"}],"issued":{"date-parts":[["2003",8]]}}},{"id":773,"uris":["http://zotero.org/users/14503817/items/KGHXETLH"],"itemData":{"id":773,"type":"article-journal","abstract":"Critical realist thought has theorised convincingly that epistemic relativism is constellationally embedded in ontological realism which in turn necessitates judgemental rationality. In social science, judgemental rationality involves acting upon plausible decisions about competing points of view. However, the tools for doing this are, as yet, under-articulated. This paper addresses this absence by articulating triangulation and depth-reﬂexivity as two tools for doing judgemental rationality in empirical research. It draws on the experiences of a diverse team working on an international comparative research project on conversion to Islam in prisons. It demonstrates how epistemic and relational gaps between researchers and research subjects can be bridged by mobilising the ‘laminated’ properties and personal attributes of a diverse research team that factors in attributes that are absent as well as those present. The biographical experiences of the team are analyzed in a variety of intersecting dimensions: faith, ethnicity/ethno-culture, gender, class and professionality.","container-title":"Journal of Critical Realism","DOI":"10.1080/14767430.2021.1992735","ISSN":"1476-7430, 1572-5138","issue":"1","journalAbbreviation":"Journal of Critical Realism","language":"en","page":"25-45","source":"DOI.org (Crossref)","title":"Doing ‘judgemental rationality’ in empirical research: the importance of depth-reflexivity when researching in prison","title-short":"Doing ‘judgemental rationality’ in empirical research","volume":"21","author":[{"family":"Quraishi","given":"Muzammil"},{"family":"Irfan","given":"Lamia"},{"family":"Schneuwly Purdie","given":"Mallory"},{"family":"Wilkinson","given":"Matthew L. N."}],"issued":{"date-parts":[["2022",1,1]]}}}],"schema":"https://github.com/citation-style-language/schema/raw/master/csl-citation.json"} </w:instrText>
      </w:r>
      <w:r w:rsidRPr="002B7348">
        <w:rPr>
          <w:rFonts w:ascii="Times New Roman" w:eastAsia="Times New Roman" w:hAnsi="Times New Roman" w:cs="Times New Roman"/>
        </w:rPr>
        <w:fldChar w:fldCharType="separate"/>
      </w:r>
      <w:r>
        <w:rPr>
          <w:rFonts w:ascii="Times New Roman" w:eastAsia="Times New Roman" w:hAnsi="Times New Roman" w:cs="Times New Roman"/>
          <w:noProof/>
        </w:rPr>
        <w:t>(1,3)</w:t>
      </w:r>
      <w:r w:rsidRPr="002B7348">
        <w:rPr>
          <w:rFonts w:ascii="Times New Roman" w:eastAsia="Times New Roman" w:hAnsi="Times New Roman" w:cs="Times New Roman"/>
        </w:rPr>
        <w:fldChar w:fldCharType="end"/>
      </w:r>
      <w:r w:rsidRPr="002B7348">
        <w:rPr>
          <w:rFonts w:ascii="Times New Roman" w:eastAsia="Times New Roman" w:hAnsi="Times New Roman" w:cs="Times New Roman"/>
        </w:rPr>
        <w:t xml:space="preserve">. For example, while answering </w:t>
      </w:r>
      <w:r w:rsidRPr="002B7348">
        <w:rPr>
          <w:rFonts w:ascii="Times New Roman" w:eastAsia="Times New Roman" w:hAnsi="Times New Roman" w:cs="Times New Roman"/>
          <w:i/>
          <w:iCs/>
        </w:rPr>
        <w:t>who</w:t>
      </w:r>
      <w:r w:rsidRPr="002B7348">
        <w:rPr>
          <w:rFonts w:ascii="Times New Roman" w:eastAsia="Times New Roman" w:hAnsi="Times New Roman" w:cs="Times New Roman"/>
        </w:rPr>
        <w:t xml:space="preserve"> participated in the course, we also wanted to highlight who was </w:t>
      </w:r>
      <w:r w:rsidRPr="002B7348">
        <w:rPr>
          <w:rFonts w:ascii="Times New Roman" w:eastAsia="Times New Roman" w:hAnsi="Times New Roman" w:cs="Times New Roman"/>
          <w:i/>
          <w:iCs/>
        </w:rPr>
        <w:t>not</w:t>
      </w:r>
      <w:r w:rsidRPr="002B7348">
        <w:rPr>
          <w:rFonts w:ascii="Times New Roman" w:eastAsia="Times New Roman" w:hAnsi="Times New Roman" w:cs="Times New Roman"/>
        </w:rPr>
        <w:t xml:space="preserve"> accessing or benefitting from the course and within our means, sought to understand why that may be. Methodologically, we used quantitative surveys to seek objective truths about SCI-RAC, however, intentional decisions throughout the study were made to try and understand these truths (e.g., presentation of disaggregated demographic and injury data, the use of open-ended questions throughout the survey).</w:t>
      </w:r>
    </w:p>
    <w:p w14:paraId="37BB9366" w14:textId="3E814D31" w:rsidR="002B7348" w:rsidRDefault="002B7348" w:rsidP="002B7348">
      <w:pPr>
        <w:spacing w:after="0" w:line="480" w:lineRule="auto"/>
        <w:jc w:val="both"/>
        <w:rPr>
          <w:rFonts w:ascii="Times New Roman" w:eastAsia="Times New Roman" w:hAnsi="Times New Roman" w:cs="Times New Roman"/>
        </w:rPr>
      </w:pPr>
      <w:r w:rsidRPr="002B7348">
        <w:rPr>
          <w:rFonts w:ascii="Times New Roman" w:eastAsia="Times New Roman" w:hAnsi="Times New Roman" w:cs="Times New Roman"/>
        </w:rPr>
        <w:tab/>
        <w:t xml:space="preserve">Moreover, this study was conducted in partnership using an integrated knowledge translation (IKT) approach, meaning NASCIC representatives was engaged at the “right” times throughout the research process </w:t>
      </w:r>
      <w:r w:rsidRPr="002B7348">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{"citationID":"OEzQaNp6","properties":{"formattedCitation":"(4)","plainCitation":"(4)","noteIndex":0},"citationItems":[{"id":112,"uris":["http://zotero.org/users/14503817/items/UZPEDYKW"],"itemData":{"id":112,"type":"article-journal","abstract":"Objective\nTo address a gap between spinal cord injury (SCI) research and practice by rigorously and systematically co-developing integrated knowledge translation (IKT) guiding principles for conducting and disseminating SCI research in partnership with research users.\nDesign\nThe process was guided by the internationally accepted The Appraisal of Guidelines for REsearch &amp; Evaluation (AGREE) II Instrument for evaluating the development of clinical practice guidelines.\nSetting\nNorth American SCI research system (ie, SCI researchers, research users, funders).\nParticipants\nThe multidisciplinary expert panel (n=17) and end users (n=35) included individuals from a North American partnership of SCI researchers, research users, and funders who have expertise in research partnerships.\nInterventions\nNot applicable.\nMain Outcome Measures\nClarity, usefulness, and appropriateness of the principles.\nResults\nData regarding 125 principles of partnered research were systematically collected from 4 sources (review of reviews, scoping review, interviews, Delphi consensus exercise). A multidisciplinary expert panel held a 2-day meeting to establish consensus, select guiding principles, and draft the guidance. The panel reached 100% consensus on the principles and guidance document. The final document includes a preamble, 8 guiding principles, and a glossary. Survey data showed that the principles and guidance document were perceived by potential end users as clear, useful, and appropriate.\nConclusions\nThe IKT Guiding Principles represent the first rigorously co-developed, consensus-based guidance to support meaningful SCI research partnerships. The principles are a foundational tool with the potential to improve the relevance and impact of SCI research, mitigate tokenism, and advance the science of IKT.","container-title":"Archives of Physical Medicine and Rehabilitation","DOI":"10.1016/j.apmr.2020.09.393","ISSN":"0003-9993","issue":"4","journalAbbreviation":"Archives of Physical Medicine and Rehabilitation","language":"en","page":"656-663","source":"ScienceDirect","title":"Integrated Knowledge Translation Guiding Principles for Conducting and Disseminating Spinal Cord Injury Research in Partnership","volume":"102","author":[{"family":"Gainforth","given":"Heather L."},{"family":"Hoekstra","given":"Femke"},{"family":"McKay","given":"Rhyann"},{"family":"McBride","given":"Christopher B."},{"family":"Sweet","given":"Shane N."},{"family":"Martin Ginis","given":"Kathleen A."},{"family":"Anderson","given":"Kim"},{"family":"Chernesky","given":"John"},{"family":"Clarke","given":"Teren"},{"family":"Forwell","given":"Susan"},{"family":"Maffin","given":"Jocelyn"},{"family":"McPhail","given":"Lowell T."},{"family":"Mortenson","given":"W. Ben"},{"family":"Scarrow","given":"Gayle"},{"family":"Schaefer","given":"Lee"},{"family":"Sibley","given":"Kathryn M."},{"family":"Athanasopoulos","given":"Peter"},{"family":"Willms","given":"Rhonda"}],"issued":{"date-parts":[["2021",4,1]]}}}],"schema":"https://github.com/citation-style-language/schema/raw/master/csl-citation.json"} </w:instrText>
      </w:r>
      <w:r w:rsidRPr="002B7348">
        <w:rPr>
          <w:rFonts w:ascii="Times New Roman" w:eastAsia="Times New Roman" w:hAnsi="Times New Roman" w:cs="Times New Roman"/>
        </w:rPr>
        <w:fldChar w:fldCharType="separate"/>
      </w:r>
      <w:r>
        <w:rPr>
          <w:rFonts w:ascii="Times New Roman" w:eastAsia="Times New Roman" w:hAnsi="Times New Roman" w:cs="Times New Roman"/>
          <w:noProof/>
        </w:rPr>
        <w:t>(4)</w:t>
      </w:r>
      <w:r w:rsidRPr="002B7348">
        <w:rPr>
          <w:rFonts w:ascii="Times New Roman" w:eastAsia="Times New Roman" w:hAnsi="Times New Roman" w:cs="Times New Roman"/>
        </w:rPr>
        <w:fldChar w:fldCharType="end"/>
      </w:r>
      <w:r w:rsidRPr="002B7348">
        <w:rPr>
          <w:rFonts w:ascii="Times New Roman" w:eastAsia="Times New Roman" w:hAnsi="Times New Roman" w:cs="Times New Roman"/>
        </w:rPr>
        <w:t>. Our partnership mutually decided on the right times for NASCIC to be engaged (e.g., selecting appropriate outcome measures), and strived to follow the Integrated Knowledge Translation Guiding Principles for Conducting and Disseminating SCI Research in Partnership (IKT Guiding Principles)</w:t>
      </w:r>
      <w:r w:rsidRPr="002B7348">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{"citationID":"vp93PNrE","properties":{"formattedCitation":"(4)","plainCitation":"(4)","noteIndex":0},"citationItems":[{"id":112,"uris":["http://zotero.org/users/14503817/items/UZPEDYKW"],"itemData":{"id":112,"type":"article-journal","abstract":"Objective\nTo address a gap between spinal cord injury (SCI) research and practice by rigorously and systematically co-developing integrated knowledge translation (IKT) guiding principles for conducting and disseminating SCI research in partnership with research users.\nDesign\nThe process was guided by the internationally accepted The Appraisal of Guidelines for REsearch &amp; Evaluation (AGREE) II Instrument for evaluating the development of clinical practice guidelines.\nSetting\nNorth American SCI research system (ie, SCI researchers, research users, funders).\nParticipants\nThe multidisciplinary expert panel (n=17) and end users (n=35) included individuals from a North American partnership of SCI researchers, research users, and funders who have expertise in research partnerships.\nInterventions\nNot applicable.\nMain Outcome Measures\nClarity, usefulness, and appropriateness of the principles.\nResults\nData regarding 125 principles of partnered research were systematically collected from 4 sources (review of reviews, scoping review, interviews, Delphi consensus exercise). A multidisciplinary expert panel held a 2-day meeting to establish consensus, select guiding principles, and draft the guidance. The panel reached 100% consensus on the principles and guidance document. The final document includes a preamble, 8 guiding principles, and a glossary. Survey data showed that the principles and guidance document were perceived by potential end users as clear, useful, and appropriate.\nConclusions\nThe IKT Guiding Principles represent the first rigorously co-developed, consensus-based guidance to support meaningful SCI research partnerships. The principles are a foundational tool with the potential to improve the relevance and impact of SCI research, mitigate tokenism, and advance the science of IKT.","container-title":"Archives of Physical Medicine and Rehabilitation","DOI":"10.1016/j.apmr.2020.09.393","ISSN":"0003-9993","issue":"4","journalAbbreviation":"Archives of Physical Medicine and Rehabilitation","language":"en","page":"656-663","source":"ScienceDirect","title":"Integrated Knowledge Translation Guiding Principles for Conducting and Disseminating Spinal Cord Injury Research in Partnership","volume":"102","author":[{"family":"Gainforth","given":"Heather L."},{"family":"Hoekstra","given":"Femke"},{"family":"McKay","given":"Rhyann"},{"family":"McBride","given":"Christopher B."},{"family":"Sweet","given":"Shane N."},{"family":"Martin Ginis","given":"Kathleen A."},{"family":"Anderson","given":"Kim"},{"family":"Chernesky","given":"John"},{"family":"Clarke","given":"Teren"},{"family":"Forwell","given":"Susan"},{"family":"Maffin","given":"Jocelyn"},{"family":"McPhail","given":"Lowell T."},{"family":"Mortenson","given":"W. Ben"},{"family":"Scarrow","given":"Gayle"},{"family":"Schaefer","given":"Lee"},{"family":"Sibley","given":"Kathryn M."},{"family":"Athanasopoulos","given":"Peter"},{"family":"Willms","given":"Rhonda"}],"issued":{"date-parts":[["2021",4,1]]}}}],"schema":"https://github.com/citation-style-language/schema/raw/master/csl-citation.json"} </w:instrText>
      </w:r>
      <w:r w:rsidRPr="002B7348">
        <w:rPr>
          <w:rFonts w:ascii="Times New Roman" w:eastAsia="Times New Roman" w:hAnsi="Times New Roman" w:cs="Times New Roman"/>
        </w:rPr>
        <w:fldChar w:fldCharType="separate"/>
      </w:r>
      <w:r>
        <w:rPr>
          <w:rFonts w:ascii="Times New Roman" w:eastAsia="Times New Roman" w:hAnsi="Times New Roman" w:cs="Times New Roman"/>
          <w:noProof/>
        </w:rPr>
        <w:t>(4)</w:t>
      </w:r>
      <w:r w:rsidRPr="002B7348">
        <w:rPr>
          <w:rFonts w:ascii="Times New Roman" w:eastAsia="Times New Roman" w:hAnsi="Times New Roman" w:cs="Times New Roman"/>
        </w:rPr>
        <w:fldChar w:fldCharType="end"/>
      </w:r>
      <w:r w:rsidRPr="002B7348">
        <w:rPr>
          <w:rFonts w:ascii="Times New Roman" w:eastAsia="Times New Roman" w:hAnsi="Times New Roman" w:cs="Times New Roman"/>
        </w:rPr>
        <w:t>. Supplementary File 1 outlines how NASCIC was engaged throughout the evaluation and strategies that were adopted to try and follow the IKT Guiding Principles.</w:t>
      </w:r>
    </w:p>
    <w:p w14:paraId="7C1587C1" w14:textId="49498753" w:rsidR="002B7348" w:rsidRDefault="002B7348" w:rsidP="41DBEF1C">
      <w:pPr>
        <w:rPr>
          <w:rFonts w:ascii="Times New Roman" w:eastAsia="Times New Roman" w:hAnsi="Times New Roman" w:cs="Times New Roman"/>
          <w:b/>
          <w:bCs/>
        </w:rPr>
      </w:pPr>
      <w:r>
        <w:rPr>
          <w:rFonts w:ascii="Times New Roman" w:eastAsia="Times New Roman" w:hAnsi="Times New Roman" w:cs="Times New Roman"/>
          <w:b/>
          <w:bCs/>
        </w:rPr>
        <w:lastRenderedPageBreak/>
        <w:t>References</w:t>
      </w:r>
    </w:p>
    <w:p w14:paraId="4CFACAD9" w14:textId="77777777" w:rsidR="002B7348" w:rsidRPr="002B7348" w:rsidRDefault="002B7348" w:rsidP="002B7348">
      <w:pPr>
        <w:pStyle w:val="Bibliography"/>
        <w:rPr>
          <w:rFonts w:ascii="Times New Roman" w:hAnsi="Times New Roman" w:cs="Times New Roman"/>
        </w:rPr>
      </w:pPr>
      <w:r>
        <w:rPr>
          <w:rFonts w:eastAsia="Times New Roman"/>
          <w:b/>
          <w:bCs/>
        </w:rPr>
        <w:fldChar w:fldCharType="begin"/>
      </w:r>
      <w:r>
        <w:rPr>
          <w:rFonts w:eastAsia="Times New Roman"/>
          <w:b/>
          <w:bCs/>
        </w:rPr>
        <w:instrText xml:space="preserve"> ADDIN ZOTERO_BIBL {"uncited":[],"omitted":[],"custom":[]} CSL_BIBLIOGRAPHY </w:instrText>
      </w:r>
      <w:r>
        <w:rPr>
          <w:rFonts w:eastAsia="Times New Roman"/>
          <w:b/>
          <w:bCs/>
        </w:rPr>
        <w:fldChar w:fldCharType="separate"/>
      </w:r>
      <w:r w:rsidRPr="002B7348">
        <w:rPr>
          <w:rFonts w:ascii="Times New Roman" w:hAnsi="Times New Roman" w:cs="Times New Roman"/>
        </w:rPr>
        <w:t>1.</w:t>
      </w:r>
      <w:r w:rsidRPr="002B7348">
        <w:rPr>
          <w:rFonts w:ascii="Times New Roman" w:hAnsi="Times New Roman" w:cs="Times New Roman"/>
        </w:rPr>
        <w:tab/>
        <w:t xml:space="preserve">McEvoy P, Richards D. Critical realism: a way forward for evaluation research in nursing? J Adv </w:t>
      </w:r>
      <w:proofErr w:type="spellStart"/>
      <w:r w:rsidRPr="002B7348">
        <w:rPr>
          <w:rFonts w:ascii="Times New Roman" w:hAnsi="Times New Roman" w:cs="Times New Roman"/>
        </w:rPr>
        <w:t>Nurs</w:t>
      </w:r>
      <w:proofErr w:type="spellEnd"/>
      <w:r w:rsidRPr="002B7348">
        <w:rPr>
          <w:rFonts w:ascii="Times New Roman" w:hAnsi="Times New Roman" w:cs="Times New Roman"/>
        </w:rPr>
        <w:t xml:space="preserve">. 2003 Aug;43(4):411–20. </w:t>
      </w:r>
    </w:p>
    <w:p w14:paraId="4C44C910" w14:textId="77777777" w:rsidR="002B7348" w:rsidRPr="002B7348" w:rsidRDefault="002B7348" w:rsidP="002B7348">
      <w:pPr>
        <w:pStyle w:val="Bibliography"/>
        <w:rPr>
          <w:rFonts w:ascii="Times New Roman" w:hAnsi="Times New Roman" w:cs="Times New Roman"/>
        </w:rPr>
      </w:pPr>
      <w:r w:rsidRPr="002B7348">
        <w:rPr>
          <w:rFonts w:ascii="Times New Roman" w:hAnsi="Times New Roman" w:cs="Times New Roman"/>
        </w:rPr>
        <w:t>2.</w:t>
      </w:r>
      <w:r w:rsidRPr="002B7348">
        <w:rPr>
          <w:rFonts w:ascii="Times New Roman" w:hAnsi="Times New Roman" w:cs="Times New Roman"/>
        </w:rPr>
        <w:tab/>
        <w:t xml:space="preserve">Bhaskar R. Scientific Realism &amp; Human Emancipation. London: Routledge; 2009. 360 p. </w:t>
      </w:r>
    </w:p>
    <w:p w14:paraId="05E249AD" w14:textId="77777777" w:rsidR="002B7348" w:rsidRPr="002B7348" w:rsidRDefault="002B7348" w:rsidP="002B7348">
      <w:pPr>
        <w:pStyle w:val="Bibliography"/>
        <w:rPr>
          <w:rFonts w:ascii="Times New Roman" w:hAnsi="Times New Roman" w:cs="Times New Roman"/>
        </w:rPr>
      </w:pPr>
      <w:r w:rsidRPr="002B7348">
        <w:rPr>
          <w:rFonts w:ascii="Times New Roman" w:hAnsi="Times New Roman" w:cs="Times New Roman"/>
        </w:rPr>
        <w:t>3.</w:t>
      </w:r>
      <w:r w:rsidRPr="002B7348">
        <w:rPr>
          <w:rFonts w:ascii="Times New Roman" w:hAnsi="Times New Roman" w:cs="Times New Roman"/>
        </w:rPr>
        <w:tab/>
        <w:t xml:space="preserve">Quraishi M, Irfan L, </w:t>
      </w:r>
      <w:proofErr w:type="spellStart"/>
      <w:r w:rsidRPr="002B7348">
        <w:rPr>
          <w:rFonts w:ascii="Times New Roman" w:hAnsi="Times New Roman" w:cs="Times New Roman"/>
        </w:rPr>
        <w:t>Schneuwly</w:t>
      </w:r>
      <w:proofErr w:type="spellEnd"/>
      <w:r w:rsidRPr="002B7348">
        <w:rPr>
          <w:rFonts w:ascii="Times New Roman" w:hAnsi="Times New Roman" w:cs="Times New Roman"/>
        </w:rPr>
        <w:t xml:space="preserve"> Purdie M, Wilkinson MLN. Doing ‘</w:t>
      </w:r>
      <w:proofErr w:type="spellStart"/>
      <w:r w:rsidRPr="002B7348">
        <w:rPr>
          <w:rFonts w:ascii="Times New Roman" w:hAnsi="Times New Roman" w:cs="Times New Roman"/>
        </w:rPr>
        <w:t>judgemental</w:t>
      </w:r>
      <w:proofErr w:type="spellEnd"/>
      <w:r w:rsidRPr="002B7348">
        <w:rPr>
          <w:rFonts w:ascii="Times New Roman" w:hAnsi="Times New Roman" w:cs="Times New Roman"/>
        </w:rPr>
        <w:t xml:space="preserve"> rationality’ in empirical research: the importance of depth-reflexivity when researching in prison. J Crit Realism. 2022 Jan 1;21(1):25–45. </w:t>
      </w:r>
    </w:p>
    <w:p w14:paraId="553123AD" w14:textId="77777777" w:rsidR="002B7348" w:rsidRPr="002B7348" w:rsidRDefault="002B7348" w:rsidP="002B7348">
      <w:pPr>
        <w:pStyle w:val="Bibliography"/>
        <w:rPr>
          <w:rFonts w:ascii="Times New Roman" w:hAnsi="Times New Roman" w:cs="Times New Roman"/>
        </w:rPr>
      </w:pPr>
      <w:r w:rsidRPr="002B7348">
        <w:rPr>
          <w:rFonts w:ascii="Times New Roman" w:hAnsi="Times New Roman" w:cs="Times New Roman"/>
        </w:rPr>
        <w:t>4.</w:t>
      </w:r>
      <w:r w:rsidRPr="002B7348">
        <w:rPr>
          <w:rFonts w:ascii="Times New Roman" w:hAnsi="Times New Roman" w:cs="Times New Roman"/>
        </w:rPr>
        <w:tab/>
      </w:r>
      <w:proofErr w:type="spellStart"/>
      <w:r w:rsidRPr="002B7348">
        <w:rPr>
          <w:rFonts w:ascii="Times New Roman" w:hAnsi="Times New Roman" w:cs="Times New Roman"/>
        </w:rPr>
        <w:t>Gainforth</w:t>
      </w:r>
      <w:proofErr w:type="spellEnd"/>
      <w:r w:rsidRPr="002B7348">
        <w:rPr>
          <w:rFonts w:ascii="Times New Roman" w:hAnsi="Times New Roman" w:cs="Times New Roman"/>
        </w:rPr>
        <w:t xml:space="preserve"> HL, Hoekstra F, McKay R, McBride CB, Sweet SN, Martin </w:t>
      </w:r>
      <w:proofErr w:type="spellStart"/>
      <w:r w:rsidRPr="002B7348">
        <w:rPr>
          <w:rFonts w:ascii="Times New Roman" w:hAnsi="Times New Roman" w:cs="Times New Roman"/>
        </w:rPr>
        <w:t>Ginis</w:t>
      </w:r>
      <w:proofErr w:type="spellEnd"/>
      <w:r w:rsidRPr="002B7348">
        <w:rPr>
          <w:rFonts w:ascii="Times New Roman" w:hAnsi="Times New Roman" w:cs="Times New Roman"/>
        </w:rPr>
        <w:t xml:space="preserve"> KA, et al. Integrated Knowledge Translation Guiding Principles for Conducting and Disseminating Spinal Cord Injury Research in Partnership. Arch Phys Med </w:t>
      </w:r>
      <w:proofErr w:type="spellStart"/>
      <w:r w:rsidRPr="002B7348">
        <w:rPr>
          <w:rFonts w:ascii="Times New Roman" w:hAnsi="Times New Roman" w:cs="Times New Roman"/>
        </w:rPr>
        <w:t>Rehabil</w:t>
      </w:r>
      <w:proofErr w:type="spellEnd"/>
      <w:r w:rsidRPr="002B7348">
        <w:rPr>
          <w:rFonts w:ascii="Times New Roman" w:hAnsi="Times New Roman" w:cs="Times New Roman"/>
        </w:rPr>
        <w:t xml:space="preserve">. 2021 Apr 1;102(4):656–63. </w:t>
      </w:r>
    </w:p>
    <w:p w14:paraId="01B50B19" w14:textId="2BC7590D" w:rsidR="002B7348" w:rsidRDefault="002B7348" w:rsidP="41DBEF1C">
      <w:pPr>
        <w:rPr>
          <w:rFonts w:ascii="Times New Roman" w:eastAsia="Times New Roman" w:hAnsi="Times New Roman" w:cs="Times New Roman"/>
          <w:b/>
          <w:bCs/>
        </w:rPr>
      </w:pPr>
      <w:r>
        <w:rPr>
          <w:rFonts w:ascii="Times New Roman" w:eastAsia="Times New Roman" w:hAnsi="Times New Roman" w:cs="Times New Roman"/>
          <w:b/>
          <w:bCs/>
        </w:rPr>
        <w:fldChar w:fldCharType="end"/>
      </w:r>
    </w:p>
    <w:p w14:paraId="639E75B8" w14:textId="6ACF2412" w:rsidR="003B49D5" w:rsidRPr="00B42FF8" w:rsidRDefault="00B42FF8" w:rsidP="7AD91BC5">
      <w:pPr>
        <w:rPr>
          <w:rFonts w:ascii="Times New Roman" w:eastAsia="Times New Roman" w:hAnsi="Times New Roman" w:cs="Times New Roman"/>
          <w:b/>
          <w:bCs/>
        </w:rPr>
      </w:pPr>
      <w:r w:rsidRPr="00B42FF8">
        <w:rPr>
          <w:rFonts w:ascii="Times New Roman" w:eastAsia="Times New Roman" w:hAnsi="Times New Roman" w:cs="Times New Roman"/>
          <w:b/>
          <w:bCs/>
        </w:rPr>
        <w:t>Table S1. Partnership Activity Log</w:t>
      </w:r>
    </w:p>
    <w:tbl>
      <w:tblPr>
        <w:tblStyle w:val="TableGrid"/>
        <w:tblW w:w="0" w:type="auto"/>
        <w:tblLook w:val="04A0" w:firstRow="1" w:lastRow="0" w:firstColumn="1" w:lastColumn="0" w:noHBand="0" w:noVBand="1"/>
      </w:tblPr>
      <w:tblGrid>
        <w:gridCol w:w="2122"/>
        <w:gridCol w:w="2976"/>
        <w:gridCol w:w="4252"/>
      </w:tblGrid>
      <w:tr w:rsidR="00B42FF8" w14:paraId="44D8B500" w14:textId="77777777" w:rsidTr="41DBEF1C">
        <w:tc>
          <w:tcPr>
            <w:tcW w:w="2122" w:type="dxa"/>
          </w:tcPr>
          <w:p w14:paraId="747EE213" w14:textId="716AA189" w:rsidR="00B42FF8" w:rsidRPr="00B42FF8" w:rsidRDefault="00B42FF8" w:rsidP="7AD91BC5">
            <w:pPr>
              <w:rPr>
                <w:rFonts w:ascii="Times New Roman" w:eastAsia="Times New Roman" w:hAnsi="Times New Roman" w:cs="Times New Roman"/>
                <w:b/>
                <w:bCs/>
              </w:rPr>
            </w:pPr>
            <w:r>
              <w:rPr>
                <w:rFonts w:ascii="Times New Roman" w:eastAsia="Times New Roman" w:hAnsi="Times New Roman" w:cs="Times New Roman"/>
                <w:b/>
                <w:bCs/>
              </w:rPr>
              <w:t>Research Stage</w:t>
            </w:r>
          </w:p>
        </w:tc>
        <w:tc>
          <w:tcPr>
            <w:tcW w:w="2976" w:type="dxa"/>
          </w:tcPr>
          <w:p w14:paraId="42B3E76A" w14:textId="672615CA" w:rsidR="00B42FF8" w:rsidRPr="008819A8" w:rsidRDefault="008819A8" w:rsidP="7AD91BC5">
            <w:pPr>
              <w:rPr>
                <w:rFonts w:ascii="Times New Roman" w:eastAsia="Times New Roman" w:hAnsi="Times New Roman" w:cs="Times New Roman"/>
                <w:b/>
                <w:bCs/>
              </w:rPr>
            </w:pPr>
            <w:r>
              <w:rPr>
                <w:rFonts w:ascii="Times New Roman" w:eastAsia="Times New Roman" w:hAnsi="Times New Roman" w:cs="Times New Roman"/>
                <w:b/>
                <w:bCs/>
              </w:rPr>
              <w:t>Activity/Strategy</w:t>
            </w:r>
          </w:p>
        </w:tc>
        <w:tc>
          <w:tcPr>
            <w:tcW w:w="4252" w:type="dxa"/>
          </w:tcPr>
          <w:p w14:paraId="0AC1B8BC" w14:textId="48041E48" w:rsidR="00B42FF8" w:rsidRPr="008819A8" w:rsidRDefault="008819A8" w:rsidP="7AD91BC5">
            <w:pPr>
              <w:rPr>
                <w:rFonts w:ascii="Times New Roman" w:eastAsia="Times New Roman" w:hAnsi="Times New Roman" w:cs="Times New Roman"/>
                <w:b/>
                <w:bCs/>
              </w:rPr>
            </w:pPr>
            <w:r>
              <w:rPr>
                <w:rFonts w:ascii="Times New Roman" w:eastAsia="Times New Roman" w:hAnsi="Times New Roman" w:cs="Times New Roman"/>
                <w:b/>
                <w:bCs/>
              </w:rPr>
              <w:t>Description</w:t>
            </w:r>
          </w:p>
        </w:tc>
      </w:tr>
      <w:tr w:rsidR="00B42FF8" w14:paraId="7DB3E0C4" w14:textId="77777777" w:rsidTr="41DBEF1C">
        <w:tc>
          <w:tcPr>
            <w:tcW w:w="2122" w:type="dxa"/>
          </w:tcPr>
          <w:p w14:paraId="48A49D63" w14:textId="73560B28" w:rsidR="00B42FF8" w:rsidRDefault="00B42FF8" w:rsidP="7AD91BC5">
            <w:pPr>
              <w:rPr>
                <w:rFonts w:ascii="Times New Roman" w:eastAsia="Times New Roman" w:hAnsi="Times New Roman" w:cs="Times New Roman"/>
              </w:rPr>
            </w:pPr>
            <w:r>
              <w:rPr>
                <w:rFonts w:ascii="Times New Roman" w:eastAsia="Times New Roman" w:hAnsi="Times New Roman" w:cs="Times New Roman"/>
              </w:rPr>
              <w:t>Planning (Study Design)</w:t>
            </w:r>
          </w:p>
        </w:tc>
        <w:tc>
          <w:tcPr>
            <w:tcW w:w="2976" w:type="dxa"/>
          </w:tcPr>
          <w:p w14:paraId="6E36B761" w14:textId="4F05B86C" w:rsidR="00B42FF8" w:rsidRDefault="008819A8" w:rsidP="7AD91BC5">
            <w:pPr>
              <w:rPr>
                <w:rFonts w:ascii="Times New Roman" w:eastAsia="Times New Roman" w:hAnsi="Times New Roman" w:cs="Times New Roman"/>
              </w:rPr>
            </w:pPr>
            <w:r>
              <w:rPr>
                <w:rFonts w:ascii="Times New Roman" w:eastAsia="Times New Roman" w:hAnsi="Times New Roman" w:cs="Times New Roman"/>
              </w:rPr>
              <w:t xml:space="preserve">Attendance at NASCIC </w:t>
            </w:r>
            <w:r w:rsidR="00D52B9A">
              <w:rPr>
                <w:rFonts w:ascii="Times New Roman" w:eastAsia="Times New Roman" w:hAnsi="Times New Roman" w:cs="Times New Roman"/>
              </w:rPr>
              <w:t>Community Engagement Working Group (</w:t>
            </w:r>
            <w:r>
              <w:rPr>
                <w:rFonts w:ascii="Times New Roman" w:eastAsia="Times New Roman" w:hAnsi="Times New Roman" w:cs="Times New Roman"/>
              </w:rPr>
              <w:t>CEWG</w:t>
            </w:r>
            <w:r w:rsidR="00D52B9A">
              <w:rPr>
                <w:rFonts w:ascii="Times New Roman" w:eastAsia="Times New Roman" w:hAnsi="Times New Roman" w:cs="Times New Roman"/>
              </w:rPr>
              <w:t>)</w:t>
            </w:r>
            <w:r>
              <w:rPr>
                <w:rFonts w:ascii="Times New Roman" w:eastAsia="Times New Roman" w:hAnsi="Times New Roman" w:cs="Times New Roman"/>
              </w:rPr>
              <w:t xml:space="preserve"> Course Development Meetings</w:t>
            </w:r>
          </w:p>
        </w:tc>
        <w:tc>
          <w:tcPr>
            <w:tcW w:w="4252" w:type="dxa"/>
          </w:tcPr>
          <w:p w14:paraId="2476FF1F" w14:textId="1CD5103A" w:rsidR="00D52B9A" w:rsidRDefault="00D52B9A" w:rsidP="7AD91BC5">
            <w:pPr>
              <w:rPr>
                <w:rFonts w:ascii="Times New Roman" w:eastAsia="Times New Roman" w:hAnsi="Times New Roman" w:cs="Times New Roman"/>
              </w:rPr>
            </w:pPr>
            <w:r>
              <w:rPr>
                <w:rFonts w:ascii="Times New Roman" w:eastAsia="Times New Roman" w:hAnsi="Times New Roman" w:cs="Times New Roman"/>
              </w:rPr>
              <w:t xml:space="preserve">EG listened in on NASCIC CEWG Meetings to further learn about the context of the project. Additionally, as aspects of the evaluation were being designed, EG and HG regularly checked in with the CEWG to ensure that all surveys and measures aligned with the course’s learning objectives and users. Some examples of how these meetings helped to inform study design are included here: </w:t>
            </w:r>
          </w:p>
          <w:p w14:paraId="582DF0C6" w14:textId="48535FF8" w:rsidR="00B42FF8" w:rsidRDefault="00D52B9A" w:rsidP="00D52B9A">
            <w:pPr>
              <w:pStyle w:val="ListParagraph"/>
              <w:numPr>
                <w:ilvl w:val="0"/>
                <w:numId w:val="3"/>
              </w:numPr>
              <w:rPr>
                <w:rFonts w:ascii="Times New Roman" w:eastAsia="Times New Roman" w:hAnsi="Times New Roman" w:cs="Times New Roman"/>
              </w:rPr>
            </w:pPr>
            <w:r w:rsidRPr="41DBEF1C">
              <w:rPr>
                <w:rFonts w:ascii="Times New Roman" w:eastAsia="Times New Roman" w:hAnsi="Times New Roman" w:cs="Times New Roman"/>
              </w:rPr>
              <w:t>The initial demographic questions developed, informed by Hughes et al. and the Canadian Institute for Health Information w</w:t>
            </w:r>
            <w:r w:rsidR="6102648C" w:rsidRPr="41DBEF1C">
              <w:rPr>
                <w:rFonts w:ascii="Times New Roman" w:eastAsia="Times New Roman" w:hAnsi="Times New Roman" w:cs="Times New Roman"/>
              </w:rPr>
              <w:t>ere</w:t>
            </w:r>
            <w:r w:rsidRPr="41DBEF1C">
              <w:rPr>
                <w:rFonts w:ascii="Times New Roman" w:eastAsia="Times New Roman" w:hAnsi="Times New Roman" w:cs="Times New Roman"/>
              </w:rPr>
              <w:t xml:space="preserve"> presented to the CEWG. Suggestions were made to specific constructs to ensure the questions would accommodate both Canadian and American contexts.</w:t>
            </w:r>
          </w:p>
          <w:p w14:paraId="7A93B935" w14:textId="77777777" w:rsidR="00D52B9A" w:rsidRDefault="00D52B9A" w:rsidP="00D52B9A">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EG prepared and presented a protocol for using COM-B as the guiding theoretical framework in the evaluation. The NASCIC CEWG confirmed that the theory </w:t>
            </w:r>
            <w:r>
              <w:rPr>
                <w:rFonts w:ascii="Times New Roman" w:eastAsia="Times New Roman" w:hAnsi="Times New Roman" w:cs="Times New Roman"/>
              </w:rPr>
              <w:lastRenderedPageBreak/>
              <w:t>aligned with the course’s learning objectives.</w:t>
            </w:r>
          </w:p>
          <w:p w14:paraId="4425EAF7" w14:textId="20023D94" w:rsidR="00D52B9A" w:rsidRPr="00D52B9A" w:rsidRDefault="00D52B9A" w:rsidP="00D52B9A">
            <w:pPr>
              <w:pStyle w:val="ListParagraph"/>
              <w:numPr>
                <w:ilvl w:val="0"/>
                <w:numId w:val="3"/>
              </w:numPr>
              <w:rPr>
                <w:rFonts w:ascii="Times New Roman" w:eastAsia="Times New Roman" w:hAnsi="Times New Roman" w:cs="Times New Roman"/>
              </w:rPr>
            </w:pPr>
            <w:r w:rsidRPr="41DBEF1C">
              <w:rPr>
                <w:rFonts w:ascii="Times New Roman" w:eastAsia="Times New Roman" w:hAnsi="Times New Roman" w:cs="Times New Roman"/>
              </w:rPr>
              <w:t xml:space="preserve">Specific </w:t>
            </w:r>
            <w:proofErr w:type="spellStart"/>
            <w:r w:rsidRPr="41DBEF1C">
              <w:rPr>
                <w:rFonts w:ascii="Times New Roman" w:eastAsia="Times New Roman" w:hAnsi="Times New Roman" w:cs="Times New Roman"/>
              </w:rPr>
              <w:t>behaviours</w:t>
            </w:r>
            <w:proofErr w:type="spellEnd"/>
            <w:r w:rsidRPr="41DBEF1C">
              <w:rPr>
                <w:rFonts w:ascii="Times New Roman" w:eastAsia="Times New Roman" w:hAnsi="Times New Roman" w:cs="Times New Roman"/>
              </w:rPr>
              <w:t xml:space="preserve"> (i.e., observable actions) that constituted “building capacity” for research partnerships were brainstormed with the CEWG and added to the surveys.</w:t>
            </w:r>
          </w:p>
        </w:tc>
      </w:tr>
      <w:tr w:rsidR="00B42FF8" w14:paraId="7471E8AA" w14:textId="77777777" w:rsidTr="41DBEF1C">
        <w:tc>
          <w:tcPr>
            <w:tcW w:w="2122" w:type="dxa"/>
          </w:tcPr>
          <w:p w14:paraId="78C2B3A3" w14:textId="1EF53402" w:rsidR="00B42FF8" w:rsidRDefault="00B42FF8" w:rsidP="7AD91BC5">
            <w:pPr>
              <w:rPr>
                <w:rFonts w:ascii="Times New Roman" w:eastAsia="Times New Roman" w:hAnsi="Times New Roman" w:cs="Times New Roman"/>
              </w:rPr>
            </w:pPr>
            <w:r>
              <w:rPr>
                <w:rFonts w:ascii="Times New Roman" w:eastAsia="Times New Roman" w:hAnsi="Times New Roman" w:cs="Times New Roman"/>
              </w:rPr>
              <w:lastRenderedPageBreak/>
              <w:t>Conduct (Data Collection)</w:t>
            </w:r>
          </w:p>
        </w:tc>
        <w:tc>
          <w:tcPr>
            <w:tcW w:w="2976" w:type="dxa"/>
          </w:tcPr>
          <w:p w14:paraId="60727EC1" w14:textId="3BAD369B" w:rsidR="00B42FF8" w:rsidRDefault="006627B8" w:rsidP="7AD91BC5">
            <w:pPr>
              <w:rPr>
                <w:rFonts w:ascii="Times New Roman" w:eastAsia="Times New Roman" w:hAnsi="Times New Roman" w:cs="Times New Roman"/>
              </w:rPr>
            </w:pPr>
            <w:r>
              <w:rPr>
                <w:rFonts w:ascii="Times New Roman" w:eastAsia="Times New Roman" w:hAnsi="Times New Roman" w:cs="Times New Roman"/>
              </w:rPr>
              <w:t>NASCIC led all recruitment efforts</w:t>
            </w:r>
          </w:p>
        </w:tc>
        <w:tc>
          <w:tcPr>
            <w:tcW w:w="4252" w:type="dxa"/>
          </w:tcPr>
          <w:p w14:paraId="2375ACC6" w14:textId="46DA2EE9" w:rsidR="00B42FF8" w:rsidRDefault="006627B8" w:rsidP="7AD91BC5">
            <w:pPr>
              <w:rPr>
                <w:rFonts w:ascii="Times New Roman" w:eastAsia="Times New Roman" w:hAnsi="Times New Roman" w:cs="Times New Roman"/>
              </w:rPr>
            </w:pPr>
            <w:r w:rsidRPr="41DBEF1C">
              <w:rPr>
                <w:rFonts w:ascii="Times New Roman" w:eastAsia="Times New Roman" w:hAnsi="Times New Roman" w:cs="Times New Roman"/>
              </w:rPr>
              <w:t>Given the independent</w:t>
            </w:r>
            <w:r w:rsidR="00A27D2D" w:rsidRPr="41DBEF1C">
              <w:rPr>
                <w:rFonts w:ascii="Times New Roman" w:eastAsia="Times New Roman" w:hAnsi="Times New Roman" w:cs="Times New Roman"/>
              </w:rPr>
              <w:t xml:space="preserve"> nature of the evaluation, </w:t>
            </w:r>
            <w:r w:rsidR="00636E4E" w:rsidRPr="41DBEF1C">
              <w:rPr>
                <w:rFonts w:ascii="Times New Roman" w:eastAsia="Times New Roman" w:hAnsi="Times New Roman" w:cs="Times New Roman"/>
              </w:rPr>
              <w:t>UBC (EG, HG) w</w:t>
            </w:r>
            <w:r w:rsidR="5F3D9595" w:rsidRPr="41DBEF1C">
              <w:rPr>
                <w:rFonts w:ascii="Times New Roman" w:eastAsia="Times New Roman" w:hAnsi="Times New Roman" w:cs="Times New Roman"/>
              </w:rPr>
              <w:t>as</w:t>
            </w:r>
            <w:r w:rsidR="00636E4E" w:rsidRPr="41DBEF1C">
              <w:rPr>
                <w:rFonts w:ascii="Times New Roman" w:eastAsia="Times New Roman" w:hAnsi="Times New Roman" w:cs="Times New Roman"/>
              </w:rPr>
              <w:t xml:space="preserve"> not responsible for any study aspects related to recruitment.</w:t>
            </w:r>
          </w:p>
        </w:tc>
      </w:tr>
      <w:tr w:rsidR="00B42FF8" w14:paraId="650A98CE" w14:textId="77777777" w:rsidTr="41DBEF1C">
        <w:tc>
          <w:tcPr>
            <w:tcW w:w="2122" w:type="dxa"/>
          </w:tcPr>
          <w:p w14:paraId="50F7BF90" w14:textId="1B7DB111" w:rsidR="00B42FF8" w:rsidRDefault="00B42FF8" w:rsidP="7AD91BC5">
            <w:pPr>
              <w:rPr>
                <w:rFonts w:ascii="Times New Roman" w:eastAsia="Times New Roman" w:hAnsi="Times New Roman" w:cs="Times New Roman"/>
              </w:rPr>
            </w:pPr>
            <w:r>
              <w:rPr>
                <w:rFonts w:ascii="Times New Roman" w:eastAsia="Times New Roman" w:hAnsi="Times New Roman" w:cs="Times New Roman"/>
              </w:rPr>
              <w:t>Conduct (Data Analysis)</w:t>
            </w:r>
          </w:p>
        </w:tc>
        <w:tc>
          <w:tcPr>
            <w:tcW w:w="2976" w:type="dxa"/>
          </w:tcPr>
          <w:p w14:paraId="4B7CD041" w14:textId="01C73DA0" w:rsidR="00B42FF8" w:rsidRDefault="008819A8" w:rsidP="7AD91BC5">
            <w:pPr>
              <w:rPr>
                <w:rFonts w:ascii="Times New Roman" w:eastAsia="Times New Roman" w:hAnsi="Times New Roman" w:cs="Times New Roman"/>
              </w:rPr>
            </w:pPr>
            <w:r>
              <w:rPr>
                <w:rFonts w:ascii="Times New Roman" w:eastAsia="Times New Roman" w:hAnsi="Times New Roman" w:cs="Times New Roman"/>
              </w:rPr>
              <w:t>Periodic presentation of findings</w:t>
            </w:r>
          </w:p>
        </w:tc>
        <w:tc>
          <w:tcPr>
            <w:tcW w:w="4252" w:type="dxa"/>
          </w:tcPr>
          <w:p w14:paraId="5BDCB108" w14:textId="77777777" w:rsidR="008819A8" w:rsidRDefault="008819A8" w:rsidP="008819A8">
            <w:pPr>
              <w:rPr>
                <w:rFonts w:ascii="Times New Roman" w:eastAsia="Times New Roman" w:hAnsi="Times New Roman" w:cs="Times New Roman"/>
              </w:rPr>
            </w:pPr>
            <w:r>
              <w:rPr>
                <w:rFonts w:ascii="Times New Roman" w:eastAsia="Times New Roman" w:hAnsi="Times New Roman" w:cs="Times New Roman"/>
              </w:rPr>
              <w:t xml:space="preserve">Given the independent nature of the evaluation, BM and GO </w:t>
            </w:r>
            <w:r w:rsidR="006E4813">
              <w:rPr>
                <w:rFonts w:ascii="Times New Roman" w:eastAsia="Times New Roman" w:hAnsi="Times New Roman" w:cs="Times New Roman"/>
              </w:rPr>
              <w:t>did not analyze any data.</w:t>
            </w:r>
          </w:p>
          <w:p w14:paraId="0BEEF80A" w14:textId="77777777" w:rsidR="006E4813" w:rsidRDefault="006E4813" w:rsidP="008819A8">
            <w:pPr>
              <w:rPr>
                <w:rFonts w:ascii="Times New Roman" w:eastAsia="Times New Roman" w:hAnsi="Times New Roman" w:cs="Times New Roman"/>
              </w:rPr>
            </w:pPr>
          </w:p>
          <w:p w14:paraId="4F154100" w14:textId="77777777" w:rsidR="006E4813" w:rsidRDefault="006E4813" w:rsidP="008819A8">
            <w:pPr>
              <w:rPr>
                <w:rFonts w:ascii="Times New Roman" w:eastAsia="Times New Roman" w:hAnsi="Times New Roman" w:cs="Times New Roman"/>
              </w:rPr>
            </w:pPr>
            <w:r>
              <w:rPr>
                <w:rFonts w:ascii="Times New Roman" w:eastAsia="Times New Roman" w:hAnsi="Times New Roman" w:cs="Times New Roman"/>
              </w:rPr>
              <w:t>Throughout analysis, results from the evaluation were presented to BM and GO. BM and GO used these findings to inform the ongoing development of SCI-RAC Lite.</w:t>
            </w:r>
          </w:p>
          <w:p w14:paraId="1F44E192" w14:textId="77777777" w:rsidR="006E4813" w:rsidRDefault="006E4813" w:rsidP="008819A8">
            <w:pPr>
              <w:rPr>
                <w:rFonts w:ascii="Times New Roman" w:eastAsia="Times New Roman" w:hAnsi="Times New Roman" w:cs="Times New Roman"/>
              </w:rPr>
            </w:pPr>
          </w:p>
          <w:p w14:paraId="0E4E1865" w14:textId="0A45BAA8" w:rsidR="006E4813" w:rsidRDefault="006E4813" w:rsidP="008819A8">
            <w:pPr>
              <w:rPr>
                <w:rFonts w:ascii="Times New Roman" w:eastAsia="Times New Roman" w:hAnsi="Times New Roman" w:cs="Times New Roman"/>
              </w:rPr>
            </w:pPr>
            <w:r w:rsidRPr="41DBEF1C">
              <w:rPr>
                <w:rFonts w:ascii="Times New Roman" w:eastAsia="Times New Roman" w:hAnsi="Times New Roman" w:cs="Times New Roman"/>
              </w:rPr>
              <w:t>EG, KN, and HG checked-in with BM and GO (who followed up with the NASCIC Project E</w:t>
            </w:r>
            <w:r w:rsidR="002B7348">
              <w:rPr>
                <w:rFonts w:ascii="Times New Roman" w:eastAsia="Times New Roman" w:hAnsi="Times New Roman" w:cs="Times New Roman"/>
              </w:rPr>
              <w:t>xecutive</w:t>
            </w:r>
            <w:r w:rsidRPr="41DBEF1C">
              <w:rPr>
                <w:rFonts w:ascii="Times New Roman" w:eastAsia="Times New Roman" w:hAnsi="Times New Roman" w:cs="Times New Roman"/>
              </w:rPr>
              <w:t xml:space="preserve"> Committee and CEWG to see if any additional ways to analyze data would be helpful to NASCIC. This is where the decision came to disaggregate analyses by presence vs. absence of a SCI.</w:t>
            </w:r>
          </w:p>
        </w:tc>
      </w:tr>
      <w:tr w:rsidR="00B42FF8" w14:paraId="6D3D2333" w14:textId="77777777" w:rsidTr="41DBEF1C">
        <w:tc>
          <w:tcPr>
            <w:tcW w:w="2122" w:type="dxa"/>
          </w:tcPr>
          <w:p w14:paraId="629506ED" w14:textId="6AFF3ACF" w:rsidR="00B42FF8" w:rsidRDefault="00B42FF8" w:rsidP="7AD91BC5">
            <w:pPr>
              <w:rPr>
                <w:rFonts w:ascii="Times New Roman" w:eastAsia="Times New Roman" w:hAnsi="Times New Roman" w:cs="Times New Roman"/>
              </w:rPr>
            </w:pPr>
            <w:r>
              <w:rPr>
                <w:rFonts w:ascii="Times New Roman" w:eastAsia="Times New Roman" w:hAnsi="Times New Roman" w:cs="Times New Roman"/>
              </w:rPr>
              <w:t>Conduct (Manuscript Writing)</w:t>
            </w:r>
          </w:p>
        </w:tc>
        <w:tc>
          <w:tcPr>
            <w:tcW w:w="2976" w:type="dxa"/>
          </w:tcPr>
          <w:p w14:paraId="0A37A81D" w14:textId="111D10BA" w:rsidR="00B42FF8" w:rsidRDefault="008819A8" w:rsidP="7AD91BC5">
            <w:pPr>
              <w:rPr>
                <w:rFonts w:ascii="Times New Roman" w:eastAsia="Times New Roman" w:hAnsi="Times New Roman" w:cs="Times New Roman"/>
              </w:rPr>
            </w:pPr>
            <w:r>
              <w:rPr>
                <w:rFonts w:ascii="Times New Roman" w:eastAsia="Times New Roman" w:hAnsi="Times New Roman" w:cs="Times New Roman"/>
              </w:rPr>
              <w:t>E-mails were sent back and forth between co-authors to facilitate the writing and finalization of a manuscript to be submitted for publication.</w:t>
            </w:r>
          </w:p>
        </w:tc>
        <w:tc>
          <w:tcPr>
            <w:tcW w:w="4252" w:type="dxa"/>
          </w:tcPr>
          <w:p w14:paraId="1439173C" w14:textId="29ECFF25" w:rsidR="00B42FF8" w:rsidRDefault="008819A8" w:rsidP="7AD91BC5">
            <w:pPr>
              <w:rPr>
                <w:rFonts w:ascii="Times New Roman" w:eastAsia="Times New Roman" w:hAnsi="Times New Roman" w:cs="Times New Roman"/>
              </w:rPr>
            </w:pPr>
            <w:r>
              <w:rPr>
                <w:rFonts w:ascii="Times New Roman" w:eastAsia="Times New Roman" w:hAnsi="Times New Roman" w:cs="Times New Roman"/>
              </w:rPr>
              <w:t>EG drafted an initial version of the manuscript for all co-authors to review and approve. Once approved, EG submitted the manuscript for publication.</w:t>
            </w:r>
          </w:p>
        </w:tc>
      </w:tr>
      <w:tr w:rsidR="00B42FF8" w14:paraId="071CECC4" w14:textId="77777777" w:rsidTr="41DBEF1C">
        <w:tc>
          <w:tcPr>
            <w:tcW w:w="2122" w:type="dxa"/>
          </w:tcPr>
          <w:p w14:paraId="5D7C4387" w14:textId="5C203EFB" w:rsidR="00B42FF8" w:rsidRDefault="00B42FF8" w:rsidP="7AD91BC5">
            <w:pPr>
              <w:rPr>
                <w:rFonts w:ascii="Times New Roman" w:eastAsia="Times New Roman" w:hAnsi="Times New Roman" w:cs="Times New Roman"/>
              </w:rPr>
            </w:pPr>
            <w:r>
              <w:rPr>
                <w:rFonts w:ascii="Times New Roman" w:eastAsia="Times New Roman" w:hAnsi="Times New Roman" w:cs="Times New Roman"/>
              </w:rPr>
              <w:t>Conduct (Dissemination)</w:t>
            </w:r>
          </w:p>
        </w:tc>
        <w:tc>
          <w:tcPr>
            <w:tcW w:w="2976" w:type="dxa"/>
          </w:tcPr>
          <w:p w14:paraId="03377062" w14:textId="1E3642E7" w:rsidR="00B42FF8" w:rsidRDefault="00B42FF8" w:rsidP="7AD91BC5">
            <w:pPr>
              <w:rPr>
                <w:rFonts w:ascii="Times New Roman" w:eastAsia="Times New Roman" w:hAnsi="Times New Roman" w:cs="Times New Roman"/>
              </w:rPr>
            </w:pPr>
          </w:p>
        </w:tc>
        <w:tc>
          <w:tcPr>
            <w:tcW w:w="4252" w:type="dxa"/>
          </w:tcPr>
          <w:p w14:paraId="4012CA06" w14:textId="22B7D4A9" w:rsidR="00B42FF8" w:rsidRDefault="00B42FF8" w:rsidP="7AD91BC5">
            <w:pPr>
              <w:rPr>
                <w:rFonts w:ascii="Times New Roman" w:eastAsia="Times New Roman" w:hAnsi="Times New Roman" w:cs="Times New Roman"/>
              </w:rPr>
            </w:pPr>
            <w:r>
              <w:rPr>
                <w:rFonts w:ascii="Times New Roman" w:eastAsia="Times New Roman" w:hAnsi="Times New Roman" w:cs="Times New Roman"/>
              </w:rPr>
              <w:t>EG</w:t>
            </w:r>
            <w:r w:rsidR="008819A8">
              <w:rPr>
                <w:rFonts w:ascii="Times New Roman" w:eastAsia="Times New Roman" w:hAnsi="Times New Roman" w:cs="Times New Roman"/>
              </w:rPr>
              <w:t xml:space="preserve"> and GO</w:t>
            </w:r>
            <w:r>
              <w:rPr>
                <w:rFonts w:ascii="Times New Roman" w:eastAsia="Times New Roman" w:hAnsi="Times New Roman" w:cs="Times New Roman"/>
              </w:rPr>
              <w:t xml:space="preserve"> </w:t>
            </w:r>
            <w:r w:rsidR="008819A8">
              <w:rPr>
                <w:rFonts w:ascii="Times New Roman" w:eastAsia="Times New Roman" w:hAnsi="Times New Roman" w:cs="Times New Roman"/>
              </w:rPr>
              <w:t>co-</w:t>
            </w:r>
            <w:r>
              <w:rPr>
                <w:rFonts w:ascii="Times New Roman" w:eastAsia="Times New Roman" w:hAnsi="Times New Roman" w:cs="Times New Roman"/>
              </w:rPr>
              <w:t xml:space="preserve">wrote abstracts for three conferences related to this work. All abstracts were reviewed and approved by all co-authors. </w:t>
            </w:r>
          </w:p>
          <w:p w14:paraId="1B8CD464" w14:textId="1C45BE6F" w:rsidR="00B42FF8" w:rsidRDefault="00B42FF8" w:rsidP="41DBEF1C">
            <w:pPr>
              <w:rPr>
                <w:rFonts w:ascii="Times New Roman" w:eastAsia="Times New Roman" w:hAnsi="Times New Roman" w:cs="Times New Roman"/>
              </w:rPr>
            </w:pPr>
            <w:r w:rsidRPr="41DBEF1C">
              <w:rPr>
                <w:rFonts w:ascii="Times New Roman" w:eastAsia="Times New Roman" w:hAnsi="Times New Roman" w:cs="Times New Roman"/>
              </w:rPr>
              <w:t>List of Conferences:</w:t>
            </w:r>
          </w:p>
          <w:p w14:paraId="5597713A" w14:textId="77777777" w:rsidR="00B42FF8" w:rsidRDefault="00B42FF8" w:rsidP="7AD91BC5">
            <w:pPr>
              <w:pStyle w:val="ListParagraph"/>
              <w:numPr>
                <w:ilvl w:val="0"/>
                <w:numId w:val="2"/>
              </w:numPr>
              <w:rPr>
                <w:rFonts w:ascii="Times New Roman" w:eastAsia="Times New Roman" w:hAnsi="Times New Roman" w:cs="Times New Roman"/>
              </w:rPr>
            </w:pPr>
            <w:r w:rsidRPr="00B42FF8">
              <w:rPr>
                <w:rFonts w:ascii="Times New Roman" w:eastAsia="Times New Roman" w:hAnsi="Times New Roman" w:cs="Times New Roman"/>
              </w:rPr>
              <w:t>EG presented</w:t>
            </w:r>
            <w:r>
              <w:rPr>
                <w:rFonts w:ascii="Times New Roman" w:eastAsia="Times New Roman" w:hAnsi="Times New Roman" w:cs="Times New Roman"/>
              </w:rPr>
              <w:t xml:space="preserve"> a poster</w:t>
            </w:r>
            <w:r w:rsidRPr="00B42FF8">
              <w:rPr>
                <w:rFonts w:ascii="Times New Roman" w:eastAsia="Times New Roman" w:hAnsi="Times New Roman" w:cs="Times New Roman"/>
              </w:rPr>
              <w:t xml:space="preserve"> the proposed methods for the evaluation at the European Implementation </w:t>
            </w:r>
            <w:r>
              <w:rPr>
                <w:rFonts w:ascii="Times New Roman" w:eastAsia="Times New Roman" w:hAnsi="Times New Roman" w:cs="Times New Roman"/>
              </w:rPr>
              <w:t>Event</w:t>
            </w:r>
            <w:r w:rsidRPr="00B42FF8">
              <w:rPr>
                <w:rFonts w:ascii="Times New Roman" w:eastAsia="Times New Roman" w:hAnsi="Times New Roman" w:cs="Times New Roman"/>
              </w:rPr>
              <w:t xml:space="preserve"> (June 2023; Basel, Switzerland).</w:t>
            </w:r>
          </w:p>
          <w:p w14:paraId="00DF0705" w14:textId="0FAF2724" w:rsidR="00B42FF8" w:rsidRPr="00B42FF8" w:rsidRDefault="00B42FF8" w:rsidP="7AD91BC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EG and BM co-presented initial findings from the evaluation</w:t>
            </w:r>
            <w:r w:rsidR="008819A8">
              <w:rPr>
                <w:rFonts w:ascii="Times New Roman" w:eastAsia="Times New Roman" w:hAnsi="Times New Roman" w:cs="Times New Roman"/>
              </w:rPr>
              <w:t xml:space="preserve"> in-person</w:t>
            </w:r>
            <w:r>
              <w:rPr>
                <w:rFonts w:ascii="Times New Roman" w:eastAsia="Times New Roman" w:hAnsi="Times New Roman" w:cs="Times New Roman"/>
              </w:rPr>
              <w:t xml:space="preserve"> at the Paralyzed Veterans of America Summit (August 2024</w:t>
            </w:r>
            <w:r w:rsidR="008819A8">
              <w:rPr>
                <w:rFonts w:ascii="Times New Roman" w:eastAsia="Times New Roman" w:hAnsi="Times New Roman" w:cs="Times New Roman"/>
              </w:rPr>
              <w:t>; Anaheim, USA</w:t>
            </w:r>
            <w:r>
              <w:rPr>
                <w:rFonts w:ascii="Times New Roman" w:eastAsia="Times New Roman" w:hAnsi="Times New Roman" w:cs="Times New Roman"/>
              </w:rPr>
              <w:t>) and</w:t>
            </w:r>
            <w:r w:rsidR="008819A8">
              <w:rPr>
                <w:rFonts w:ascii="Times New Roman" w:eastAsia="Times New Roman" w:hAnsi="Times New Roman" w:cs="Times New Roman"/>
              </w:rPr>
              <w:t xml:space="preserve"> virtually for</w:t>
            </w:r>
            <w:r>
              <w:rPr>
                <w:rFonts w:ascii="Times New Roman" w:eastAsia="Times New Roman" w:hAnsi="Times New Roman" w:cs="Times New Roman"/>
              </w:rPr>
              <w:t xml:space="preserve"> the Academy of Spinal Cord Injury Professionals </w:t>
            </w:r>
            <w:r w:rsidR="008819A8">
              <w:rPr>
                <w:rFonts w:ascii="Times New Roman" w:eastAsia="Times New Roman" w:hAnsi="Times New Roman" w:cs="Times New Roman"/>
              </w:rPr>
              <w:t xml:space="preserve">Annual Meeting and Expo (September 2024; Chicago, USA) </w:t>
            </w:r>
            <w:r>
              <w:rPr>
                <w:rFonts w:ascii="Times New Roman" w:eastAsia="Times New Roman" w:hAnsi="Times New Roman" w:cs="Times New Roman"/>
              </w:rPr>
              <w:t xml:space="preserve"> </w:t>
            </w:r>
          </w:p>
        </w:tc>
      </w:tr>
    </w:tbl>
    <w:p w14:paraId="73A769EE" w14:textId="77777777" w:rsidR="00B41627" w:rsidRDefault="00B41627" w:rsidP="7AD91BC5">
      <w:pPr>
        <w:rPr>
          <w:rFonts w:ascii="Times New Roman" w:eastAsia="Times New Roman" w:hAnsi="Times New Roman" w:cs="Times New Roman"/>
        </w:rPr>
      </w:pPr>
    </w:p>
    <w:p w14:paraId="7268658A" w14:textId="77777777" w:rsidR="00B41627" w:rsidRDefault="00B41627" w:rsidP="7AD91BC5">
      <w:pPr>
        <w:rPr>
          <w:rFonts w:ascii="Times New Roman" w:eastAsia="Times New Roman" w:hAnsi="Times New Roman" w:cs="Times New Roman"/>
        </w:rPr>
      </w:pPr>
    </w:p>
    <w:p w14:paraId="6D054E4A" w14:textId="469C9D48" w:rsidR="00B41627" w:rsidRDefault="1ADCB8A5" w:rsidP="35D3FA12">
      <w:pPr>
        <w:rPr>
          <w:rFonts w:ascii="Times New Roman" w:eastAsia="Times New Roman" w:hAnsi="Times New Roman" w:cs="Times New Roman"/>
          <w:b/>
          <w:bCs/>
        </w:rPr>
      </w:pPr>
      <w:r w:rsidRPr="35D3FA12">
        <w:rPr>
          <w:rFonts w:ascii="Times New Roman" w:eastAsia="Times New Roman" w:hAnsi="Times New Roman" w:cs="Times New Roman"/>
          <w:b/>
          <w:bCs/>
        </w:rPr>
        <w:t>List of SCI-RAC Modules</w:t>
      </w:r>
    </w:p>
    <w:tbl>
      <w:tblPr>
        <w:tblStyle w:val="TableGrid"/>
        <w:tblW w:w="0" w:type="auto"/>
        <w:tblLayout w:type="fixed"/>
        <w:tblLook w:val="06A0" w:firstRow="1" w:lastRow="0" w:firstColumn="1" w:lastColumn="0" w:noHBand="1" w:noVBand="1"/>
      </w:tblPr>
      <w:tblGrid>
        <w:gridCol w:w="1260"/>
        <w:gridCol w:w="8100"/>
      </w:tblGrid>
      <w:tr w:rsidR="35D3FA12" w14:paraId="5E65ADA8" w14:textId="77777777" w:rsidTr="35D3FA12">
        <w:trPr>
          <w:trHeight w:val="300"/>
        </w:trPr>
        <w:tc>
          <w:tcPr>
            <w:tcW w:w="1260" w:type="dxa"/>
          </w:tcPr>
          <w:p w14:paraId="12CEF699" w14:textId="524DBC3B" w:rsidR="1ADCB8A5" w:rsidRDefault="1ADCB8A5" w:rsidP="35D3FA12">
            <w:pPr>
              <w:jc w:val="center"/>
              <w:rPr>
                <w:rFonts w:ascii="Times New Roman" w:eastAsia="Times New Roman" w:hAnsi="Times New Roman" w:cs="Times New Roman"/>
                <w:b/>
                <w:bCs/>
              </w:rPr>
            </w:pPr>
            <w:r w:rsidRPr="35D3FA12">
              <w:rPr>
                <w:rFonts w:ascii="Times New Roman" w:eastAsia="Times New Roman" w:hAnsi="Times New Roman" w:cs="Times New Roman"/>
                <w:b/>
                <w:bCs/>
              </w:rPr>
              <w:t>Module #</w:t>
            </w:r>
          </w:p>
        </w:tc>
        <w:tc>
          <w:tcPr>
            <w:tcW w:w="8100" w:type="dxa"/>
          </w:tcPr>
          <w:p w14:paraId="6F4EC329" w14:textId="1770BAB2" w:rsidR="1ADCB8A5" w:rsidRDefault="1ADCB8A5" w:rsidP="35D3FA12">
            <w:pPr>
              <w:rPr>
                <w:rFonts w:ascii="Times New Roman" w:eastAsia="Times New Roman" w:hAnsi="Times New Roman" w:cs="Times New Roman"/>
                <w:b/>
                <w:bCs/>
              </w:rPr>
            </w:pPr>
            <w:r w:rsidRPr="35D3FA12">
              <w:rPr>
                <w:rFonts w:ascii="Times New Roman" w:eastAsia="Times New Roman" w:hAnsi="Times New Roman" w:cs="Times New Roman"/>
                <w:b/>
                <w:bCs/>
              </w:rPr>
              <w:t>Title</w:t>
            </w:r>
          </w:p>
        </w:tc>
      </w:tr>
      <w:tr w:rsidR="35D3FA12" w14:paraId="6A7DEE09" w14:textId="77777777" w:rsidTr="35D3FA12">
        <w:trPr>
          <w:trHeight w:val="300"/>
        </w:trPr>
        <w:tc>
          <w:tcPr>
            <w:tcW w:w="1260" w:type="dxa"/>
          </w:tcPr>
          <w:p w14:paraId="5AED3E92" w14:textId="645B59FC"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1</w:t>
            </w:r>
          </w:p>
        </w:tc>
        <w:tc>
          <w:tcPr>
            <w:tcW w:w="8100" w:type="dxa"/>
          </w:tcPr>
          <w:p w14:paraId="1F900137" w14:textId="1941AAC6" w:rsidR="1EFCC3CC" w:rsidRDefault="1EFCC3CC" w:rsidP="35D3FA12">
            <w:pPr>
              <w:rPr>
                <w:rFonts w:ascii="Times New Roman" w:eastAsia="Times New Roman" w:hAnsi="Times New Roman" w:cs="Times New Roman"/>
              </w:rPr>
            </w:pPr>
            <w:r w:rsidRPr="35D3FA12">
              <w:rPr>
                <w:rFonts w:ascii="Times New Roman" w:eastAsia="Times New Roman" w:hAnsi="Times New Roman" w:cs="Times New Roman"/>
              </w:rPr>
              <w:t>Introduction to Research Advocacy</w:t>
            </w:r>
          </w:p>
        </w:tc>
      </w:tr>
      <w:tr w:rsidR="35D3FA12" w14:paraId="7ACB1C9D" w14:textId="77777777" w:rsidTr="35D3FA12">
        <w:trPr>
          <w:trHeight w:val="300"/>
        </w:trPr>
        <w:tc>
          <w:tcPr>
            <w:tcW w:w="1260" w:type="dxa"/>
          </w:tcPr>
          <w:p w14:paraId="74CA9C63" w14:textId="7503616D"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2</w:t>
            </w:r>
          </w:p>
        </w:tc>
        <w:tc>
          <w:tcPr>
            <w:tcW w:w="8100" w:type="dxa"/>
          </w:tcPr>
          <w:p w14:paraId="405AA256" w14:textId="4A90BA0E" w:rsidR="755CBEC2" w:rsidRDefault="755CBEC2" w:rsidP="35D3FA12">
            <w:pPr>
              <w:rPr>
                <w:rFonts w:ascii="Times New Roman" w:eastAsia="Times New Roman" w:hAnsi="Times New Roman" w:cs="Times New Roman"/>
              </w:rPr>
            </w:pPr>
            <w:r w:rsidRPr="35D3FA12">
              <w:rPr>
                <w:rFonts w:ascii="Times New Roman" w:eastAsia="Times New Roman" w:hAnsi="Times New Roman" w:cs="Times New Roman"/>
              </w:rPr>
              <w:t>Understanding the Research Process and Research and Development Decision-Makers</w:t>
            </w:r>
          </w:p>
        </w:tc>
      </w:tr>
      <w:tr w:rsidR="35D3FA12" w14:paraId="4D80BDBA" w14:textId="77777777" w:rsidTr="35D3FA12">
        <w:trPr>
          <w:trHeight w:val="300"/>
        </w:trPr>
        <w:tc>
          <w:tcPr>
            <w:tcW w:w="1260" w:type="dxa"/>
          </w:tcPr>
          <w:p w14:paraId="6CB280B0" w14:textId="3210DC47"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3</w:t>
            </w:r>
          </w:p>
        </w:tc>
        <w:tc>
          <w:tcPr>
            <w:tcW w:w="8100" w:type="dxa"/>
          </w:tcPr>
          <w:p w14:paraId="7A4568AD" w14:textId="4431F894" w:rsidR="371815A5" w:rsidRDefault="371815A5" w:rsidP="35D3FA12">
            <w:pPr>
              <w:rPr>
                <w:rFonts w:ascii="Times New Roman" w:eastAsia="Times New Roman" w:hAnsi="Times New Roman" w:cs="Times New Roman"/>
              </w:rPr>
            </w:pPr>
            <w:r w:rsidRPr="35D3FA12">
              <w:rPr>
                <w:rFonts w:ascii="Times New Roman" w:eastAsia="Times New Roman" w:hAnsi="Times New Roman" w:cs="Times New Roman"/>
              </w:rPr>
              <w:t xml:space="preserve">Addressing Historical Challenges for SCI Studies </w:t>
            </w:r>
          </w:p>
        </w:tc>
      </w:tr>
      <w:tr w:rsidR="35D3FA12" w14:paraId="2A614B3B" w14:textId="77777777" w:rsidTr="35D3FA12">
        <w:trPr>
          <w:trHeight w:val="300"/>
        </w:trPr>
        <w:tc>
          <w:tcPr>
            <w:tcW w:w="1260" w:type="dxa"/>
          </w:tcPr>
          <w:p w14:paraId="537CC88B" w14:textId="11AFEEFA"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4</w:t>
            </w:r>
          </w:p>
        </w:tc>
        <w:tc>
          <w:tcPr>
            <w:tcW w:w="8100" w:type="dxa"/>
          </w:tcPr>
          <w:p w14:paraId="543D71FA" w14:textId="25FD4C05" w:rsidR="7BA7184F" w:rsidRDefault="7BA7184F" w:rsidP="35D3FA12">
            <w:pPr>
              <w:rPr>
                <w:rFonts w:ascii="Times New Roman" w:eastAsia="Times New Roman" w:hAnsi="Times New Roman" w:cs="Times New Roman"/>
              </w:rPr>
            </w:pPr>
            <w:r w:rsidRPr="35D3FA12">
              <w:rPr>
                <w:rFonts w:ascii="Times New Roman" w:eastAsia="Times New Roman" w:hAnsi="Times New Roman" w:cs="Times New Roman"/>
              </w:rPr>
              <w:t>SCI Biology Part 1: How an SCI causes loss of function</w:t>
            </w:r>
          </w:p>
        </w:tc>
      </w:tr>
      <w:tr w:rsidR="35D3FA12" w14:paraId="413DE44E" w14:textId="77777777" w:rsidTr="35D3FA12">
        <w:trPr>
          <w:trHeight w:val="300"/>
        </w:trPr>
        <w:tc>
          <w:tcPr>
            <w:tcW w:w="1260" w:type="dxa"/>
          </w:tcPr>
          <w:p w14:paraId="30AF0B70" w14:textId="2079DD52"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5</w:t>
            </w:r>
          </w:p>
        </w:tc>
        <w:tc>
          <w:tcPr>
            <w:tcW w:w="8100" w:type="dxa"/>
          </w:tcPr>
          <w:p w14:paraId="5EC20974" w14:textId="22F0C42D" w:rsidR="7795C40C" w:rsidRDefault="7795C40C" w:rsidP="35D3FA12">
            <w:pPr>
              <w:rPr>
                <w:rFonts w:ascii="Times New Roman" w:eastAsia="Times New Roman" w:hAnsi="Times New Roman" w:cs="Times New Roman"/>
              </w:rPr>
            </w:pPr>
            <w:r w:rsidRPr="35D3FA12">
              <w:rPr>
                <w:rFonts w:ascii="Times New Roman" w:eastAsia="Times New Roman" w:hAnsi="Times New Roman" w:cs="Times New Roman"/>
              </w:rPr>
              <w:t>SCI Biology Part 2: Aging with a spinal cord injury</w:t>
            </w:r>
          </w:p>
        </w:tc>
      </w:tr>
      <w:tr w:rsidR="35D3FA12" w14:paraId="38EBE4A7" w14:textId="77777777" w:rsidTr="35D3FA12">
        <w:trPr>
          <w:trHeight w:val="300"/>
        </w:trPr>
        <w:tc>
          <w:tcPr>
            <w:tcW w:w="1260" w:type="dxa"/>
          </w:tcPr>
          <w:p w14:paraId="29468A8F" w14:textId="705ABF75"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6</w:t>
            </w:r>
          </w:p>
        </w:tc>
        <w:tc>
          <w:tcPr>
            <w:tcW w:w="8100" w:type="dxa"/>
          </w:tcPr>
          <w:p w14:paraId="1169BBCE" w14:textId="197486DA" w:rsidR="4DCD78E2" w:rsidRDefault="4DCD78E2" w:rsidP="35D3FA12">
            <w:pPr>
              <w:rPr>
                <w:rFonts w:ascii="Times New Roman" w:eastAsia="Times New Roman" w:hAnsi="Times New Roman" w:cs="Times New Roman"/>
              </w:rPr>
            </w:pPr>
            <w:r w:rsidRPr="35D3FA12">
              <w:rPr>
                <w:rFonts w:ascii="Times New Roman" w:eastAsia="Times New Roman" w:hAnsi="Times New Roman" w:cs="Times New Roman"/>
              </w:rPr>
              <w:t>Neuroprotection</w:t>
            </w:r>
          </w:p>
        </w:tc>
      </w:tr>
      <w:tr w:rsidR="35D3FA12" w14:paraId="66ACBC3F" w14:textId="77777777" w:rsidTr="35D3FA12">
        <w:trPr>
          <w:trHeight w:val="300"/>
        </w:trPr>
        <w:tc>
          <w:tcPr>
            <w:tcW w:w="1260" w:type="dxa"/>
          </w:tcPr>
          <w:p w14:paraId="0175F273" w14:textId="729CB843"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7</w:t>
            </w:r>
          </w:p>
        </w:tc>
        <w:tc>
          <w:tcPr>
            <w:tcW w:w="8100" w:type="dxa"/>
          </w:tcPr>
          <w:p w14:paraId="23178F66" w14:textId="497CD6F0" w:rsidR="179310C3" w:rsidRDefault="179310C3" w:rsidP="35D3FA12">
            <w:pPr>
              <w:rPr>
                <w:rFonts w:ascii="Times New Roman" w:eastAsia="Times New Roman" w:hAnsi="Times New Roman" w:cs="Times New Roman"/>
              </w:rPr>
            </w:pPr>
            <w:r w:rsidRPr="35D3FA12">
              <w:rPr>
                <w:rFonts w:ascii="Times New Roman" w:eastAsia="Times New Roman" w:hAnsi="Times New Roman" w:cs="Times New Roman"/>
              </w:rPr>
              <w:t>Cell Replacement</w:t>
            </w:r>
          </w:p>
        </w:tc>
      </w:tr>
      <w:tr w:rsidR="35D3FA12" w14:paraId="3F0F3D2F" w14:textId="77777777" w:rsidTr="35D3FA12">
        <w:trPr>
          <w:trHeight w:val="300"/>
        </w:trPr>
        <w:tc>
          <w:tcPr>
            <w:tcW w:w="1260" w:type="dxa"/>
          </w:tcPr>
          <w:p w14:paraId="59399547" w14:textId="088D57C9"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8</w:t>
            </w:r>
          </w:p>
        </w:tc>
        <w:tc>
          <w:tcPr>
            <w:tcW w:w="8100" w:type="dxa"/>
          </w:tcPr>
          <w:p w14:paraId="465934E0" w14:textId="50F67083" w:rsidR="6C342CF2" w:rsidRDefault="6C342CF2" w:rsidP="35D3FA12">
            <w:pPr>
              <w:rPr>
                <w:rFonts w:ascii="Times New Roman" w:eastAsia="Times New Roman" w:hAnsi="Times New Roman" w:cs="Times New Roman"/>
              </w:rPr>
            </w:pPr>
            <w:r w:rsidRPr="35D3FA12">
              <w:rPr>
                <w:rFonts w:ascii="Times New Roman" w:eastAsia="Times New Roman" w:hAnsi="Times New Roman" w:cs="Times New Roman"/>
              </w:rPr>
              <w:t>Regeneration (Neurorepair)</w:t>
            </w:r>
          </w:p>
        </w:tc>
      </w:tr>
      <w:tr w:rsidR="35D3FA12" w14:paraId="459883AB" w14:textId="77777777" w:rsidTr="35D3FA12">
        <w:trPr>
          <w:trHeight w:val="300"/>
        </w:trPr>
        <w:tc>
          <w:tcPr>
            <w:tcW w:w="1260" w:type="dxa"/>
          </w:tcPr>
          <w:p w14:paraId="65C75E62" w14:textId="2AF31DFE"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9</w:t>
            </w:r>
          </w:p>
        </w:tc>
        <w:tc>
          <w:tcPr>
            <w:tcW w:w="8100" w:type="dxa"/>
          </w:tcPr>
          <w:p w14:paraId="697DDA73" w14:textId="49311C5B" w:rsidR="6EFFFAE5" w:rsidRDefault="6EFFFAE5" w:rsidP="35D3FA12">
            <w:pPr>
              <w:rPr>
                <w:rFonts w:ascii="Times New Roman" w:eastAsia="Times New Roman" w:hAnsi="Times New Roman" w:cs="Times New Roman"/>
              </w:rPr>
            </w:pPr>
            <w:r w:rsidRPr="35D3FA12">
              <w:rPr>
                <w:rFonts w:ascii="Times New Roman" w:eastAsia="Times New Roman" w:hAnsi="Times New Roman" w:cs="Times New Roman"/>
              </w:rPr>
              <w:t>Retraining (Neuroplasticity)</w:t>
            </w:r>
          </w:p>
        </w:tc>
      </w:tr>
      <w:tr w:rsidR="35D3FA12" w14:paraId="06B19FB0" w14:textId="77777777" w:rsidTr="35D3FA12">
        <w:trPr>
          <w:trHeight w:val="300"/>
        </w:trPr>
        <w:tc>
          <w:tcPr>
            <w:tcW w:w="1260" w:type="dxa"/>
          </w:tcPr>
          <w:p w14:paraId="28FAD3CA" w14:textId="7792CE9F"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10</w:t>
            </w:r>
          </w:p>
        </w:tc>
        <w:tc>
          <w:tcPr>
            <w:tcW w:w="8100" w:type="dxa"/>
          </w:tcPr>
          <w:p w14:paraId="1FDFFEE2" w14:textId="5D19D3B3" w:rsidR="3009651B" w:rsidRDefault="3009651B" w:rsidP="35D3FA12">
            <w:pPr>
              <w:rPr>
                <w:rFonts w:ascii="Times New Roman" w:eastAsia="Times New Roman" w:hAnsi="Times New Roman" w:cs="Times New Roman"/>
              </w:rPr>
            </w:pPr>
            <w:r w:rsidRPr="35D3FA12">
              <w:rPr>
                <w:rFonts w:ascii="Times New Roman" w:eastAsia="Times New Roman" w:hAnsi="Times New Roman" w:cs="Times New Roman"/>
              </w:rPr>
              <w:t>Quality of Life Research</w:t>
            </w:r>
          </w:p>
        </w:tc>
      </w:tr>
      <w:tr w:rsidR="35D3FA12" w14:paraId="75711C28" w14:textId="77777777" w:rsidTr="35D3FA12">
        <w:trPr>
          <w:trHeight w:val="300"/>
        </w:trPr>
        <w:tc>
          <w:tcPr>
            <w:tcW w:w="1260" w:type="dxa"/>
          </w:tcPr>
          <w:p w14:paraId="0AC3EFD9" w14:textId="477EE752"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11</w:t>
            </w:r>
          </w:p>
        </w:tc>
        <w:tc>
          <w:tcPr>
            <w:tcW w:w="8100" w:type="dxa"/>
          </w:tcPr>
          <w:p w14:paraId="14D43875" w14:textId="44FECABC" w:rsidR="070AF478" w:rsidRDefault="070AF478" w:rsidP="35D3FA12">
            <w:pPr>
              <w:rPr>
                <w:rFonts w:ascii="Times New Roman" w:eastAsia="Times New Roman" w:hAnsi="Times New Roman" w:cs="Times New Roman"/>
              </w:rPr>
            </w:pPr>
            <w:r w:rsidRPr="35D3FA12">
              <w:rPr>
                <w:rFonts w:ascii="Times New Roman" w:eastAsia="Times New Roman" w:hAnsi="Times New Roman" w:cs="Times New Roman"/>
              </w:rPr>
              <w:t>SCI 101 for Researchers</w:t>
            </w:r>
          </w:p>
        </w:tc>
      </w:tr>
      <w:tr w:rsidR="35D3FA12" w14:paraId="5A97F6E9" w14:textId="77777777" w:rsidTr="35D3FA12">
        <w:trPr>
          <w:trHeight w:val="300"/>
        </w:trPr>
        <w:tc>
          <w:tcPr>
            <w:tcW w:w="1260" w:type="dxa"/>
          </w:tcPr>
          <w:p w14:paraId="61E8903B" w14:textId="780822DF" w:rsidR="6E7F1E18" w:rsidRDefault="6E7F1E18" w:rsidP="35D3FA12">
            <w:pPr>
              <w:jc w:val="center"/>
              <w:rPr>
                <w:rFonts w:ascii="Times New Roman" w:eastAsia="Times New Roman" w:hAnsi="Times New Roman" w:cs="Times New Roman"/>
              </w:rPr>
            </w:pPr>
            <w:r w:rsidRPr="35D3FA12">
              <w:rPr>
                <w:rFonts w:ascii="Times New Roman" w:eastAsia="Times New Roman" w:hAnsi="Times New Roman" w:cs="Times New Roman"/>
              </w:rPr>
              <w:t>12</w:t>
            </w:r>
          </w:p>
        </w:tc>
        <w:tc>
          <w:tcPr>
            <w:tcW w:w="8100" w:type="dxa"/>
          </w:tcPr>
          <w:p w14:paraId="5C4D32C1" w14:textId="0EFD0090" w:rsidR="5E51D02B" w:rsidRDefault="5E51D02B" w:rsidP="35D3FA12">
            <w:pPr>
              <w:rPr>
                <w:rFonts w:ascii="Times New Roman" w:eastAsia="Times New Roman" w:hAnsi="Times New Roman" w:cs="Times New Roman"/>
              </w:rPr>
            </w:pPr>
            <w:r w:rsidRPr="35D3FA12">
              <w:rPr>
                <w:rFonts w:ascii="Times New Roman" w:eastAsia="Times New Roman" w:hAnsi="Times New Roman" w:cs="Times New Roman"/>
              </w:rPr>
              <w:t>Getting Started</w:t>
            </w:r>
          </w:p>
        </w:tc>
      </w:tr>
    </w:tbl>
    <w:p w14:paraId="35BBDA4C" w14:textId="4F0DDB61" w:rsidR="7AD91BC5" w:rsidRDefault="7AD91BC5"/>
    <w:p w14:paraId="559E9DC2" w14:textId="6271A768" w:rsidR="7AD91BC5" w:rsidRDefault="7AD91BC5"/>
    <w:p w14:paraId="3C41ACD0" w14:textId="6D9F496D" w:rsidR="7AD91BC5" w:rsidRDefault="7AD91BC5"/>
    <w:p w14:paraId="4A2015B4" w14:textId="292B00F5" w:rsidR="31811239" w:rsidRDefault="31811239" w:rsidP="7AD91BC5"/>
    <w:sectPr w:rsidR="31811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153"/>
    <w:multiLevelType w:val="hybridMultilevel"/>
    <w:tmpl w:val="783C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C25"/>
    <w:multiLevelType w:val="hybridMultilevel"/>
    <w:tmpl w:val="13A60D6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15:restartNumberingAfterBreak="0">
    <w:nsid w:val="64CC318E"/>
    <w:multiLevelType w:val="hybridMultilevel"/>
    <w:tmpl w:val="7E52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443612">
    <w:abstractNumId w:val="2"/>
  </w:num>
  <w:num w:numId="2" w16cid:durableId="1285573219">
    <w:abstractNumId w:val="0"/>
  </w:num>
  <w:num w:numId="3" w16cid:durableId="203122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605C7"/>
    <w:rsid w:val="002B7348"/>
    <w:rsid w:val="003B49D5"/>
    <w:rsid w:val="004D27C1"/>
    <w:rsid w:val="00636E4E"/>
    <w:rsid w:val="006627B8"/>
    <w:rsid w:val="006E0A39"/>
    <w:rsid w:val="006E4813"/>
    <w:rsid w:val="008819A8"/>
    <w:rsid w:val="00936259"/>
    <w:rsid w:val="00A27D2D"/>
    <w:rsid w:val="00B41627"/>
    <w:rsid w:val="00B42FF8"/>
    <w:rsid w:val="00D52B9A"/>
    <w:rsid w:val="070AF478"/>
    <w:rsid w:val="07703D94"/>
    <w:rsid w:val="0C8248AC"/>
    <w:rsid w:val="0CC100B3"/>
    <w:rsid w:val="0E9E93CE"/>
    <w:rsid w:val="0F95B9C0"/>
    <w:rsid w:val="100FF0BF"/>
    <w:rsid w:val="10196207"/>
    <w:rsid w:val="12028F1E"/>
    <w:rsid w:val="13E76AC2"/>
    <w:rsid w:val="179310C3"/>
    <w:rsid w:val="17F3C043"/>
    <w:rsid w:val="1ADCB8A5"/>
    <w:rsid w:val="1BB67587"/>
    <w:rsid w:val="1E7154FE"/>
    <w:rsid w:val="1EFCC3CC"/>
    <w:rsid w:val="2348372D"/>
    <w:rsid w:val="276B56E0"/>
    <w:rsid w:val="29CA9ECE"/>
    <w:rsid w:val="29E620A8"/>
    <w:rsid w:val="3009651B"/>
    <w:rsid w:val="31811239"/>
    <w:rsid w:val="3192917E"/>
    <w:rsid w:val="33159ADE"/>
    <w:rsid w:val="3415878B"/>
    <w:rsid w:val="34EF9FDE"/>
    <w:rsid w:val="35C750B8"/>
    <w:rsid w:val="35D3FA12"/>
    <w:rsid w:val="371815A5"/>
    <w:rsid w:val="3ACB6DA5"/>
    <w:rsid w:val="3DD99FF4"/>
    <w:rsid w:val="3E7C1245"/>
    <w:rsid w:val="3EC32357"/>
    <w:rsid w:val="3F07130D"/>
    <w:rsid w:val="41465247"/>
    <w:rsid w:val="41DBEF1C"/>
    <w:rsid w:val="42A8C0BC"/>
    <w:rsid w:val="44987117"/>
    <w:rsid w:val="461A6407"/>
    <w:rsid w:val="474EB27C"/>
    <w:rsid w:val="488FB89D"/>
    <w:rsid w:val="49BDC3EB"/>
    <w:rsid w:val="4B304C6C"/>
    <w:rsid w:val="4DCD78E2"/>
    <w:rsid w:val="4EDD8769"/>
    <w:rsid w:val="4F25DED7"/>
    <w:rsid w:val="50730FA8"/>
    <w:rsid w:val="5249FBE0"/>
    <w:rsid w:val="53A42D30"/>
    <w:rsid w:val="5535EDB1"/>
    <w:rsid w:val="56A6E754"/>
    <w:rsid w:val="57853D17"/>
    <w:rsid w:val="596865AA"/>
    <w:rsid w:val="5AFBC6DE"/>
    <w:rsid w:val="5B8D8745"/>
    <w:rsid w:val="5E51D02B"/>
    <w:rsid w:val="5F3D9595"/>
    <w:rsid w:val="6102648C"/>
    <w:rsid w:val="61B752BD"/>
    <w:rsid w:val="65A2F7DE"/>
    <w:rsid w:val="661863B8"/>
    <w:rsid w:val="686197F0"/>
    <w:rsid w:val="693A6690"/>
    <w:rsid w:val="699ED6A7"/>
    <w:rsid w:val="6B383560"/>
    <w:rsid w:val="6BF8961D"/>
    <w:rsid w:val="6C342CF2"/>
    <w:rsid w:val="6E400372"/>
    <w:rsid w:val="6E7F1E18"/>
    <w:rsid w:val="6EFFFAE5"/>
    <w:rsid w:val="700605C7"/>
    <w:rsid w:val="7043B239"/>
    <w:rsid w:val="7311E951"/>
    <w:rsid w:val="7372B910"/>
    <w:rsid w:val="74680179"/>
    <w:rsid w:val="74E47AC1"/>
    <w:rsid w:val="755CBEC2"/>
    <w:rsid w:val="77391C07"/>
    <w:rsid w:val="7795C40C"/>
    <w:rsid w:val="77A3401F"/>
    <w:rsid w:val="78A09C41"/>
    <w:rsid w:val="7A5449DD"/>
    <w:rsid w:val="7A5666C3"/>
    <w:rsid w:val="7AD91BC5"/>
    <w:rsid w:val="7BA7184F"/>
    <w:rsid w:val="7C148988"/>
    <w:rsid w:val="7E54F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05C7"/>
  <w15:chartTrackingRefBased/>
  <w15:docId w15:val="{AB0228BB-E38B-4E8F-8AF1-14BF07A3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B4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627"/>
    <w:pPr>
      <w:ind w:left="720"/>
      <w:contextualSpacing/>
    </w:pPr>
  </w:style>
  <w:style w:type="character" w:styleId="CommentReference">
    <w:name w:val="annotation reference"/>
    <w:basedOn w:val="DefaultParagraphFont"/>
    <w:uiPriority w:val="99"/>
    <w:semiHidden/>
    <w:unhideWhenUsed/>
    <w:rsid w:val="006E4813"/>
    <w:rPr>
      <w:sz w:val="16"/>
      <w:szCs w:val="16"/>
    </w:rPr>
  </w:style>
  <w:style w:type="paragraph" w:styleId="CommentText">
    <w:name w:val="annotation text"/>
    <w:basedOn w:val="Normal"/>
    <w:link w:val="CommentTextChar"/>
    <w:uiPriority w:val="99"/>
    <w:unhideWhenUsed/>
    <w:rsid w:val="006E4813"/>
    <w:pPr>
      <w:spacing w:line="240" w:lineRule="auto"/>
    </w:pPr>
    <w:rPr>
      <w:sz w:val="20"/>
      <w:szCs w:val="20"/>
    </w:rPr>
  </w:style>
  <w:style w:type="character" w:customStyle="1" w:styleId="CommentTextChar">
    <w:name w:val="Comment Text Char"/>
    <w:basedOn w:val="DefaultParagraphFont"/>
    <w:link w:val="CommentText"/>
    <w:uiPriority w:val="99"/>
    <w:rsid w:val="006E4813"/>
    <w:rPr>
      <w:sz w:val="20"/>
      <w:szCs w:val="20"/>
    </w:rPr>
  </w:style>
  <w:style w:type="paragraph" w:styleId="CommentSubject">
    <w:name w:val="annotation subject"/>
    <w:basedOn w:val="CommentText"/>
    <w:next w:val="CommentText"/>
    <w:link w:val="CommentSubjectChar"/>
    <w:uiPriority w:val="99"/>
    <w:semiHidden/>
    <w:unhideWhenUsed/>
    <w:rsid w:val="006E4813"/>
    <w:rPr>
      <w:b/>
      <w:bCs/>
    </w:rPr>
  </w:style>
  <w:style w:type="character" w:customStyle="1" w:styleId="CommentSubjectChar">
    <w:name w:val="Comment Subject Char"/>
    <w:basedOn w:val="CommentTextChar"/>
    <w:link w:val="CommentSubject"/>
    <w:uiPriority w:val="99"/>
    <w:semiHidden/>
    <w:rsid w:val="006E4813"/>
    <w:rPr>
      <w:b/>
      <w:bCs/>
      <w:sz w:val="20"/>
      <w:szCs w:val="20"/>
    </w:rPr>
  </w:style>
  <w:style w:type="paragraph" w:styleId="Bibliography">
    <w:name w:val="Bibliography"/>
    <w:basedOn w:val="Normal"/>
    <w:next w:val="Normal"/>
    <w:uiPriority w:val="37"/>
    <w:unhideWhenUsed/>
    <w:rsid w:val="002B7348"/>
    <w:pPr>
      <w:tabs>
        <w:tab w:val="left" w:pos="260"/>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3258</Words>
  <Characters>18576</Characters>
  <Application>Microsoft Office Word</Application>
  <DocSecurity>0</DocSecurity>
  <Lines>154</Lines>
  <Paragraphs>43</Paragraphs>
  <ScaleCrop>false</ScaleCrop>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Giroux, Emily</dc:creator>
  <cp:keywords/>
  <dc:description/>
  <cp:lastModifiedBy>Emily Giroux</cp:lastModifiedBy>
  <cp:revision>11</cp:revision>
  <dcterms:created xsi:type="dcterms:W3CDTF">2024-08-12T16:28:00Z</dcterms:created>
  <dcterms:modified xsi:type="dcterms:W3CDTF">2025-06-15T02:55:00Z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id="rLsW8Jy8"/&gt;&lt;style id="http://www.zotero.org/styles/vancouver" locale="en-CA"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