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263F" w:rsidRDefault="00CD263F" w:rsidP="00CD263F">
      <w:pPr>
        <w:pStyle w:val="Heading1"/>
        <w:spacing w:line="480" w:lineRule="auto"/>
      </w:pPr>
      <w:r>
        <w:t>Appendices</w:t>
      </w:r>
    </w:p>
    <w:p w:rsidR="00CD263F" w:rsidRDefault="00CD263F" w:rsidP="00CD263F">
      <w:pPr>
        <w:spacing w:line="240" w:lineRule="auto"/>
      </w:pPr>
      <w:r>
        <w:rPr>
          <w:b/>
          <w:bCs/>
        </w:rPr>
        <w:t>Appendix 1:</w:t>
      </w:r>
      <w:r>
        <w:t xml:space="preserve"> Extraction of quality of life dimensions from the EQ-5D, AQoL-4D and ASCOT (adapted from </w:t>
      </w:r>
      <w:proofErr w:type="spellStart"/>
      <w:r>
        <w:t>Ratcliffe</w:t>
      </w:r>
      <w:proofErr w:type="spellEnd"/>
      <w:r>
        <w:t xml:space="preserve"> et al. 2017)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2194"/>
        <w:gridCol w:w="2194"/>
        <w:gridCol w:w="2194"/>
      </w:tblGrid>
      <w:tr w:rsidR="00CD263F" w:rsidTr="00A9221F">
        <w:tc>
          <w:tcPr>
            <w:tcW w:w="2660" w:type="dxa"/>
            <w:tcBorders>
              <w:bottom w:val="single" w:sz="4" w:space="0" w:color="auto"/>
            </w:tcBorders>
          </w:tcPr>
          <w:p w:rsidR="00CD263F" w:rsidRDefault="00CD263F" w:rsidP="00A9221F"/>
        </w:tc>
        <w:tc>
          <w:tcPr>
            <w:tcW w:w="2194" w:type="dxa"/>
            <w:tcBorders>
              <w:bottom w:val="single" w:sz="4" w:space="0" w:color="auto"/>
            </w:tcBorders>
          </w:tcPr>
          <w:p w:rsidR="00CD263F" w:rsidRPr="00597CDC" w:rsidRDefault="00CD263F" w:rsidP="00A9221F">
            <w:pPr>
              <w:jc w:val="center"/>
              <w:rPr>
                <w:b/>
                <w:bCs/>
              </w:rPr>
            </w:pPr>
            <w:r w:rsidRPr="00597CDC">
              <w:rPr>
                <w:b/>
                <w:bCs/>
              </w:rPr>
              <w:t>EQ-5D</w:t>
            </w:r>
          </w:p>
        </w:tc>
        <w:tc>
          <w:tcPr>
            <w:tcW w:w="2194" w:type="dxa"/>
            <w:tcBorders>
              <w:bottom w:val="single" w:sz="4" w:space="0" w:color="auto"/>
            </w:tcBorders>
          </w:tcPr>
          <w:p w:rsidR="00CD263F" w:rsidRPr="00597CDC" w:rsidRDefault="00CD263F" w:rsidP="00A9221F">
            <w:pPr>
              <w:jc w:val="center"/>
              <w:rPr>
                <w:b/>
                <w:bCs/>
              </w:rPr>
            </w:pPr>
            <w:r w:rsidRPr="00597CDC">
              <w:rPr>
                <w:b/>
                <w:bCs/>
              </w:rPr>
              <w:t>A</w:t>
            </w:r>
            <w:r>
              <w:rPr>
                <w:b/>
                <w:bCs/>
              </w:rPr>
              <w:t>QoL</w:t>
            </w:r>
            <w:r w:rsidRPr="00597CDC">
              <w:rPr>
                <w:b/>
                <w:bCs/>
              </w:rPr>
              <w:t>-4D</w:t>
            </w:r>
          </w:p>
        </w:tc>
        <w:tc>
          <w:tcPr>
            <w:tcW w:w="2194" w:type="dxa"/>
            <w:tcBorders>
              <w:bottom w:val="single" w:sz="4" w:space="0" w:color="auto"/>
            </w:tcBorders>
          </w:tcPr>
          <w:p w:rsidR="00CD263F" w:rsidRPr="00597CDC" w:rsidRDefault="00CD263F" w:rsidP="00A9221F">
            <w:pPr>
              <w:jc w:val="center"/>
              <w:rPr>
                <w:b/>
                <w:bCs/>
              </w:rPr>
            </w:pPr>
            <w:r w:rsidRPr="00597CDC">
              <w:rPr>
                <w:b/>
                <w:bCs/>
              </w:rPr>
              <w:t>ASCOT</w:t>
            </w:r>
          </w:p>
        </w:tc>
      </w:tr>
      <w:tr w:rsidR="00CD263F" w:rsidTr="00A9221F">
        <w:tc>
          <w:tcPr>
            <w:tcW w:w="2660" w:type="dxa"/>
            <w:tcBorders>
              <w:top w:val="single" w:sz="4" w:space="0" w:color="auto"/>
            </w:tcBorders>
          </w:tcPr>
          <w:p w:rsidR="00CD263F" w:rsidRPr="00597CDC" w:rsidRDefault="00CD263F" w:rsidP="00A9221F">
            <w:pPr>
              <w:rPr>
                <w:b/>
                <w:bCs/>
              </w:rPr>
            </w:pPr>
            <w:r w:rsidRPr="00597CDC">
              <w:rPr>
                <w:b/>
                <w:bCs/>
              </w:rPr>
              <w:t>Health status dimensions</w:t>
            </w:r>
          </w:p>
        </w:tc>
        <w:tc>
          <w:tcPr>
            <w:tcW w:w="2194" w:type="dxa"/>
            <w:tcBorders>
              <w:top w:val="single" w:sz="4" w:space="0" w:color="auto"/>
            </w:tcBorders>
          </w:tcPr>
          <w:p w:rsidR="00CD263F" w:rsidRDefault="00CD263F" w:rsidP="00A9221F">
            <w:pPr>
              <w:jc w:val="center"/>
            </w:pPr>
          </w:p>
        </w:tc>
        <w:tc>
          <w:tcPr>
            <w:tcW w:w="2194" w:type="dxa"/>
            <w:tcBorders>
              <w:top w:val="single" w:sz="4" w:space="0" w:color="auto"/>
            </w:tcBorders>
          </w:tcPr>
          <w:p w:rsidR="00CD263F" w:rsidRDefault="00CD263F" w:rsidP="00A9221F">
            <w:pPr>
              <w:jc w:val="center"/>
            </w:pPr>
          </w:p>
        </w:tc>
        <w:tc>
          <w:tcPr>
            <w:tcW w:w="2194" w:type="dxa"/>
            <w:tcBorders>
              <w:top w:val="single" w:sz="4" w:space="0" w:color="auto"/>
            </w:tcBorders>
          </w:tcPr>
          <w:p w:rsidR="00CD263F" w:rsidRDefault="00CD263F" w:rsidP="00A9221F">
            <w:pPr>
              <w:jc w:val="center"/>
            </w:pPr>
          </w:p>
        </w:tc>
      </w:tr>
      <w:tr w:rsidR="00CD263F" w:rsidTr="00A9221F">
        <w:tc>
          <w:tcPr>
            <w:tcW w:w="2660" w:type="dxa"/>
          </w:tcPr>
          <w:p w:rsidR="00CD263F" w:rsidRDefault="00CD263F" w:rsidP="00A9221F">
            <w:pPr>
              <w:jc w:val="right"/>
            </w:pPr>
            <w:r>
              <w:t>Physical mobility</w:t>
            </w:r>
          </w:p>
        </w:tc>
        <w:tc>
          <w:tcPr>
            <w:tcW w:w="2194" w:type="dxa"/>
          </w:tcPr>
          <w:p w:rsidR="00CD263F" w:rsidRPr="00C642F9" w:rsidRDefault="00CD263F" w:rsidP="00A9221F">
            <w:pPr>
              <w:jc w:val="center"/>
              <w:rPr>
                <w:rFonts w:ascii="Wingdings" w:hAnsi="Wingdings"/>
              </w:rPr>
            </w:pPr>
            <w:r>
              <w:sym w:font="Wingdings 2" w:char="F050"/>
            </w: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  <w:r>
              <w:sym w:font="Wingdings 2" w:char="F050"/>
            </w: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</w:p>
        </w:tc>
      </w:tr>
      <w:tr w:rsidR="00CD263F" w:rsidTr="00A9221F">
        <w:tc>
          <w:tcPr>
            <w:tcW w:w="2660" w:type="dxa"/>
          </w:tcPr>
          <w:p w:rsidR="00CD263F" w:rsidRDefault="00CD263F" w:rsidP="00A9221F">
            <w:pPr>
              <w:jc w:val="right"/>
            </w:pPr>
            <w:r>
              <w:t>Mental well-being</w:t>
            </w: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  <w:r>
              <w:sym w:font="Wingdings 2" w:char="F050"/>
            </w: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  <w:r>
              <w:sym w:font="Wingdings 2" w:char="F050"/>
            </w: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</w:p>
        </w:tc>
      </w:tr>
      <w:tr w:rsidR="00CD263F" w:rsidTr="00A9221F">
        <w:tc>
          <w:tcPr>
            <w:tcW w:w="2660" w:type="dxa"/>
          </w:tcPr>
          <w:p w:rsidR="00CD263F" w:rsidRDefault="00CD263F" w:rsidP="00A9221F">
            <w:pPr>
              <w:jc w:val="right"/>
            </w:pPr>
            <w:r>
              <w:t>Pain</w:t>
            </w: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  <w:r>
              <w:sym w:font="Wingdings 2" w:char="F050"/>
            </w: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  <w:r>
              <w:sym w:font="Wingdings 2" w:char="F050"/>
            </w: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</w:p>
        </w:tc>
      </w:tr>
      <w:tr w:rsidR="00CD263F" w:rsidTr="00A9221F">
        <w:tc>
          <w:tcPr>
            <w:tcW w:w="2660" w:type="dxa"/>
          </w:tcPr>
          <w:p w:rsidR="00CD263F" w:rsidRDefault="00CD263F" w:rsidP="00A9221F">
            <w:pPr>
              <w:jc w:val="right"/>
            </w:pPr>
            <w:r>
              <w:t>Sleep</w:t>
            </w: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  <w:r>
              <w:sym w:font="Wingdings 2" w:char="F050"/>
            </w: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</w:p>
        </w:tc>
      </w:tr>
      <w:tr w:rsidR="00CD263F" w:rsidTr="00A9221F">
        <w:tc>
          <w:tcPr>
            <w:tcW w:w="2660" w:type="dxa"/>
          </w:tcPr>
          <w:p w:rsidR="00CD263F" w:rsidRDefault="00CD263F" w:rsidP="00A9221F">
            <w:pPr>
              <w:jc w:val="right"/>
            </w:pPr>
            <w:r>
              <w:t>Vision</w:t>
            </w: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  <w:r>
              <w:sym w:font="Wingdings 2" w:char="F050"/>
            </w: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</w:p>
        </w:tc>
      </w:tr>
      <w:tr w:rsidR="00CD263F" w:rsidTr="00A9221F">
        <w:tc>
          <w:tcPr>
            <w:tcW w:w="2660" w:type="dxa"/>
            <w:tcBorders>
              <w:bottom w:val="single" w:sz="4" w:space="0" w:color="auto"/>
            </w:tcBorders>
          </w:tcPr>
          <w:p w:rsidR="00CD263F" w:rsidRDefault="00CD263F" w:rsidP="00A9221F">
            <w:pPr>
              <w:jc w:val="right"/>
            </w:pPr>
            <w:r>
              <w:t>Hearing</w:t>
            </w:r>
          </w:p>
        </w:tc>
        <w:tc>
          <w:tcPr>
            <w:tcW w:w="2194" w:type="dxa"/>
            <w:tcBorders>
              <w:bottom w:val="single" w:sz="4" w:space="0" w:color="auto"/>
            </w:tcBorders>
          </w:tcPr>
          <w:p w:rsidR="00CD263F" w:rsidRDefault="00CD263F" w:rsidP="00A9221F">
            <w:pPr>
              <w:jc w:val="center"/>
            </w:pPr>
          </w:p>
        </w:tc>
        <w:tc>
          <w:tcPr>
            <w:tcW w:w="2194" w:type="dxa"/>
            <w:tcBorders>
              <w:bottom w:val="single" w:sz="4" w:space="0" w:color="auto"/>
            </w:tcBorders>
          </w:tcPr>
          <w:p w:rsidR="00CD263F" w:rsidRDefault="00CD263F" w:rsidP="00A9221F">
            <w:pPr>
              <w:jc w:val="center"/>
            </w:pPr>
            <w:r>
              <w:sym w:font="Wingdings 2" w:char="F050"/>
            </w:r>
          </w:p>
        </w:tc>
        <w:tc>
          <w:tcPr>
            <w:tcW w:w="2194" w:type="dxa"/>
            <w:tcBorders>
              <w:bottom w:val="single" w:sz="4" w:space="0" w:color="auto"/>
            </w:tcBorders>
          </w:tcPr>
          <w:p w:rsidR="00CD263F" w:rsidRDefault="00CD263F" w:rsidP="00A9221F">
            <w:pPr>
              <w:jc w:val="center"/>
            </w:pPr>
          </w:p>
        </w:tc>
      </w:tr>
      <w:tr w:rsidR="00CD263F" w:rsidTr="00A9221F">
        <w:tc>
          <w:tcPr>
            <w:tcW w:w="2660" w:type="dxa"/>
            <w:tcBorders>
              <w:top w:val="single" w:sz="4" w:space="0" w:color="auto"/>
            </w:tcBorders>
          </w:tcPr>
          <w:p w:rsidR="00CD263F" w:rsidRPr="00597CDC" w:rsidRDefault="00CD263F" w:rsidP="00A9221F">
            <w:pPr>
              <w:rPr>
                <w:b/>
                <w:bCs/>
              </w:rPr>
            </w:pPr>
            <w:r w:rsidRPr="00597CDC">
              <w:rPr>
                <w:b/>
                <w:bCs/>
              </w:rPr>
              <w:t>Well-being dimensions</w:t>
            </w:r>
          </w:p>
        </w:tc>
        <w:tc>
          <w:tcPr>
            <w:tcW w:w="2194" w:type="dxa"/>
            <w:tcBorders>
              <w:top w:val="single" w:sz="4" w:space="0" w:color="auto"/>
            </w:tcBorders>
          </w:tcPr>
          <w:p w:rsidR="00CD263F" w:rsidRDefault="00CD263F" w:rsidP="00A9221F">
            <w:pPr>
              <w:jc w:val="center"/>
            </w:pPr>
          </w:p>
        </w:tc>
        <w:tc>
          <w:tcPr>
            <w:tcW w:w="2194" w:type="dxa"/>
            <w:tcBorders>
              <w:top w:val="single" w:sz="4" w:space="0" w:color="auto"/>
            </w:tcBorders>
          </w:tcPr>
          <w:p w:rsidR="00CD263F" w:rsidRDefault="00CD263F" w:rsidP="00A9221F">
            <w:pPr>
              <w:jc w:val="center"/>
            </w:pPr>
          </w:p>
        </w:tc>
        <w:tc>
          <w:tcPr>
            <w:tcW w:w="2194" w:type="dxa"/>
            <w:tcBorders>
              <w:top w:val="single" w:sz="4" w:space="0" w:color="auto"/>
            </w:tcBorders>
          </w:tcPr>
          <w:p w:rsidR="00CD263F" w:rsidRDefault="00CD263F" w:rsidP="00A9221F">
            <w:pPr>
              <w:jc w:val="center"/>
            </w:pPr>
          </w:p>
        </w:tc>
      </w:tr>
      <w:tr w:rsidR="00CD263F" w:rsidTr="00A9221F">
        <w:tc>
          <w:tcPr>
            <w:tcW w:w="2660" w:type="dxa"/>
          </w:tcPr>
          <w:p w:rsidR="00CD263F" w:rsidRDefault="00CD263F" w:rsidP="00A9221F">
            <w:pPr>
              <w:jc w:val="right"/>
            </w:pPr>
            <w:r>
              <w:t>Control</w:t>
            </w: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  <w:r>
              <w:sym w:font="Wingdings 2" w:char="F050"/>
            </w:r>
          </w:p>
        </w:tc>
      </w:tr>
      <w:tr w:rsidR="00CD263F" w:rsidTr="00A9221F">
        <w:tc>
          <w:tcPr>
            <w:tcW w:w="2660" w:type="dxa"/>
          </w:tcPr>
          <w:p w:rsidR="00CD263F" w:rsidRDefault="00CD263F" w:rsidP="00A9221F">
            <w:pPr>
              <w:jc w:val="right"/>
            </w:pPr>
            <w:r>
              <w:t>Self-care</w:t>
            </w: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  <w:r>
              <w:sym w:font="Wingdings 2" w:char="F050"/>
            </w: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  <w:r>
              <w:sym w:font="Wingdings 2" w:char="F050"/>
            </w: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  <w:r>
              <w:sym w:font="Wingdings 2" w:char="F050"/>
            </w:r>
          </w:p>
        </w:tc>
      </w:tr>
      <w:tr w:rsidR="00CD263F" w:rsidTr="00A9221F">
        <w:tc>
          <w:tcPr>
            <w:tcW w:w="2660" w:type="dxa"/>
          </w:tcPr>
          <w:p w:rsidR="00CD263F" w:rsidRDefault="00CD263F" w:rsidP="00A9221F">
            <w:pPr>
              <w:jc w:val="right"/>
            </w:pPr>
            <w:r>
              <w:t>Independence</w:t>
            </w: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  <w:r>
              <w:sym w:font="Wingdings 2" w:char="F050"/>
            </w: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  <w:r>
              <w:sym w:font="Wingdings 2" w:char="F050"/>
            </w: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  <w:r>
              <w:sym w:font="Wingdings 2" w:char="F050"/>
            </w:r>
          </w:p>
        </w:tc>
      </w:tr>
      <w:tr w:rsidR="00CD263F" w:rsidTr="00A9221F">
        <w:tc>
          <w:tcPr>
            <w:tcW w:w="2660" w:type="dxa"/>
          </w:tcPr>
          <w:p w:rsidR="00CD263F" w:rsidRDefault="00CD263F" w:rsidP="00A9221F">
            <w:pPr>
              <w:jc w:val="right"/>
            </w:pPr>
            <w:r>
              <w:t>Safety</w:t>
            </w: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  <w:r>
              <w:sym w:font="Wingdings 2" w:char="F050"/>
            </w:r>
          </w:p>
        </w:tc>
      </w:tr>
      <w:tr w:rsidR="00CD263F" w:rsidTr="00A9221F">
        <w:tc>
          <w:tcPr>
            <w:tcW w:w="2660" w:type="dxa"/>
          </w:tcPr>
          <w:p w:rsidR="00CD263F" w:rsidRDefault="00CD263F" w:rsidP="00A9221F">
            <w:pPr>
              <w:jc w:val="right"/>
            </w:pPr>
            <w:r>
              <w:t>Social relationships</w:t>
            </w: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  <w:r>
              <w:sym w:font="Wingdings 2" w:char="F050"/>
            </w: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</w:p>
        </w:tc>
      </w:tr>
      <w:tr w:rsidR="00CD263F" w:rsidTr="00A9221F">
        <w:tc>
          <w:tcPr>
            <w:tcW w:w="2660" w:type="dxa"/>
          </w:tcPr>
          <w:p w:rsidR="00CD263F" w:rsidRDefault="00CD263F" w:rsidP="00A9221F">
            <w:pPr>
              <w:jc w:val="right"/>
            </w:pPr>
            <w:r>
              <w:t>Dignity</w:t>
            </w: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</w:p>
        </w:tc>
        <w:tc>
          <w:tcPr>
            <w:tcW w:w="2194" w:type="dxa"/>
          </w:tcPr>
          <w:p w:rsidR="00CD263F" w:rsidRDefault="00CD263F" w:rsidP="00A9221F">
            <w:pPr>
              <w:jc w:val="center"/>
            </w:pPr>
            <w:r>
              <w:sym w:font="Wingdings 2" w:char="F050"/>
            </w:r>
          </w:p>
        </w:tc>
      </w:tr>
    </w:tbl>
    <w:p w:rsidR="00CD263F" w:rsidRDefault="00CD263F" w:rsidP="00CD263F">
      <w:pPr>
        <w:spacing w:line="480" w:lineRule="auto"/>
      </w:pPr>
    </w:p>
    <w:p w:rsidR="00FF0F33" w:rsidRDefault="00CD263F">
      <w:bookmarkStart w:id="0" w:name="_GoBack"/>
      <w:bookmarkEnd w:id="0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63F"/>
    <w:rsid w:val="00733948"/>
    <w:rsid w:val="00A745DE"/>
    <w:rsid w:val="00CD263F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71356B-70F8-48BF-A00C-125BBB932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263F"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26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263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AU"/>
    </w:rPr>
  </w:style>
  <w:style w:type="table" w:styleId="TableGrid">
    <w:name w:val="Table Grid"/>
    <w:basedOn w:val="TableNormal"/>
    <w:uiPriority w:val="39"/>
    <w:rsid w:val="00CD263F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2021-07-12T12:40:00Z</dcterms:created>
  <dcterms:modified xsi:type="dcterms:W3CDTF">2021-07-12T12:41:00Z</dcterms:modified>
</cp:coreProperties>
</file>