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CC31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textAlignment w:val="auto"/>
        <w:rPr>
          <w:rFonts w:hint="eastAsia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Table 2 Comparison of characteristics and outcome of CM patients with or without 25(OH)D deficiency</w:t>
      </w:r>
    </w:p>
    <w:p w14:paraId="20EC7A05">
      <w:pPr>
        <w:rPr>
          <w:rFonts w:hint="eastAsia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66"/>
        <w:gridCol w:w="1752"/>
        <w:gridCol w:w="1713"/>
        <w:gridCol w:w="991"/>
      </w:tblGrid>
      <w:tr w14:paraId="3722B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2" w:hRule="atLeast"/>
        </w:trPr>
        <w:tc>
          <w:tcPr>
            <w:tcW w:w="4066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1E5B257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Parameters</w:t>
            </w:r>
          </w:p>
        </w:tc>
        <w:tc>
          <w:tcPr>
            <w:tcW w:w="1752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7EA9C64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25(OH)D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微软雅黑" w:hAnsi="微软雅黑" w:eastAsia="微软雅黑" w:cs="微软雅黑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&lt;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20 ng/ml</w:t>
            </w:r>
          </w:p>
        </w:tc>
        <w:tc>
          <w:tcPr>
            <w:tcW w:w="1713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174F5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25(OH)D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≥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20 ng/mL 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vAlign w:val="center"/>
          </w:tcPr>
          <w:p w14:paraId="64C9C3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i/>
                <w:iCs/>
                <w:color w:val="auto"/>
                <w:sz w:val="24"/>
                <w:szCs w:val="24"/>
                <w:vertAlign w:val="baseline"/>
              </w:rPr>
              <w:t>P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-value</w:t>
            </w:r>
          </w:p>
        </w:tc>
      </w:tr>
      <w:tr w14:paraId="6F6A49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AC4E73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Count, n</w:t>
            </w:r>
          </w:p>
        </w:tc>
        <w:tc>
          <w:tcPr>
            <w:tcW w:w="1752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</w:tcPr>
          <w:p w14:paraId="372E90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</w:p>
        </w:tc>
        <w:tc>
          <w:tcPr>
            <w:tcW w:w="1713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</w:tcPr>
          <w:p w14:paraId="242214D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38</w:t>
            </w:r>
          </w:p>
        </w:tc>
        <w:tc>
          <w:tcPr>
            <w:tcW w:w="991" w:type="dxa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auto"/>
          </w:tcPr>
          <w:p w14:paraId="335E421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</w:p>
        </w:tc>
      </w:tr>
      <w:tr w14:paraId="53C229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4C266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Age (years)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D6EEB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-6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5AAA08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50.5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6A4D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0.375</w:t>
            </w:r>
          </w:p>
        </w:tc>
      </w:tr>
      <w:tr w14:paraId="3626C2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27C54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M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ale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sex, n (%)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141FC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36 (65.45)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9B9B3B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29 (76.32)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F69355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358</w:t>
            </w:r>
          </w:p>
        </w:tc>
      </w:tr>
      <w:tr w14:paraId="4FB58B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D7959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 xml:space="preserve">Area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t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ype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, u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rban/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ural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5BCBDA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28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BBA194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/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BAA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533</w:t>
            </w:r>
          </w:p>
        </w:tc>
      </w:tr>
      <w:tr w14:paraId="1A5019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FDE441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BMI kg/m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superscript"/>
                <w:lang w:val="en-US" w:eastAsia="zh-CN"/>
              </w:rPr>
              <w:t>2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, mean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SD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94BA1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22.38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2.33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766E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22.89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2.03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D9342C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0.278</w:t>
            </w:r>
          </w:p>
        </w:tc>
      </w:tr>
      <w:tr w14:paraId="340ABA7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8B1D1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both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Predisposing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condition, n (%)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DBDE77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52.73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D7715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42.11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4AB479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399</w:t>
            </w:r>
          </w:p>
        </w:tc>
      </w:tr>
      <w:tr w14:paraId="731AD4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E0144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Fever, n (%)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89F668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40.00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9CBF6A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42.11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96B77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1.000</w:t>
            </w:r>
          </w:p>
        </w:tc>
      </w:tr>
      <w:tr w14:paraId="055779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58B03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Headache, n (%)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F288EA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81.82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E9A957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(86.82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48C76F0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579</w:t>
            </w:r>
          </w:p>
        </w:tc>
      </w:tr>
      <w:tr w14:paraId="043E98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E7B1E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Serum 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CRP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g/L, median (IQR)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63A3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7.30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2.85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22.24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7713A5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5.59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2.40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15.20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1CBDC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488</w:t>
            </w:r>
          </w:p>
        </w:tc>
      </w:tr>
      <w:tr w14:paraId="66B110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174795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LDL-C mmol/L,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median (IQR)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10F5C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2.92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2.43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3.46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106FD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2.97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2.15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3.50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FDE57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0.935</w:t>
            </w:r>
          </w:p>
        </w:tc>
      </w:tr>
      <w:tr w14:paraId="19C473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C6807C7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Open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pressure</w:t>
            </w: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,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median (IQR)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B318C0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235 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150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330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BDAA028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180 (150-270)</w:t>
            </w:r>
          </w:p>
        </w:tc>
        <w:tc>
          <w:tcPr>
            <w:tcW w:w="9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0665342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0.223</w:t>
            </w:r>
          </w:p>
        </w:tc>
      </w:tr>
      <w:tr w14:paraId="0060B4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8A2F00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CSF WBC /ml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, median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(IQR)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393707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69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37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157.5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4232B8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77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34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-1</w:t>
            </w: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58</w:t>
            </w:r>
            <w:r>
              <w:rPr>
                <w:rFonts w:hint="default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6191E06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0.743</w:t>
            </w:r>
          </w:p>
        </w:tc>
      </w:tr>
      <w:tr w14:paraId="1645F9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2BF30BC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CSF p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rotein g/L, median (IQR)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E9CB953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0.85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55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A7BB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1.08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45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-1.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23C246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0.867</w:t>
            </w:r>
          </w:p>
        </w:tc>
      </w:tr>
      <w:tr w14:paraId="6EB312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8DC43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CSF g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lucose mmol/L, median (IQR)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961EA44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2.32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1.21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3.08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3FB867BF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2.19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(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1.30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-2.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83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71BE1D9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</w:rPr>
              <w:t>0.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662</w:t>
            </w:r>
          </w:p>
        </w:tc>
      </w:tr>
      <w:tr w14:paraId="2BE564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5489E9AA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both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Chloride mmol/L, mean </w:t>
            </w:r>
            <w:r>
              <w:rPr>
                <w:rFonts w:hint="default" w:ascii="Times New Roman" w:hAnsi="Times New Roman" w:eastAsia="微软雅黑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±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SD</w:t>
            </w:r>
          </w:p>
        </w:tc>
        <w:tc>
          <w:tcPr>
            <w:tcW w:w="1752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65D5E5A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7.66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± 7.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63</w:t>
            </w:r>
          </w:p>
        </w:tc>
        <w:tc>
          <w:tcPr>
            <w:tcW w:w="1713" w:type="dxa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0A0F7B8B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11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8.58</w:t>
            </w:r>
            <w:r>
              <w:rPr>
                <w:rFonts w:hint="default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 ± </w:t>
            </w: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6.19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center"/>
          </w:tcPr>
          <w:p w14:paraId="147162F1"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480" w:lineRule="auto"/>
              <w:ind w:left="0" w:leftChars="0" w:right="0" w:rightChars="0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0.540</w:t>
            </w:r>
          </w:p>
        </w:tc>
      </w:tr>
      <w:tr w14:paraId="72F3F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EBC1EC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PIIRS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, n (%)</w:t>
            </w:r>
          </w:p>
        </w:tc>
        <w:tc>
          <w:tcPr>
            <w:tcW w:w="1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7B166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24 (43.64)</w:t>
            </w:r>
          </w:p>
        </w:tc>
        <w:tc>
          <w:tcPr>
            <w:tcW w:w="17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0B3F6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8 (21.05)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692CA4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  <w:t>0.028</w:t>
            </w:r>
          </w:p>
        </w:tc>
      </w:tr>
      <w:tr w14:paraId="5A4348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066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0516AE6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left"/>
              <w:textAlignment w:val="auto"/>
              <w:rPr>
                <w:rFonts w:hint="default" w:ascii="Times New Roman" w:hAnsi="Times New Roman" w:cs="Times New Roman" w:eastAsiaTheme="minorEastAsia"/>
                <w:b/>
                <w:bCs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 xml:space="preserve">1-year all-cause mortality rate, 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  <w:lang w:val="en-US" w:eastAsia="zh-CN"/>
              </w:rPr>
              <w:t>n (</w:t>
            </w:r>
            <w:r>
              <w:rPr>
                <w:rFonts w:hint="default" w:ascii="Times New Roman" w:hAnsi="Times New Roman" w:cs="Times New Roman"/>
                <w:b/>
                <w:bCs/>
                <w:color w:val="auto"/>
                <w:sz w:val="24"/>
                <w:szCs w:val="24"/>
                <w:vertAlign w:val="baseline"/>
              </w:rPr>
              <w:t>%)</w:t>
            </w:r>
          </w:p>
        </w:tc>
        <w:tc>
          <w:tcPr>
            <w:tcW w:w="1752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456D247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7 (12.73)</w:t>
            </w:r>
          </w:p>
        </w:tc>
        <w:tc>
          <w:tcPr>
            <w:tcW w:w="1713" w:type="dxa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36293B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1 (2.63)</w:t>
            </w:r>
          </w:p>
        </w:tc>
        <w:tc>
          <w:tcPr>
            <w:tcW w:w="0" w:type="auto"/>
            <w:tcBorders>
              <w:top w:val="nil"/>
              <w:left w:val="nil"/>
              <w:right w:val="nil"/>
            </w:tcBorders>
            <w:shd w:val="clear" w:color="auto" w:fill="auto"/>
            <w:vAlign w:val="top"/>
          </w:tcPr>
          <w:p w14:paraId="575E20A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auto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4"/>
                <w:szCs w:val="24"/>
                <w:vertAlign w:val="baseline"/>
                <w:lang w:val="en-US" w:eastAsia="zh-CN"/>
              </w:rPr>
              <w:t>0.135</w:t>
            </w:r>
          </w:p>
        </w:tc>
      </w:tr>
    </w:tbl>
    <w:p w14:paraId="5A7CE24A">
      <w:pPr>
        <w:keepNext w:val="0"/>
        <w:keepLines w:val="0"/>
        <w:pageBreakBefore w:val="0"/>
        <w:widowControl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</w:pP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Abbreviations: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25(OH)D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, 25-hydroxyvitamin D; BMI, body mass index; CM, </w:t>
      </w:r>
      <w:r>
        <w:rPr>
          <w:rFonts w:hint="default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cryptococcal meningitis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 xml:space="preserve">; CRP, C-reactive protein; CSF, cerebrospinal fluid; IQR, interquartile ranges; LDL-C, low-density lipoprotein cholesterol; </w:t>
      </w:r>
      <w:r>
        <w:rPr>
          <w:rFonts w:hint="default" w:ascii="Times New Roman" w:hAnsi="Times New Roman" w:cs="Times New Roman"/>
          <w:sz w:val="24"/>
          <w:szCs w:val="24"/>
        </w:rPr>
        <w:t>PIIRS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, </w:t>
      </w:r>
      <w:r>
        <w:rPr>
          <w:rFonts w:hint="default" w:ascii="Times New Roman" w:hAnsi="Times New Roman" w:cs="Times New Roman"/>
          <w:sz w:val="24"/>
          <w:szCs w:val="24"/>
        </w:rPr>
        <w:t>postinfectious inflammatory response syndrome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; </w:t>
      </w:r>
      <w:r>
        <w:rPr>
          <w:rFonts w:hint="eastAsia" w:ascii="Times New Roman" w:hAnsi="Times New Roman" w:cs="Times New Roman"/>
          <w:b w:val="0"/>
          <w:bCs w:val="0"/>
          <w:color w:val="auto"/>
          <w:sz w:val="24"/>
          <w:szCs w:val="24"/>
          <w:vertAlign w:val="baseline"/>
          <w:lang w:val="en-US" w:eastAsia="zh-CN"/>
        </w:rPr>
        <w:t>WBC, white blood cell; SD, standard deviation.</w:t>
      </w:r>
    </w:p>
    <w:p w14:paraId="495158DB">
      <w:p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6A72E8"/>
    <w:rsid w:val="0E58427D"/>
    <w:rsid w:val="1380203D"/>
    <w:rsid w:val="1B6034CD"/>
    <w:rsid w:val="334A1673"/>
    <w:rsid w:val="3F5F6185"/>
    <w:rsid w:val="41DC1817"/>
    <w:rsid w:val="472135CE"/>
    <w:rsid w:val="509C7966"/>
    <w:rsid w:val="53E87904"/>
    <w:rsid w:val="551E5B3A"/>
    <w:rsid w:val="61F500DF"/>
    <w:rsid w:val="6B910106"/>
    <w:rsid w:val="734051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213</Words>
  <Characters>1177</Characters>
  <Lines>0</Lines>
  <Paragraphs>0</Paragraphs>
  <TotalTime>2</TotalTime>
  <ScaleCrop>false</ScaleCrop>
  <LinksUpToDate>false</LinksUpToDate>
  <CharactersWithSpaces>1317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2025-05-05T11:02:00Z</dcterms:created>
  <dc:creator>xu</dc:creator>
  <cp:lastModifiedBy>阿廖</cp:lastModifiedBy>
  <dcterms:modified xsi:type="dcterms:W3CDTF">2025-06-17T07:53:28Z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eyJoZGlkIjoiNDc5NTYwZDhkZjJhNWRlNWE3NTZhMzVhZDAwODY4YzkiLCJ1c2VySWQiOiIyODY1MDU0MjkifQ==</vt:lpwstr>
  </property>
  <property fmtid="{D5CDD505-2E9C-101B-9397-08002B2CF9AE}" pid="4" name="ICV">
    <vt:lpwstr>486F3BEF120945BA9DFC3B7AE1438C64_12</vt:lpwstr>
  </property>
</Properties>
</file>