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F689C2" w14:textId="77777777" w:rsidR="00F00065" w:rsidRPr="008E3B69" w:rsidRDefault="00F00065" w:rsidP="00F00065">
      <w:pPr>
        <w:pStyle w:val="Heading1"/>
        <w:spacing w:before="0"/>
        <w:rPr>
          <w:b/>
          <w:bCs/>
        </w:rPr>
      </w:pPr>
      <w:r>
        <w:t xml:space="preserve">Online Supplement </w:t>
      </w:r>
    </w:p>
    <w:p w14:paraId="360FAE2B" w14:textId="77777777" w:rsidR="00F00065" w:rsidRDefault="00F00065" w:rsidP="00F00065">
      <w:pPr>
        <w:pStyle w:val="Heading2"/>
        <w:spacing w:before="0"/>
        <w:rPr>
          <w:rFonts w:cs="Arial"/>
          <w:szCs w:val="20"/>
          <w:shd w:val="clear" w:color="auto" w:fill="FFFFFF"/>
        </w:rPr>
      </w:pPr>
      <w:r w:rsidRPr="00842C27">
        <w:rPr>
          <w:rFonts w:cs="Arial"/>
          <w:szCs w:val="20"/>
          <w:shd w:val="clear" w:color="auto" w:fill="FFFFFF"/>
        </w:rPr>
        <w:t>Drugs and Solutions</w:t>
      </w:r>
    </w:p>
    <w:p w14:paraId="12998788" w14:textId="77777777" w:rsidR="00F00065" w:rsidRDefault="00F00065" w:rsidP="00F00065">
      <w:pPr>
        <w:jc w:val="both"/>
      </w:pPr>
      <w:r w:rsidRPr="002333DF">
        <w:t>Radioimmunoprecipitation assay (RIPA) buffer</w:t>
      </w:r>
      <w:r>
        <w:t xml:space="preserve"> contained</w:t>
      </w:r>
      <w:r w:rsidRPr="002333DF">
        <w:t xml:space="preserve"> 50 mM Trizma® base (Sigma), 150 mM sodium chloride (</w:t>
      </w:r>
      <w:r w:rsidRPr="00E667BB">
        <w:t>Thermo Fisher Scientific</w:t>
      </w:r>
      <w:r w:rsidRPr="002333DF">
        <w:t>), 1% NP40 (Sigma-Aldrich), 0.25% sodium deoxycholate (Sigma-Aldrich), 1 mM EDTA (Boehringer Mannhiem</w:t>
      </w:r>
      <w:r w:rsidRPr="00E667BB">
        <w:t>) (pH 7.4</w:t>
      </w:r>
      <w:r>
        <w:t xml:space="preserve">). Western blot </w:t>
      </w:r>
      <w:r w:rsidRPr="002333DF">
        <w:t>running buffer</w:t>
      </w:r>
      <w:r>
        <w:t xml:space="preserve"> was prepared by diluting 20x</w:t>
      </w:r>
      <w:r w:rsidRPr="002333DF">
        <w:t xml:space="preserve"> NuPAGE</w:t>
      </w:r>
      <w:r w:rsidRPr="000602D6">
        <w:rPr>
          <w:vertAlign w:val="superscript"/>
        </w:rPr>
        <w:t>TM</w:t>
      </w:r>
      <w:r w:rsidRPr="002333DF">
        <w:t xml:space="preserve"> MES SDS Running Buffer</w:t>
      </w:r>
      <w:r>
        <w:t xml:space="preserve"> (</w:t>
      </w:r>
      <w:r w:rsidRPr="002333DF">
        <w:t xml:space="preserve">Life Technologies), </w:t>
      </w:r>
      <w:r>
        <w:t>to 1x in</w:t>
      </w:r>
      <w:r w:rsidRPr="002333DF">
        <w:t xml:space="preserve"> </w:t>
      </w:r>
      <w:r>
        <w:t>deionised water</w:t>
      </w:r>
      <w:r w:rsidRPr="002333DF">
        <w:t xml:space="preserve">. </w:t>
      </w:r>
      <w:r>
        <w:t>Western blot t</w:t>
      </w:r>
      <w:r w:rsidRPr="002333DF">
        <w:t xml:space="preserve">ransfer </w:t>
      </w:r>
      <w:r>
        <w:t>b</w:t>
      </w:r>
      <w:r w:rsidRPr="002333DF">
        <w:t>uffer</w:t>
      </w:r>
      <w:r>
        <w:t xml:space="preserve"> was prepared by diluting 20x</w:t>
      </w:r>
      <w:r w:rsidRPr="002333DF">
        <w:t xml:space="preserve"> NuPAGE</w:t>
      </w:r>
      <w:r w:rsidRPr="00C9473D">
        <w:rPr>
          <w:vertAlign w:val="superscript"/>
        </w:rPr>
        <w:t>TM</w:t>
      </w:r>
      <w:r w:rsidRPr="002333DF">
        <w:t xml:space="preserve"> Transfer Buffer </w:t>
      </w:r>
      <w:r>
        <w:t>(</w:t>
      </w:r>
      <w:r w:rsidRPr="002333DF">
        <w:t xml:space="preserve">Life Technologies), </w:t>
      </w:r>
      <w:r>
        <w:t>to 1x in</w:t>
      </w:r>
      <w:r w:rsidRPr="002333DF">
        <w:t xml:space="preserve"> </w:t>
      </w:r>
      <w:r>
        <w:t xml:space="preserve">deionised water with </w:t>
      </w:r>
      <w:r w:rsidRPr="002333DF">
        <w:t>100 m</w:t>
      </w:r>
      <w:r>
        <w:t>L</w:t>
      </w:r>
      <w:r w:rsidRPr="002333DF">
        <w:t xml:space="preserve"> methanol</w:t>
      </w:r>
      <w:r>
        <w:t xml:space="preserve">. </w:t>
      </w:r>
      <w:r w:rsidRPr="002333DF">
        <w:t>Tris-Buffered Saline (TBS)</w:t>
      </w:r>
      <w:r>
        <w:t xml:space="preserve"> contained 200 m</w:t>
      </w:r>
      <w:r w:rsidRPr="00E667BB">
        <w:t>M</w:t>
      </w:r>
      <w:r>
        <w:t xml:space="preserve"> </w:t>
      </w:r>
      <w:r w:rsidRPr="002333DF">
        <w:t>trizma base (</w:t>
      </w:r>
      <w:r w:rsidRPr="00E667BB">
        <w:t>Sigma Aldrich</w:t>
      </w:r>
      <w:r w:rsidRPr="002333DF">
        <w:t xml:space="preserve">) and </w:t>
      </w:r>
      <w:r>
        <w:t>150</w:t>
      </w:r>
      <w:r w:rsidRPr="00E667BB">
        <w:t xml:space="preserve"> Mm</w:t>
      </w:r>
      <w:r>
        <w:t xml:space="preserve"> </w:t>
      </w:r>
      <w:r w:rsidRPr="002333DF">
        <w:t>sodium chloride (</w:t>
      </w:r>
      <w:r w:rsidRPr="00E667BB">
        <w:t>Thermo Fisher Scientific</w:t>
      </w:r>
      <w:r w:rsidRPr="002333DF">
        <w:t xml:space="preserve">) </w:t>
      </w:r>
      <w:r w:rsidRPr="00E667BB">
        <w:t>(pH 7.</w:t>
      </w:r>
      <w:r>
        <w:t>6</w:t>
      </w:r>
      <w:r w:rsidRPr="00E667BB">
        <w:t>).</w:t>
      </w:r>
      <w:r>
        <w:t xml:space="preserve"> </w:t>
      </w:r>
      <w:r w:rsidRPr="00E667BB">
        <w:t>Phosphate buffered saline (PBS) contained 145 mM sodium chloride (Thermo Fisher Scientific), 7.47 mM disodium hydrogen phosphate (Thermo Fisher Scientific)</w:t>
      </w:r>
      <w:r>
        <w:t xml:space="preserve"> and</w:t>
      </w:r>
      <w:r w:rsidRPr="00E667BB">
        <w:t xml:space="preserve"> 2.5 mM sodium phosphate monobasic (Acros Organics, Geel, Belgium) (pH 7.4). </w:t>
      </w:r>
      <w:r w:rsidRPr="000D1315">
        <w:rPr>
          <w:rStyle w:val="Heading3Char"/>
          <w:rFonts w:cs="Arial"/>
          <w:color w:val="000000" w:themeColor="text1"/>
          <w:szCs w:val="20"/>
        </w:rPr>
        <w:t>Glycine solution was prepared by dissolving g</w:t>
      </w:r>
      <w:r w:rsidRPr="000D1315">
        <w:rPr>
          <w:rFonts w:cs="Arial"/>
          <w:color w:val="000000" w:themeColor="text1"/>
          <w:szCs w:val="20"/>
        </w:rPr>
        <w:t>lycine powder (VWR Chemicals, Pennsylvania, USA) (MW = 75.07) was dissolved in PBS 1x to make a working concentration of 1 M.</w:t>
      </w:r>
      <w:r w:rsidRPr="00BB39C6">
        <w:rPr>
          <w:rFonts w:cs="Arial"/>
          <w:color w:val="000000" w:themeColor="text1"/>
          <w:szCs w:val="20"/>
        </w:rPr>
        <w:t xml:space="preserve"> </w:t>
      </w:r>
      <w:r w:rsidRPr="00E667BB">
        <w:t>4% paraformaldehyde (PFA) solution contained PFA (Sigma Aldrich) dissolved in distilled water and further diluted in 2X PBS (pH 7.4).</w:t>
      </w:r>
      <w:r>
        <w:t xml:space="preserve"> </w:t>
      </w:r>
      <w:r w:rsidRPr="00E667BB">
        <w:t>Hanks balanced salt solution (HBSS) contained 140 mM sodium chloride (Thermo Fisher Scientific), 5 mM potassium chloride (VWR BDH Chemicals, Leicestershire, UK), 2 mM calcium chloride (Sigma Aldrich), 1 mM magnesium chloride (Sigma Aldrich), 10 mM HEPES free acid (Fluorochem, Glossop, UK) and 5 mM D-glucose (Thermo Fisher Scientific) (pH 7.4).</w:t>
      </w:r>
    </w:p>
    <w:p w14:paraId="26F13311" w14:textId="77777777" w:rsidR="00F00065" w:rsidRPr="00FE0EF4" w:rsidRDefault="00F00065" w:rsidP="00F00065">
      <w:pPr>
        <w:jc w:val="both"/>
        <w:rPr>
          <w:color w:val="FF0000"/>
        </w:rPr>
      </w:pPr>
    </w:p>
    <w:p w14:paraId="0E40D1AB" w14:textId="77777777" w:rsidR="00F00065" w:rsidRPr="00121FBD" w:rsidRDefault="00F00065" w:rsidP="00F00065">
      <w:pPr>
        <w:pStyle w:val="Heading2"/>
      </w:pPr>
      <w:r>
        <w:t>R</w:t>
      </w:r>
      <w:r w:rsidRPr="00121FBD">
        <w:t xml:space="preserve">hinovirus </w:t>
      </w:r>
      <w:r>
        <w:t>Stock Production and Titrations</w:t>
      </w:r>
    </w:p>
    <w:p w14:paraId="67B85354" w14:textId="77777777" w:rsidR="00F00065" w:rsidRDefault="00F00065" w:rsidP="00F00065">
      <w:pPr>
        <w:jc w:val="both"/>
      </w:pPr>
      <w:r>
        <w:t xml:space="preserve">The RV strain </w:t>
      </w:r>
      <w:r w:rsidRPr="00121FBD">
        <w:t>RV-A16 was obtained from the American Type Culture Collection (ATCC</w:t>
      </w:r>
      <w:r>
        <w:t xml:space="preserve"> </w:t>
      </w:r>
      <w:r w:rsidRPr="00F327CB">
        <w:t>VR-283</w:t>
      </w:r>
      <w:r w:rsidRPr="00121FBD">
        <w:t>)</w:t>
      </w:r>
      <w:r>
        <w:t xml:space="preserve"> and was</w:t>
      </w:r>
      <w:r w:rsidRPr="00121FBD">
        <w:t xml:space="preserve"> propagated and titr</w:t>
      </w:r>
      <w:r>
        <w:t>at</w:t>
      </w:r>
      <w:r w:rsidRPr="00121FBD">
        <w:t>ed in HeLa-</w:t>
      </w:r>
      <w:r w:rsidRPr="001D4710">
        <w:t>H1 (ATCC CRL-1958) cells</w:t>
      </w:r>
      <w:r w:rsidRPr="00121FBD">
        <w:t xml:space="preserve"> at 33</w:t>
      </w:r>
      <w:r w:rsidRPr="00121FBD">
        <w:rPr>
          <w:vertAlign w:val="superscript"/>
        </w:rPr>
        <w:t>o</w:t>
      </w:r>
      <w:r w:rsidRPr="00121FBD">
        <w:t>C. HeLa</w:t>
      </w:r>
      <w:r>
        <w:t>-</w:t>
      </w:r>
      <w:r w:rsidRPr="00121FBD">
        <w:t>H1 cells were in</w:t>
      </w:r>
      <w:r>
        <w:t>fect</w:t>
      </w:r>
      <w:r w:rsidRPr="00121FBD">
        <w:t xml:space="preserve">ed with </w:t>
      </w:r>
      <w:r>
        <w:t xml:space="preserve">the </w:t>
      </w:r>
      <w:r w:rsidRPr="00121FBD">
        <w:t>viral stock and incubated at 33</w:t>
      </w:r>
      <w:r w:rsidRPr="00121FBD">
        <w:rPr>
          <w:rFonts w:cs="Arial"/>
          <w:vertAlign w:val="superscript"/>
        </w:rPr>
        <w:t>°</w:t>
      </w:r>
      <w:r w:rsidRPr="00121FBD">
        <w:t>C in a 5% CO</w:t>
      </w:r>
      <w:r w:rsidRPr="00121FBD">
        <w:rPr>
          <w:vertAlign w:val="subscript"/>
        </w:rPr>
        <w:t>2</w:t>
      </w:r>
      <w:r w:rsidRPr="00121FBD">
        <w:t xml:space="preserve"> atmosphere for 18 h</w:t>
      </w:r>
      <w:r>
        <w:t>ours and</w:t>
      </w:r>
      <w:r w:rsidRPr="00121FBD">
        <w:t xml:space="preserve"> then submitted to three freeze thaw cycles. Cell debris w</w:t>
      </w:r>
      <w:r>
        <w:t>ere</w:t>
      </w:r>
      <w:r w:rsidRPr="00121FBD">
        <w:t xml:space="preserve"> pelleted and virus containing supernatant was aliquoted into single use aliquots. Replication deficient </w:t>
      </w:r>
      <w:r>
        <w:t>RV-A16</w:t>
      </w:r>
      <w:r w:rsidRPr="00121FBD">
        <w:t xml:space="preserve"> was generated by ultraviolet radiation </w:t>
      </w:r>
      <w:r>
        <w:t xml:space="preserve">for 20 minutes and </w:t>
      </w:r>
      <w:r w:rsidRPr="00121FBD">
        <w:t xml:space="preserve">was used to confirm </w:t>
      </w:r>
      <w:r>
        <w:t xml:space="preserve">that the </w:t>
      </w:r>
      <w:r w:rsidRPr="00121FBD">
        <w:t xml:space="preserve">effects observed were a result of replicating virus and not a result of passive exposure to the constituents of the virion or the virus culture medium. </w:t>
      </w:r>
      <w:r>
        <w:t>The inability of the UV-inactivated RV-A16 stock to replicate in HeLa-H1 cells was verified.</w:t>
      </w:r>
      <w:r w:rsidRPr="00F72B66">
        <w:t xml:space="preserve"> </w:t>
      </w:r>
      <w:r>
        <w:t xml:space="preserve">Viral titres of the RV-A16 stock and of samples collected from PNE or PBEC infections were </w:t>
      </w:r>
      <w:r w:rsidRPr="004D6E81">
        <w:t>determined by measuring the 50% tissue culture infectious dose (TCID</w:t>
      </w:r>
      <w:r w:rsidRPr="004D6E81">
        <w:rPr>
          <w:vertAlign w:val="subscript"/>
        </w:rPr>
        <w:t>50</w:t>
      </w:r>
      <w:r w:rsidRPr="004D6E81">
        <w:t>) in HeLa</w:t>
      </w:r>
      <w:r>
        <w:t xml:space="preserve">-H1 </w:t>
      </w:r>
      <w:r w:rsidRPr="004D6E81">
        <w:t>cells.</w:t>
      </w:r>
    </w:p>
    <w:p w14:paraId="25619EED" w14:textId="77777777" w:rsidR="00F00065" w:rsidRDefault="00F00065" w:rsidP="00F00065">
      <w:pPr>
        <w:jc w:val="both"/>
      </w:pPr>
    </w:p>
    <w:p w14:paraId="2D1AA2AC" w14:textId="77777777" w:rsidR="00F00065" w:rsidRDefault="00F00065" w:rsidP="00F00065">
      <w:pPr>
        <w:pStyle w:val="Heading2"/>
        <w:spacing w:before="0"/>
      </w:pPr>
      <w:r>
        <w:t>Viral Titration Assay</w:t>
      </w:r>
    </w:p>
    <w:p w14:paraId="71DF5947" w14:textId="77777777" w:rsidR="00F00065" w:rsidRPr="0092127A" w:rsidRDefault="00F00065" w:rsidP="00F00065">
      <w:pPr>
        <w:jc w:val="both"/>
      </w:pPr>
      <w:r w:rsidRPr="008A2AE9">
        <w:t>A viral titration assay was used to evaluate the production of infectious RV progeny following infection in PNE</w:t>
      </w:r>
      <w:r>
        <w:t>s</w:t>
      </w:r>
      <w:r w:rsidRPr="008A2AE9">
        <w:t xml:space="preserve"> or PBECs. PNE</w:t>
      </w:r>
      <w:r>
        <w:t>s</w:t>
      </w:r>
      <w:r w:rsidRPr="008A2AE9">
        <w:t xml:space="preserve"> were infected with RV-A16 at MOI 0.01</w:t>
      </w:r>
      <w:r>
        <w:t xml:space="preserve">, 0.1 and 1 </w:t>
      </w:r>
      <w:r w:rsidRPr="008A2AE9">
        <w:t>fo</w:t>
      </w:r>
      <w:r>
        <w:t xml:space="preserve">r </w:t>
      </w:r>
      <w:r w:rsidRPr="008A2AE9">
        <w:t xml:space="preserve">2, 6, 24, 48 or 72 </w:t>
      </w:r>
      <w:r>
        <w:t>hours</w:t>
      </w:r>
      <w:r w:rsidRPr="008A2AE9">
        <w:t xml:space="preserve">. PBEC were cultured to 80% confluency and infected at a range of MOI (0.1, 1, 2 and 10) and timepoints (2, 6, 24 and 48 </w:t>
      </w:r>
      <w:r>
        <w:t>hours</w:t>
      </w:r>
      <w:r w:rsidRPr="001408F5">
        <w:t>).</w:t>
      </w:r>
      <w:r>
        <w:t xml:space="preserve"> At the end of the infection period, plates with cells and medium were </w:t>
      </w:r>
      <w:r w:rsidRPr="001408F5">
        <w:t>frozen</w:t>
      </w:r>
      <w:r>
        <w:t xml:space="preserve"> </w:t>
      </w:r>
      <w:r>
        <w:lastRenderedPageBreak/>
        <w:t>and</w:t>
      </w:r>
      <w:r w:rsidRPr="001408F5">
        <w:t xml:space="preserve"> thawed </w:t>
      </w:r>
      <w:r>
        <w:t xml:space="preserve">3 times to lyse the cells and release the virus into the medium. Cells </w:t>
      </w:r>
      <w:r w:rsidRPr="001408F5">
        <w:t xml:space="preserve">were scraped, </w:t>
      </w:r>
      <w:r>
        <w:t xml:space="preserve">and the medium and cells were </w:t>
      </w:r>
      <w:r w:rsidRPr="001408F5">
        <w:t>centrifuged to remove cell debris</w:t>
      </w:r>
      <w:r>
        <w:t>.</w:t>
      </w:r>
      <w:r w:rsidRPr="001408F5">
        <w:t xml:space="preserve"> </w:t>
      </w:r>
      <w:r>
        <w:t>T</w:t>
      </w:r>
      <w:r w:rsidRPr="001408F5">
        <w:t xml:space="preserve">he supernatant containing the viral particles was </w:t>
      </w:r>
      <w:r w:rsidRPr="00974B70">
        <w:t xml:space="preserve">titrated </w:t>
      </w:r>
      <w:r>
        <w:t xml:space="preserve">by end-point dilution assay, in which </w:t>
      </w:r>
      <w:r w:rsidRPr="00974B70">
        <w:t>HeLa-H1</w:t>
      </w:r>
      <w:r>
        <w:t xml:space="preserve"> </w:t>
      </w:r>
      <w:r w:rsidRPr="00974B70">
        <w:t xml:space="preserve">cells </w:t>
      </w:r>
      <w:r w:rsidRPr="00131832">
        <w:rPr>
          <w:szCs w:val="20"/>
        </w:rPr>
        <w:t xml:space="preserve">were incubated with </w:t>
      </w:r>
      <w:r w:rsidRPr="00974B70">
        <w:t>10-fold serial dilution</w:t>
      </w:r>
      <w:r>
        <w:t>s</w:t>
      </w:r>
      <w:r w:rsidRPr="00974B70">
        <w:t xml:space="preserve"> </w:t>
      </w:r>
      <w:r>
        <w:rPr>
          <w:szCs w:val="20"/>
        </w:rPr>
        <w:t>of</w:t>
      </w:r>
      <w:r w:rsidRPr="00131832">
        <w:rPr>
          <w:szCs w:val="20"/>
        </w:rPr>
        <w:t xml:space="preserve"> </w:t>
      </w:r>
      <w:r>
        <w:rPr>
          <w:szCs w:val="20"/>
        </w:rPr>
        <w:t>virus-containing samples</w:t>
      </w:r>
      <w:r w:rsidRPr="0092127A">
        <w:rPr>
          <w:szCs w:val="20"/>
        </w:rPr>
        <w:t xml:space="preserve"> for 5 days at 33</w:t>
      </w:r>
      <w:r w:rsidRPr="0092127A">
        <w:rPr>
          <w:szCs w:val="20"/>
          <w:vertAlign w:val="superscript"/>
        </w:rPr>
        <w:t>o</w:t>
      </w:r>
      <w:r w:rsidRPr="0092127A">
        <w:rPr>
          <w:szCs w:val="20"/>
        </w:rPr>
        <w:t>C and 5% CO</w:t>
      </w:r>
      <w:r w:rsidRPr="0092127A">
        <w:rPr>
          <w:szCs w:val="20"/>
          <w:vertAlign w:val="subscript"/>
        </w:rPr>
        <w:t>2</w:t>
      </w:r>
      <w:r w:rsidRPr="0092127A">
        <w:rPr>
          <w:szCs w:val="20"/>
        </w:rPr>
        <w:t xml:space="preserve">. </w:t>
      </w:r>
      <w:r>
        <w:rPr>
          <w:szCs w:val="20"/>
        </w:rPr>
        <w:t>Cells were</w:t>
      </w:r>
      <w:r w:rsidRPr="0092127A">
        <w:rPr>
          <w:szCs w:val="20"/>
        </w:rPr>
        <w:t xml:space="preserve"> assessed by </w:t>
      </w:r>
      <w:r>
        <w:rPr>
          <w:szCs w:val="20"/>
        </w:rPr>
        <w:t xml:space="preserve">microscopy for </w:t>
      </w:r>
      <w:r w:rsidRPr="0092127A">
        <w:rPr>
          <w:szCs w:val="20"/>
        </w:rPr>
        <w:t>the presence or absence of cytopathic effect (CPE)</w:t>
      </w:r>
      <w:r>
        <w:rPr>
          <w:szCs w:val="20"/>
        </w:rPr>
        <w:t xml:space="preserve"> and t</w:t>
      </w:r>
      <w:r w:rsidRPr="0092127A">
        <w:rPr>
          <w:szCs w:val="20"/>
        </w:rPr>
        <w:t xml:space="preserve">he viral </w:t>
      </w:r>
      <w:r>
        <w:rPr>
          <w:szCs w:val="20"/>
        </w:rPr>
        <w:t>dilution</w:t>
      </w:r>
      <w:r w:rsidRPr="0092127A">
        <w:rPr>
          <w:szCs w:val="20"/>
        </w:rPr>
        <w:t xml:space="preserve"> which caused CPE in 50% of the well</w:t>
      </w:r>
      <w:r>
        <w:rPr>
          <w:szCs w:val="20"/>
        </w:rPr>
        <w:t>s</w:t>
      </w:r>
      <w:r w:rsidRPr="0092127A">
        <w:rPr>
          <w:szCs w:val="20"/>
        </w:rPr>
        <w:t xml:space="preserve">, known as </w:t>
      </w:r>
      <w:r w:rsidRPr="00131832">
        <w:rPr>
          <w:szCs w:val="20"/>
        </w:rPr>
        <w:t>the 50% Tissue Culture Infective Dose (TCID</w:t>
      </w:r>
      <w:r w:rsidRPr="00131832">
        <w:rPr>
          <w:szCs w:val="20"/>
          <w:vertAlign w:val="subscript"/>
        </w:rPr>
        <w:t>50</w:t>
      </w:r>
      <w:r w:rsidRPr="00131832">
        <w:rPr>
          <w:szCs w:val="20"/>
        </w:rPr>
        <w:t>) wa</w:t>
      </w:r>
      <w:r w:rsidRPr="0092127A">
        <w:rPr>
          <w:szCs w:val="20"/>
        </w:rPr>
        <w:t>s calculated</w:t>
      </w:r>
      <w:r>
        <w:rPr>
          <w:szCs w:val="20"/>
        </w:rPr>
        <w:t xml:space="preserve"> and viral titres were expressed as TCID</w:t>
      </w:r>
      <w:r w:rsidRPr="002F6DE3">
        <w:rPr>
          <w:szCs w:val="20"/>
          <w:vertAlign w:val="subscript"/>
        </w:rPr>
        <w:t>50</w:t>
      </w:r>
      <w:r>
        <w:rPr>
          <w:szCs w:val="20"/>
        </w:rPr>
        <w:t>/ml</w:t>
      </w:r>
      <w:r w:rsidRPr="0092127A">
        <w:rPr>
          <w:szCs w:val="20"/>
        </w:rPr>
        <w:t xml:space="preserve"> </w:t>
      </w:r>
      <w:sdt>
        <w:sdtPr>
          <w:rPr>
            <w:color w:val="000000"/>
            <w:szCs w:val="20"/>
          </w:rPr>
          <w:tag w:val="MENDELEY_CITATION_v3_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"/>
          <w:id w:val="-450931667"/>
          <w:placeholder>
            <w:docPart w:val="290353CC96D04DFCBD8DF36D4E6C112D"/>
          </w:placeholder>
        </w:sdtPr>
        <w:sdtContent>
          <w:r w:rsidRPr="0020603A">
            <w:rPr>
              <w:color w:val="000000"/>
              <w:szCs w:val="20"/>
            </w:rPr>
            <w:t>[35]</w:t>
          </w:r>
        </w:sdtContent>
      </w:sdt>
      <w:r>
        <w:rPr>
          <w:szCs w:val="20"/>
        </w:rPr>
        <w:t>.</w:t>
      </w:r>
    </w:p>
    <w:p w14:paraId="2070ECDC" w14:textId="77777777" w:rsidR="00F00065" w:rsidRDefault="00F00065" w:rsidP="00F00065"/>
    <w:p w14:paraId="273B7556" w14:textId="77777777" w:rsidR="00F00065" w:rsidRDefault="00F00065" w:rsidP="00F00065">
      <w:pPr>
        <w:pStyle w:val="Heading2"/>
        <w:spacing w:before="0"/>
      </w:pPr>
      <w:r>
        <w:t xml:space="preserve">Western Blotting </w:t>
      </w:r>
    </w:p>
    <w:p w14:paraId="2F112DAC" w14:textId="77777777" w:rsidR="00F00065" w:rsidRDefault="00F00065" w:rsidP="00F00065">
      <w:pPr>
        <w:jc w:val="both"/>
      </w:pPr>
      <w:r w:rsidRPr="00DF21F9">
        <w:t xml:space="preserve">Total cellular extracts were lysed </w:t>
      </w:r>
      <w:r>
        <w:t xml:space="preserve">by scraping PNEs or PBECs incubated </w:t>
      </w:r>
      <w:r w:rsidRPr="00DF21F9">
        <w:t xml:space="preserve">in RIPA buffer </w:t>
      </w:r>
      <w:r>
        <w:t xml:space="preserve">containing </w:t>
      </w:r>
      <w:r w:rsidRPr="00DF21F9">
        <w:t>Protease-inhibitor cocktail for 15 min</w:t>
      </w:r>
      <w:r>
        <w:t>utes</w:t>
      </w:r>
      <w:r w:rsidRPr="00DF21F9">
        <w:t xml:space="preserve"> on ice. </w:t>
      </w:r>
      <w:r>
        <w:t xml:space="preserve">Protein quantification of samples was determined using a </w:t>
      </w:r>
      <w:r w:rsidRPr="00C06376">
        <w:t>Pierce</w:t>
      </w:r>
      <w:r w:rsidRPr="00C06376">
        <w:rPr>
          <w:vertAlign w:val="superscript"/>
        </w:rPr>
        <w:t>TM</w:t>
      </w:r>
      <w:r w:rsidRPr="00C06376">
        <w:t xml:space="preserve"> BCA Protein Assay kit (</w:t>
      </w:r>
      <w:r>
        <w:t>Thermo Fisher Scientific</w:t>
      </w:r>
      <w:r w:rsidRPr="00C06376">
        <w:t>).</w:t>
      </w:r>
      <w:r>
        <w:t xml:space="preserve"> Normalised samples for Western blot contained 10 µg of protein, 5 </w:t>
      </w:r>
      <w:r w:rsidRPr="007C1209">
        <w:t xml:space="preserve">μl of sample buffer (NuPAGE LDS sample buffer (4x), </w:t>
      </w:r>
      <w:r>
        <w:t>Thermo Fisher Scientific</w:t>
      </w:r>
      <w:r w:rsidRPr="007C1209">
        <w:t>) and 0.5 μl of beta-metacaptoethanol</w:t>
      </w:r>
      <w:r>
        <w:t xml:space="preserve"> (</w:t>
      </w:r>
      <w:r w:rsidRPr="00566149">
        <w:t>Sigma Aldrich</w:t>
      </w:r>
      <w:r>
        <w:t xml:space="preserve">) adjusted to a total volume of </w:t>
      </w:r>
      <w:r w:rsidRPr="00B214BE">
        <w:t>20 μl using d</w:t>
      </w:r>
      <w:r>
        <w:t xml:space="preserve">eionised water. Samples were incubated at </w:t>
      </w:r>
      <w:r w:rsidRPr="009F570D">
        <w:t>70</w:t>
      </w:r>
      <w:r w:rsidRPr="009F570D">
        <w:rPr>
          <w:vertAlign w:val="superscript"/>
        </w:rPr>
        <w:t>o</w:t>
      </w:r>
      <w:r w:rsidRPr="009F570D">
        <w:t>C</w:t>
      </w:r>
      <w:r>
        <w:t xml:space="preserve"> for </w:t>
      </w:r>
      <w:r w:rsidRPr="001238AA">
        <w:t>10 minutes to activate the reducing agent</w:t>
      </w:r>
      <w:r>
        <w:t xml:space="preserve"> prior to loading in </w:t>
      </w:r>
      <w:r w:rsidRPr="001238AA">
        <w:t>NuPAGE 4-12% Bis-Tris gel (Thermo</w:t>
      </w:r>
      <w:r>
        <w:t xml:space="preserve"> </w:t>
      </w:r>
      <w:r w:rsidRPr="001238AA">
        <w:t>Fisher Scientific)</w:t>
      </w:r>
      <w:r>
        <w:t xml:space="preserve"> and running </w:t>
      </w:r>
      <w:r w:rsidRPr="00987898">
        <w:t>at 200V for 40 mins</w:t>
      </w:r>
      <w:r>
        <w:t>. The gel was transferred to a</w:t>
      </w:r>
      <w:r w:rsidRPr="004558E4">
        <w:t xml:space="preserve"> 0.1 μm</w:t>
      </w:r>
      <w:r>
        <w:t xml:space="preserve"> </w:t>
      </w:r>
      <w:r w:rsidRPr="004558E4">
        <w:t>Nitrocellulose</w:t>
      </w:r>
      <w:r>
        <w:t xml:space="preserve"> membrane for at</w:t>
      </w:r>
      <w:r w:rsidRPr="00B76267">
        <w:t xml:space="preserve"> 30</w:t>
      </w:r>
      <w:r>
        <w:t xml:space="preserve"> </w:t>
      </w:r>
      <w:r w:rsidRPr="00B76267">
        <w:t xml:space="preserve">V for </w:t>
      </w:r>
      <w:r>
        <w:t>70</w:t>
      </w:r>
      <w:r w:rsidRPr="00B76267">
        <w:t xml:space="preserve"> mins</w:t>
      </w:r>
      <w:r>
        <w:t>.</w:t>
      </w:r>
    </w:p>
    <w:p w14:paraId="4111F9A0" w14:textId="77777777" w:rsidR="00F00065" w:rsidRDefault="00F00065" w:rsidP="00F00065">
      <w:pPr>
        <w:jc w:val="both"/>
      </w:pPr>
    </w:p>
    <w:p w14:paraId="69A2364E" w14:textId="77777777" w:rsidR="00F00065" w:rsidRDefault="00F00065" w:rsidP="00F00065">
      <w:pPr>
        <w:jc w:val="both"/>
      </w:pPr>
      <w:r w:rsidRPr="00B76267">
        <w:t>Following transfer, the blot was blocked in 5% BSA</w:t>
      </w:r>
      <w:r>
        <w:t xml:space="preserve"> (</w:t>
      </w:r>
      <w:r w:rsidRPr="00566149">
        <w:t>Sigma Aldrich</w:t>
      </w:r>
      <w:r>
        <w:t>)</w:t>
      </w:r>
      <w:r w:rsidRPr="00B76267">
        <w:t xml:space="preserve"> in TBS</w:t>
      </w:r>
      <w:r>
        <w:t xml:space="preserve"> containing </w:t>
      </w:r>
      <w:r w:rsidRPr="00A66CE2">
        <w:t>0.05% Tween-20</w:t>
      </w:r>
      <w:r>
        <w:t xml:space="preserve"> </w:t>
      </w:r>
      <w:r w:rsidRPr="00A66CE2">
        <w:t>(Sigma Aldrich)</w:t>
      </w:r>
      <w:r w:rsidRPr="00B76267">
        <w:t xml:space="preserve"> at room temperature </w:t>
      </w:r>
      <w:r>
        <w:t>for 1 hour prior to probing with the</w:t>
      </w:r>
      <w:r w:rsidRPr="00B76267">
        <w:t xml:space="preserve"> R16-7 primary antibody (mab60614, Covalab SAS) </w:t>
      </w:r>
      <w:r>
        <w:t xml:space="preserve">at a </w:t>
      </w:r>
      <w:r w:rsidRPr="00B76267">
        <w:t xml:space="preserve">working concentration </w:t>
      </w:r>
      <w:r>
        <w:t xml:space="preserve">of </w:t>
      </w:r>
      <w:r w:rsidRPr="00B76267">
        <w:t>1:1000 for PNE</w:t>
      </w:r>
      <w:r>
        <w:t>s and</w:t>
      </w:r>
      <w:r w:rsidRPr="00B76267">
        <w:t xml:space="preserve"> 1:2000 for PBEC. The blot was incubated in the primary antibody overnight at 4</w:t>
      </w:r>
      <w:r w:rsidRPr="00DA6F29">
        <w:rPr>
          <w:vertAlign w:val="superscript"/>
        </w:rPr>
        <w:t>o</w:t>
      </w:r>
      <w:r w:rsidRPr="00B76267">
        <w:t>C.</w:t>
      </w:r>
      <w:r>
        <w:t xml:space="preserve"> The blot was incubated with </w:t>
      </w:r>
      <w:r w:rsidRPr="00121392">
        <w:t>goat anti-mouse IgG peroxidase conjugated to HRP</w:t>
      </w:r>
      <w:r>
        <w:t xml:space="preserve"> </w:t>
      </w:r>
      <w:r w:rsidRPr="001D281D">
        <w:t xml:space="preserve">secondary antibody diluted to the working </w:t>
      </w:r>
      <w:r w:rsidRPr="002C40F3">
        <w:t xml:space="preserve">concentration </w:t>
      </w:r>
      <w:r w:rsidRPr="00121392">
        <w:t>of 1:5000 (Sigma-Aldrich) in the block solution at room temperature for 1 hr. The</w:t>
      </w:r>
      <w:r>
        <w:t xml:space="preserve"> blot was developed </w:t>
      </w:r>
      <w:r w:rsidRPr="001D281D">
        <w:t>with Clarity Western ECL Substrate (Bio-Rad)</w:t>
      </w:r>
      <w:r>
        <w:t xml:space="preserve"> </w:t>
      </w:r>
      <w:r w:rsidRPr="004B7B7B">
        <w:t>and imaged using the Syngene G:Box (230V Model: Chemi XX6, Serial no. DRX/1103) and GynSys application system. Blots</w:t>
      </w:r>
      <w:r>
        <w:t xml:space="preserve"> were stripped with </w:t>
      </w:r>
      <w:r w:rsidRPr="001D281D">
        <w:t>restore western blot stripping buffer (Thermo Fisher Scientific ) and re-probed with GAPDH antibody at a working dilution of 1:5000 to act as a reference protein for the purposes of band quantification. Blots were</w:t>
      </w:r>
      <w:r w:rsidRPr="000B7AD1">
        <w:t xml:space="preserve"> analysed using </w:t>
      </w:r>
      <w:r>
        <w:t xml:space="preserve">semiquantitative </w:t>
      </w:r>
      <w:r w:rsidRPr="000B7AD1">
        <w:t>densitometric analysis on ImageJ software (Version 1.41, National Institute of Health, USA)</w:t>
      </w:r>
    </w:p>
    <w:p w14:paraId="0F0A3D9C" w14:textId="77777777" w:rsidR="00F00065" w:rsidRDefault="00F00065" w:rsidP="00F00065">
      <w:pPr>
        <w:jc w:val="both"/>
      </w:pPr>
    </w:p>
    <w:p w14:paraId="16EA3309" w14:textId="77777777" w:rsidR="00F00065" w:rsidRDefault="00F00065" w:rsidP="00F00065">
      <w:pPr>
        <w:pStyle w:val="Heading2"/>
        <w:spacing w:before="0"/>
      </w:pPr>
      <w:r>
        <w:t>Immunostaining</w:t>
      </w:r>
    </w:p>
    <w:p w14:paraId="31B49DF0" w14:textId="77777777" w:rsidR="00F00065" w:rsidRDefault="00F00065" w:rsidP="00F00065">
      <w:pPr>
        <w:jc w:val="both"/>
      </w:pPr>
      <w:r>
        <w:t>Cells cultured</w:t>
      </w:r>
      <w:r w:rsidRPr="00566149">
        <w:t xml:space="preserve"> on glass coverslips were fixed with 4% </w:t>
      </w:r>
      <w:r w:rsidRPr="0011764D">
        <w:t>paraformaldehyde (PFA) solution for 10 minutes at room temperature. Residual PFA was quenched with 1 M glycine</w:t>
      </w:r>
      <w:r>
        <w:t xml:space="preserve"> solution</w:t>
      </w:r>
      <w:r w:rsidRPr="00566149">
        <w:t xml:space="preserve"> for 10 minutes twice. Permeabilization of </w:t>
      </w:r>
      <w:r>
        <w:t>cell</w:t>
      </w:r>
      <w:r w:rsidRPr="00566149">
        <w:t xml:space="preserve">s was carried out with PBS supplemented with 0.05% Triton 100-X for 20 minutes at room temperature. </w:t>
      </w:r>
      <w:r>
        <w:t>Cell</w:t>
      </w:r>
      <w:r w:rsidRPr="00566149">
        <w:t xml:space="preserve">s were incubated with 10% normal goat serum (Sigma Aldrich) supplemented with 0.01% Triton 100-X for 1 hour. </w:t>
      </w:r>
      <w:r>
        <w:t>Cell</w:t>
      </w:r>
      <w:r w:rsidRPr="00566149">
        <w:t xml:space="preserve">s were incubated with primary antibodies overnight at 4°C (Supplementary Table </w:t>
      </w:r>
      <w:r>
        <w:t>2</w:t>
      </w:r>
      <w:r w:rsidRPr="00566149">
        <w:t xml:space="preserve">). </w:t>
      </w:r>
      <w:r>
        <w:t>The following day, cells</w:t>
      </w:r>
      <w:r w:rsidRPr="00566149">
        <w:t xml:space="preserve"> were incubated with an appropriate secondary antibody for 1 hour at room </w:t>
      </w:r>
      <w:r>
        <w:t>temperature (Thermo Fisher Scientific)</w:t>
      </w:r>
      <w:r w:rsidRPr="00566149">
        <w:t>. DAPI (4’,6 diamidino-2-</w:t>
      </w:r>
      <w:r w:rsidRPr="00566149">
        <w:lastRenderedPageBreak/>
        <w:t xml:space="preserve">phenylindole) (Invitrogen, UK) was used to counterstain nuclei and mount PNEs to microscope slides (Menzel Gläser, Thermo Fisher Scientific). A negative control for each antibody was carried </w:t>
      </w:r>
      <w:r>
        <w:t>concurrent</w:t>
      </w:r>
      <w:r w:rsidRPr="00566149">
        <w:t xml:space="preserve"> to the staining procedure with the omission of primary antibodies</w:t>
      </w:r>
      <w:r>
        <w:t xml:space="preserve">. </w:t>
      </w:r>
      <w:r w:rsidRPr="00566149">
        <w:t xml:space="preserve">Images were acquired using the DM5500 microscope (Leica microsystems).  </w:t>
      </w:r>
    </w:p>
    <w:p w14:paraId="791BC678" w14:textId="77777777" w:rsidR="00F00065" w:rsidRDefault="00F00065" w:rsidP="00F00065">
      <w:pPr>
        <w:pStyle w:val="Heading2"/>
      </w:pPr>
      <w:r>
        <w:t>Microarray</w:t>
      </w:r>
    </w:p>
    <w:p w14:paraId="3999D1F8" w14:textId="77777777" w:rsidR="00F00065" w:rsidRDefault="00F00065" w:rsidP="00F00065">
      <w:pPr>
        <w:jc w:val="both"/>
      </w:pPr>
      <w:r w:rsidRPr="00D400B2">
        <w:t xml:space="preserve">A commercially available inflammatory antibody array was used to investigate the inflammatory responses of </w:t>
      </w:r>
      <w:r>
        <w:t>PNEs and PBECs</w:t>
      </w:r>
      <w:r w:rsidRPr="00D400B2">
        <w:t xml:space="preserve"> following RV infection (Abcam)</w:t>
      </w:r>
      <w:r>
        <w:t xml:space="preserve"> according to the </w:t>
      </w:r>
      <w:r w:rsidRPr="00D400B2">
        <w:t>manufacturer’s instructions.</w:t>
      </w:r>
      <w:r>
        <w:t xml:space="preserve"> The array examined the relative expression of 4</w:t>
      </w:r>
      <w:r w:rsidRPr="00D400B2">
        <w:t xml:space="preserve">0 </w:t>
      </w:r>
      <w:r>
        <w:t>analytes</w:t>
      </w:r>
      <w:r w:rsidRPr="00D400B2">
        <w:t>; Eotaxin, Eotaxin-2, granulocyte colony stimulating factor (G-CSF), granulocyte-macrophage colony-stimulating factor (GM-CSF), ICAM-1, IFN-γ, I-309, Interleukin (IL)-1α, IL-1β, IL-2, IL-3, IL-4, IL-6, IL-6sR, IL-7, IL-8, IL-10, IL-11, IL-12p40, IL-12p70, IL-13, IL-15, IL-16, IL-17, IP-10, monocyte chemoattractant protein-1 (MCP-1) and -2 (MCP-2), M-CSF, MIG, MIP-1α, MIP-1β, MIP-1δ, regulated upon activation normal T cell expressed and secreted (RANTES), TGF-β1, TNF-α, TNF-β, sTNF RII, platelet-derived growth factor-BB (PDGF BB), TIMP-2.</w:t>
      </w:r>
      <w:r>
        <w:t xml:space="preserve"> </w:t>
      </w:r>
    </w:p>
    <w:p w14:paraId="5D18F1FB" w14:textId="77777777" w:rsidR="00F00065" w:rsidRDefault="00F00065" w:rsidP="00F00065">
      <w:pPr>
        <w:jc w:val="both"/>
      </w:pPr>
    </w:p>
    <w:p w14:paraId="210810B0" w14:textId="77777777" w:rsidR="00F00065" w:rsidRDefault="00F00065" w:rsidP="00F00065">
      <w:pPr>
        <w:pStyle w:val="Heading2"/>
      </w:pPr>
      <w:r>
        <w:t>ELISA</w:t>
      </w:r>
    </w:p>
    <w:p w14:paraId="4D74F5FF" w14:textId="77777777" w:rsidR="00F00065" w:rsidRDefault="00F00065" w:rsidP="00F00065">
      <w:r w:rsidRPr="004432A3">
        <w:t xml:space="preserve">An IL-1β ELISA (R&amp;D Biosystems) was used to </w:t>
      </w:r>
      <w:r>
        <w:t>measure</w:t>
      </w:r>
      <w:r w:rsidRPr="004432A3">
        <w:t xml:space="preserve"> IL-1β release from RV infected PBEC</w:t>
      </w:r>
      <w:r>
        <w:t>s</w:t>
      </w:r>
      <w:r w:rsidRPr="004432A3">
        <w:t xml:space="preserve">. </w:t>
      </w:r>
      <w:r>
        <w:t xml:space="preserve"> </w:t>
      </w:r>
    </w:p>
    <w:p w14:paraId="1B0E0B1C" w14:textId="77777777" w:rsidR="00F00065" w:rsidRPr="00826911" w:rsidRDefault="00F00065" w:rsidP="00F00065">
      <w:pPr>
        <w:rPr>
          <w:b/>
        </w:rPr>
      </w:pPr>
    </w:p>
    <w:p w14:paraId="04CCF1FD" w14:textId="77777777" w:rsidR="00F00065" w:rsidRDefault="00F00065" w:rsidP="00F00065">
      <w:pPr>
        <w:pStyle w:val="Heading2"/>
      </w:pPr>
      <w:bookmarkStart w:id="0" w:name="_Toc74134798"/>
      <w:r w:rsidRPr="0015550A">
        <w:t>Supplementary Table 1 PBEC donor and Phenotype used in the study</w:t>
      </w:r>
      <w:r>
        <w:t xml:space="preserve"> </w:t>
      </w:r>
    </w:p>
    <w:tbl>
      <w:tblPr>
        <w:tblpPr w:leftFromText="180" w:rightFromText="180" w:vertAnchor="text" w:horzAnchor="margin" w:tblpY="-55"/>
        <w:tblW w:w="9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835"/>
        <w:gridCol w:w="1836"/>
        <w:gridCol w:w="1836"/>
        <w:gridCol w:w="1836"/>
        <w:gridCol w:w="1836"/>
      </w:tblGrid>
      <w:tr w:rsidR="00F00065" w:rsidRPr="003221ED" w14:paraId="4447D7F3" w14:textId="77777777" w:rsidTr="00784DF9">
        <w:trPr>
          <w:trHeight w:val="449"/>
        </w:trPr>
        <w:tc>
          <w:tcPr>
            <w:tcW w:w="1835" w:type="dxa"/>
            <w:shd w:val="clear" w:color="auto" w:fill="auto"/>
          </w:tcPr>
          <w:p w14:paraId="456C2EF5" w14:textId="77777777" w:rsidR="00F00065" w:rsidRDefault="00F00065" w:rsidP="00784DF9">
            <w:pPr>
              <w:rPr>
                <w:rFonts w:eastAsia="Times New Roman" w:cs="Arial"/>
                <w:b/>
                <w:bCs/>
                <w:color w:val="000000"/>
                <w:szCs w:val="20"/>
                <w:bdr w:val="none" w:sz="0" w:space="0" w:color="auto" w:frame="1"/>
                <w:lang w:eastAsia="en-GB"/>
              </w:rPr>
            </w:pPr>
            <w:r>
              <w:rPr>
                <w:rFonts w:eastAsia="Times New Roman" w:cs="Arial"/>
                <w:b/>
                <w:bCs/>
                <w:color w:val="000000"/>
                <w:szCs w:val="20"/>
                <w:bdr w:val="none" w:sz="0" w:space="0" w:color="auto" w:frame="1"/>
                <w:lang w:eastAsia="en-GB"/>
              </w:rPr>
              <w:t>PBEC Name</w:t>
            </w:r>
          </w:p>
        </w:tc>
        <w:tc>
          <w:tcPr>
            <w:tcW w:w="1836" w:type="dxa"/>
            <w:shd w:val="clear" w:color="auto" w:fill="auto"/>
            <w:tcMar>
              <w:top w:w="15" w:type="dxa"/>
              <w:left w:w="15" w:type="dxa"/>
              <w:bottom w:w="15" w:type="dxa"/>
              <w:right w:w="15" w:type="dxa"/>
            </w:tcMar>
            <w:hideMark/>
          </w:tcPr>
          <w:p w14:paraId="625241BF" w14:textId="77777777" w:rsidR="00F00065" w:rsidRPr="003221ED" w:rsidRDefault="00F00065" w:rsidP="00784DF9">
            <w:pPr>
              <w:rPr>
                <w:rFonts w:ascii="Calibri" w:eastAsia="Times New Roman" w:hAnsi="Calibri" w:cs="Calibri"/>
                <w:color w:val="000000"/>
                <w:sz w:val="22"/>
                <w:lang w:eastAsia="en-GB"/>
              </w:rPr>
            </w:pPr>
            <w:r>
              <w:rPr>
                <w:rFonts w:eastAsia="Times New Roman" w:cs="Arial"/>
                <w:b/>
                <w:bCs/>
                <w:color w:val="000000"/>
                <w:szCs w:val="20"/>
                <w:bdr w:val="none" w:sz="0" w:space="0" w:color="auto" w:frame="1"/>
                <w:lang w:eastAsia="en-GB"/>
              </w:rPr>
              <w:t xml:space="preserve">PBEC </w:t>
            </w:r>
            <w:r w:rsidRPr="003221ED">
              <w:rPr>
                <w:rFonts w:eastAsia="Times New Roman" w:cs="Arial"/>
                <w:b/>
                <w:bCs/>
                <w:color w:val="000000"/>
                <w:szCs w:val="20"/>
                <w:bdr w:val="none" w:sz="0" w:space="0" w:color="auto" w:frame="1"/>
                <w:lang w:eastAsia="en-GB"/>
              </w:rPr>
              <w:t>Phenotype</w:t>
            </w:r>
          </w:p>
        </w:tc>
        <w:tc>
          <w:tcPr>
            <w:tcW w:w="1836" w:type="dxa"/>
            <w:shd w:val="clear" w:color="auto" w:fill="auto"/>
            <w:hideMark/>
          </w:tcPr>
          <w:p w14:paraId="08B126F0" w14:textId="77777777" w:rsidR="00F00065" w:rsidRPr="003221ED" w:rsidRDefault="00F00065" w:rsidP="00784DF9">
            <w:pPr>
              <w:rPr>
                <w:rFonts w:ascii="Calibri" w:eastAsia="Times New Roman" w:hAnsi="Calibri" w:cs="Calibri"/>
                <w:color w:val="000000"/>
                <w:sz w:val="22"/>
                <w:lang w:eastAsia="en-GB"/>
              </w:rPr>
            </w:pPr>
            <w:r w:rsidRPr="003221ED">
              <w:rPr>
                <w:rFonts w:eastAsia="Times New Roman" w:cs="Arial"/>
                <w:b/>
                <w:bCs/>
                <w:color w:val="000000"/>
                <w:szCs w:val="20"/>
                <w:bdr w:val="none" w:sz="0" w:space="0" w:color="auto" w:frame="1"/>
                <w:lang w:eastAsia="en-GB"/>
              </w:rPr>
              <w:t>Gender</w:t>
            </w:r>
          </w:p>
        </w:tc>
        <w:tc>
          <w:tcPr>
            <w:tcW w:w="1836" w:type="dxa"/>
            <w:shd w:val="clear" w:color="auto" w:fill="auto"/>
            <w:hideMark/>
          </w:tcPr>
          <w:p w14:paraId="0F2F83E8" w14:textId="77777777" w:rsidR="00F00065" w:rsidRPr="003221ED" w:rsidRDefault="00F00065" w:rsidP="00784DF9">
            <w:pPr>
              <w:rPr>
                <w:rFonts w:ascii="Calibri" w:eastAsia="Times New Roman" w:hAnsi="Calibri" w:cs="Calibri"/>
                <w:color w:val="000000"/>
                <w:sz w:val="22"/>
                <w:lang w:eastAsia="en-GB"/>
              </w:rPr>
            </w:pPr>
            <w:r w:rsidRPr="003221ED">
              <w:rPr>
                <w:rFonts w:eastAsia="Times New Roman" w:cs="Arial"/>
                <w:b/>
                <w:bCs/>
                <w:color w:val="000000"/>
                <w:szCs w:val="20"/>
                <w:bdr w:val="none" w:sz="0" w:space="0" w:color="auto" w:frame="1"/>
                <w:lang w:eastAsia="en-GB"/>
              </w:rPr>
              <w:t>Pack years</w:t>
            </w:r>
          </w:p>
        </w:tc>
        <w:tc>
          <w:tcPr>
            <w:tcW w:w="1836" w:type="dxa"/>
            <w:shd w:val="clear" w:color="auto" w:fill="auto"/>
            <w:hideMark/>
          </w:tcPr>
          <w:p w14:paraId="2CE41008" w14:textId="77777777" w:rsidR="00F00065" w:rsidRPr="003221ED" w:rsidRDefault="00F00065" w:rsidP="00784DF9">
            <w:pPr>
              <w:rPr>
                <w:rFonts w:ascii="Calibri" w:eastAsia="Times New Roman" w:hAnsi="Calibri" w:cs="Calibri"/>
                <w:color w:val="000000"/>
                <w:sz w:val="22"/>
                <w:lang w:eastAsia="en-GB"/>
              </w:rPr>
            </w:pPr>
            <w:r w:rsidRPr="003221ED">
              <w:rPr>
                <w:rFonts w:eastAsia="Times New Roman" w:cs="Arial"/>
                <w:b/>
                <w:bCs/>
                <w:color w:val="000000"/>
                <w:szCs w:val="20"/>
                <w:bdr w:val="none" w:sz="0" w:space="0" w:color="auto" w:frame="1"/>
                <w:lang w:eastAsia="en-GB"/>
              </w:rPr>
              <w:t>FEV</w:t>
            </w:r>
            <w:r w:rsidRPr="003221ED">
              <w:rPr>
                <w:rFonts w:eastAsia="Times New Roman" w:cs="Arial"/>
                <w:b/>
                <w:bCs/>
                <w:color w:val="000000"/>
                <w:szCs w:val="20"/>
                <w:bdr w:val="none" w:sz="0" w:space="0" w:color="auto" w:frame="1"/>
                <w:vertAlign w:val="subscript"/>
                <w:lang w:eastAsia="en-GB"/>
              </w:rPr>
              <w:t>1</w:t>
            </w:r>
          </w:p>
        </w:tc>
      </w:tr>
      <w:tr w:rsidR="00F00065" w:rsidRPr="003221ED" w14:paraId="583DBD29" w14:textId="77777777" w:rsidTr="00784DF9">
        <w:trPr>
          <w:trHeight w:val="449"/>
        </w:trPr>
        <w:tc>
          <w:tcPr>
            <w:tcW w:w="1835" w:type="dxa"/>
            <w:shd w:val="clear" w:color="auto" w:fill="auto"/>
          </w:tcPr>
          <w:p w14:paraId="13346557" w14:textId="77777777" w:rsidR="00F00065" w:rsidRPr="003221ED" w:rsidRDefault="00F00065" w:rsidP="00784DF9">
            <w:pPr>
              <w:rPr>
                <w:rFonts w:eastAsia="Times New Roman" w:cs="Arial"/>
                <w:color w:val="000000"/>
                <w:szCs w:val="20"/>
                <w:bdr w:val="none" w:sz="0" w:space="0" w:color="auto" w:frame="1"/>
                <w:lang w:eastAsia="en-GB"/>
              </w:rPr>
            </w:pPr>
            <w:r>
              <w:rPr>
                <w:rFonts w:eastAsia="Times New Roman" w:cs="Arial"/>
                <w:color w:val="000000"/>
                <w:szCs w:val="20"/>
                <w:bdr w:val="none" w:sz="0" w:space="0" w:color="auto" w:frame="1"/>
                <w:lang w:eastAsia="en-GB"/>
              </w:rPr>
              <w:t>PBEC_1</w:t>
            </w:r>
          </w:p>
        </w:tc>
        <w:tc>
          <w:tcPr>
            <w:tcW w:w="1836" w:type="dxa"/>
            <w:shd w:val="clear" w:color="auto" w:fill="auto"/>
            <w:tcMar>
              <w:top w:w="15" w:type="dxa"/>
              <w:left w:w="15" w:type="dxa"/>
              <w:bottom w:w="15" w:type="dxa"/>
              <w:right w:w="15" w:type="dxa"/>
            </w:tcMar>
            <w:hideMark/>
          </w:tcPr>
          <w:p w14:paraId="5C2068D6" w14:textId="77777777" w:rsidR="00F00065" w:rsidRPr="003221ED" w:rsidRDefault="00F00065" w:rsidP="00784DF9">
            <w:pPr>
              <w:rPr>
                <w:rFonts w:ascii="Calibri" w:eastAsia="Times New Roman" w:hAnsi="Calibri" w:cs="Calibri"/>
                <w:color w:val="000000"/>
                <w:sz w:val="22"/>
                <w:lang w:eastAsia="en-GB"/>
              </w:rPr>
            </w:pPr>
            <w:r w:rsidRPr="003221ED">
              <w:rPr>
                <w:rFonts w:eastAsia="Times New Roman" w:cs="Arial"/>
                <w:color w:val="000000"/>
                <w:szCs w:val="20"/>
                <w:bdr w:val="none" w:sz="0" w:space="0" w:color="auto" w:frame="1"/>
                <w:lang w:eastAsia="en-GB"/>
              </w:rPr>
              <w:t>Refractory chronic cough, non-obstructive lung disease</w:t>
            </w:r>
          </w:p>
        </w:tc>
        <w:tc>
          <w:tcPr>
            <w:tcW w:w="1836" w:type="dxa"/>
            <w:shd w:val="clear" w:color="auto" w:fill="auto"/>
            <w:hideMark/>
          </w:tcPr>
          <w:p w14:paraId="6262B65A" w14:textId="77777777" w:rsidR="00F00065" w:rsidRPr="003221ED" w:rsidRDefault="00F00065" w:rsidP="00784DF9">
            <w:pPr>
              <w:rPr>
                <w:rFonts w:ascii="Calibri" w:eastAsia="Times New Roman" w:hAnsi="Calibri" w:cs="Calibri"/>
                <w:color w:val="000000"/>
                <w:sz w:val="22"/>
                <w:lang w:eastAsia="en-GB"/>
              </w:rPr>
            </w:pPr>
            <w:r w:rsidRPr="003221ED">
              <w:rPr>
                <w:rFonts w:eastAsia="Times New Roman" w:cs="Arial"/>
                <w:color w:val="000000"/>
                <w:szCs w:val="20"/>
                <w:bdr w:val="none" w:sz="0" w:space="0" w:color="auto" w:frame="1"/>
                <w:lang w:eastAsia="en-GB"/>
              </w:rPr>
              <w:t>Female</w:t>
            </w:r>
          </w:p>
        </w:tc>
        <w:tc>
          <w:tcPr>
            <w:tcW w:w="1836" w:type="dxa"/>
            <w:shd w:val="clear" w:color="auto" w:fill="auto"/>
            <w:hideMark/>
          </w:tcPr>
          <w:p w14:paraId="7FFA8803" w14:textId="77777777" w:rsidR="00F00065" w:rsidRPr="003221ED" w:rsidRDefault="00F00065" w:rsidP="00784DF9">
            <w:pPr>
              <w:rPr>
                <w:rFonts w:ascii="Calibri" w:eastAsia="Times New Roman" w:hAnsi="Calibri" w:cs="Calibri"/>
                <w:color w:val="000000"/>
                <w:sz w:val="22"/>
                <w:lang w:eastAsia="en-GB"/>
              </w:rPr>
            </w:pPr>
            <w:r w:rsidRPr="003221ED">
              <w:rPr>
                <w:rFonts w:eastAsia="Times New Roman" w:cs="Arial"/>
                <w:color w:val="000000"/>
                <w:szCs w:val="20"/>
                <w:bdr w:val="none" w:sz="0" w:space="0" w:color="auto" w:frame="1"/>
                <w:lang w:eastAsia="en-GB"/>
              </w:rPr>
              <w:t>“non-smoker”</w:t>
            </w:r>
          </w:p>
        </w:tc>
        <w:tc>
          <w:tcPr>
            <w:tcW w:w="1836" w:type="dxa"/>
            <w:shd w:val="clear" w:color="auto" w:fill="auto"/>
            <w:hideMark/>
          </w:tcPr>
          <w:p w14:paraId="4940DBD1" w14:textId="77777777" w:rsidR="00F00065" w:rsidRPr="003221ED" w:rsidRDefault="00F00065" w:rsidP="00784DF9">
            <w:pPr>
              <w:rPr>
                <w:rFonts w:ascii="Calibri" w:eastAsia="Times New Roman" w:hAnsi="Calibri" w:cs="Calibri"/>
                <w:color w:val="000000"/>
                <w:sz w:val="22"/>
                <w:lang w:eastAsia="en-GB"/>
              </w:rPr>
            </w:pPr>
            <w:r w:rsidRPr="003221ED">
              <w:rPr>
                <w:rFonts w:eastAsia="Times New Roman" w:cs="Arial"/>
                <w:color w:val="000000"/>
                <w:szCs w:val="20"/>
                <w:bdr w:val="none" w:sz="0" w:space="0" w:color="auto" w:frame="1"/>
                <w:lang w:eastAsia="en-GB"/>
              </w:rPr>
              <w:t>2.2</w:t>
            </w:r>
          </w:p>
        </w:tc>
      </w:tr>
      <w:tr w:rsidR="00F00065" w:rsidRPr="003221ED" w14:paraId="0C058A7B" w14:textId="77777777" w:rsidTr="00784DF9">
        <w:trPr>
          <w:trHeight w:val="449"/>
        </w:trPr>
        <w:tc>
          <w:tcPr>
            <w:tcW w:w="1835" w:type="dxa"/>
            <w:shd w:val="clear" w:color="auto" w:fill="auto"/>
          </w:tcPr>
          <w:p w14:paraId="538EBEBC" w14:textId="77777777" w:rsidR="00F00065" w:rsidRPr="003221ED" w:rsidRDefault="00F00065" w:rsidP="00784DF9">
            <w:pPr>
              <w:rPr>
                <w:rFonts w:eastAsia="Times New Roman" w:cs="Arial"/>
                <w:color w:val="000000"/>
                <w:szCs w:val="20"/>
                <w:bdr w:val="none" w:sz="0" w:space="0" w:color="auto" w:frame="1"/>
                <w:lang w:eastAsia="en-GB"/>
              </w:rPr>
            </w:pPr>
            <w:r>
              <w:rPr>
                <w:rFonts w:eastAsia="Times New Roman" w:cs="Arial"/>
                <w:color w:val="000000"/>
                <w:szCs w:val="20"/>
                <w:bdr w:val="none" w:sz="0" w:space="0" w:color="auto" w:frame="1"/>
                <w:lang w:eastAsia="en-GB"/>
              </w:rPr>
              <w:t>PBEC_2</w:t>
            </w:r>
          </w:p>
        </w:tc>
        <w:tc>
          <w:tcPr>
            <w:tcW w:w="1836" w:type="dxa"/>
            <w:shd w:val="clear" w:color="auto" w:fill="auto"/>
            <w:tcMar>
              <w:top w:w="15" w:type="dxa"/>
              <w:left w:w="15" w:type="dxa"/>
              <w:bottom w:w="15" w:type="dxa"/>
              <w:right w:w="15" w:type="dxa"/>
            </w:tcMar>
            <w:hideMark/>
          </w:tcPr>
          <w:p w14:paraId="26382144" w14:textId="77777777" w:rsidR="00F00065" w:rsidRPr="003221ED" w:rsidRDefault="00F00065" w:rsidP="00784DF9">
            <w:pPr>
              <w:rPr>
                <w:rFonts w:ascii="Calibri" w:eastAsia="Times New Roman" w:hAnsi="Calibri" w:cs="Calibri"/>
                <w:color w:val="000000"/>
                <w:sz w:val="22"/>
                <w:lang w:eastAsia="en-GB"/>
              </w:rPr>
            </w:pPr>
            <w:r w:rsidRPr="003221ED">
              <w:rPr>
                <w:rFonts w:eastAsia="Times New Roman" w:cs="Arial"/>
                <w:color w:val="000000"/>
                <w:szCs w:val="20"/>
                <w:bdr w:val="none" w:sz="0" w:space="0" w:color="auto" w:frame="1"/>
                <w:lang w:eastAsia="en-GB"/>
              </w:rPr>
              <w:t>COPD Heavy smoker</w:t>
            </w:r>
          </w:p>
        </w:tc>
        <w:tc>
          <w:tcPr>
            <w:tcW w:w="1836" w:type="dxa"/>
            <w:shd w:val="clear" w:color="auto" w:fill="auto"/>
            <w:hideMark/>
          </w:tcPr>
          <w:p w14:paraId="526107EA" w14:textId="77777777" w:rsidR="00F00065" w:rsidRPr="003221ED" w:rsidRDefault="00F00065" w:rsidP="00784DF9">
            <w:pPr>
              <w:rPr>
                <w:rFonts w:ascii="Calibri" w:eastAsia="Times New Roman" w:hAnsi="Calibri" w:cs="Calibri"/>
                <w:color w:val="000000"/>
                <w:sz w:val="22"/>
                <w:lang w:eastAsia="en-GB"/>
              </w:rPr>
            </w:pPr>
            <w:r w:rsidRPr="003221ED">
              <w:rPr>
                <w:rFonts w:eastAsia="Times New Roman" w:cs="Arial"/>
                <w:color w:val="000000"/>
                <w:szCs w:val="20"/>
                <w:bdr w:val="none" w:sz="0" w:space="0" w:color="auto" w:frame="1"/>
                <w:lang w:eastAsia="en-GB"/>
              </w:rPr>
              <w:t>Male</w:t>
            </w:r>
          </w:p>
        </w:tc>
        <w:tc>
          <w:tcPr>
            <w:tcW w:w="1836" w:type="dxa"/>
            <w:shd w:val="clear" w:color="auto" w:fill="auto"/>
            <w:hideMark/>
          </w:tcPr>
          <w:p w14:paraId="6F799085" w14:textId="77777777" w:rsidR="00F00065" w:rsidRPr="003221ED" w:rsidRDefault="00F00065" w:rsidP="00784DF9">
            <w:pPr>
              <w:rPr>
                <w:rFonts w:ascii="Calibri" w:eastAsia="Times New Roman" w:hAnsi="Calibri" w:cs="Calibri"/>
                <w:color w:val="000000"/>
                <w:sz w:val="22"/>
                <w:lang w:eastAsia="en-GB"/>
              </w:rPr>
            </w:pPr>
            <w:r w:rsidRPr="003221ED">
              <w:rPr>
                <w:rFonts w:eastAsia="Times New Roman" w:cs="Arial"/>
                <w:color w:val="000000"/>
                <w:szCs w:val="20"/>
                <w:bdr w:val="none" w:sz="0" w:space="0" w:color="auto" w:frame="1"/>
                <w:lang w:eastAsia="en-GB"/>
              </w:rPr>
              <w:t>40</w:t>
            </w:r>
          </w:p>
        </w:tc>
        <w:tc>
          <w:tcPr>
            <w:tcW w:w="1836" w:type="dxa"/>
            <w:shd w:val="clear" w:color="auto" w:fill="auto"/>
            <w:hideMark/>
          </w:tcPr>
          <w:p w14:paraId="25AA2977" w14:textId="77777777" w:rsidR="00F00065" w:rsidRPr="003221ED" w:rsidRDefault="00F00065" w:rsidP="00784DF9">
            <w:pPr>
              <w:rPr>
                <w:rFonts w:ascii="Calibri" w:eastAsia="Times New Roman" w:hAnsi="Calibri" w:cs="Calibri"/>
                <w:color w:val="000000"/>
                <w:sz w:val="22"/>
                <w:lang w:eastAsia="en-GB"/>
              </w:rPr>
            </w:pPr>
            <w:r w:rsidRPr="003221ED">
              <w:rPr>
                <w:rFonts w:eastAsia="Times New Roman" w:cs="Arial"/>
                <w:color w:val="000000"/>
                <w:szCs w:val="20"/>
                <w:bdr w:val="none" w:sz="0" w:space="0" w:color="auto" w:frame="1"/>
                <w:lang w:eastAsia="en-GB"/>
              </w:rPr>
              <w:t>2.28</w:t>
            </w:r>
          </w:p>
        </w:tc>
      </w:tr>
      <w:tr w:rsidR="00F00065" w:rsidRPr="003221ED" w14:paraId="1BA70A3C" w14:textId="77777777" w:rsidTr="00784DF9">
        <w:trPr>
          <w:trHeight w:val="449"/>
        </w:trPr>
        <w:tc>
          <w:tcPr>
            <w:tcW w:w="1835" w:type="dxa"/>
            <w:shd w:val="clear" w:color="auto" w:fill="auto"/>
          </w:tcPr>
          <w:p w14:paraId="4B9E58C4" w14:textId="77777777" w:rsidR="00F00065" w:rsidRPr="003221ED" w:rsidRDefault="00F00065" w:rsidP="00784DF9">
            <w:pPr>
              <w:rPr>
                <w:rFonts w:eastAsia="Times New Roman" w:cs="Arial"/>
                <w:color w:val="000000"/>
                <w:szCs w:val="20"/>
                <w:bdr w:val="none" w:sz="0" w:space="0" w:color="auto" w:frame="1"/>
                <w:lang w:eastAsia="en-GB"/>
              </w:rPr>
            </w:pPr>
            <w:r>
              <w:rPr>
                <w:rFonts w:eastAsia="Times New Roman" w:cs="Arial"/>
                <w:color w:val="000000"/>
                <w:szCs w:val="20"/>
                <w:bdr w:val="none" w:sz="0" w:space="0" w:color="auto" w:frame="1"/>
                <w:lang w:eastAsia="en-GB"/>
              </w:rPr>
              <w:t>PBEC_3</w:t>
            </w:r>
          </w:p>
        </w:tc>
        <w:tc>
          <w:tcPr>
            <w:tcW w:w="1836" w:type="dxa"/>
            <w:shd w:val="clear" w:color="auto" w:fill="auto"/>
            <w:tcMar>
              <w:top w:w="15" w:type="dxa"/>
              <w:left w:w="15" w:type="dxa"/>
              <w:bottom w:w="15" w:type="dxa"/>
              <w:right w:w="15" w:type="dxa"/>
            </w:tcMar>
            <w:hideMark/>
          </w:tcPr>
          <w:p w14:paraId="14C02701" w14:textId="77777777" w:rsidR="00F00065" w:rsidRPr="003221ED" w:rsidRDefault="00F00065" w:rsidP="00784DF9">
            <w:pPr>
              <w:rPr>
                <w:rFonts w:ascii="Calibri" w:eastAsia="Times New Roman" w:hAnsi="Calibri" w:cs="Calibri"/>
                <w:color w:val="000000"/>
                <w:sz w:val="22"/>
                <w:lang w:eastAsia="en-GB"/>
              </w:rPr>
            </w:pPr>
            <w:r w:rsidRPr="003221ED">
              <w:rPr>
                <w:rFonts w:eastAsia="Times New Roman" w:cs="Arial"/>
                <w:color w:val="000000"/>
                <w:szCs w:val="20"/>
                <w:bdr w:val="none" w:sz="0" w:space="0" w:color="auto" w:frame="1"/>
                <w:lang w:eastAsia="en-GB"/>
              </w:rPr>
              <w:t>Healthy</w:t>
            </w:r>
          </w:p>
        </w:tc>
        <w:tc>
          <w:tcPr>
            <w:tcW w:w="1836" w:type="dxa"/>
            <w:shd w:val="clear" w:color="auto" w:fill="auto"/>
            <w:hideMark/>
          </w:tcPr>
          <w:p w14:paraId="2AA51600" w14:textId="77777777" w:rsidR="00F00065" w:rsidRPr="003221ED" w:rsidRDefault="00F00065" w:rsidP="00784DF9">
            <w:pPr>
              <w:rPr>
                <w:rFonts w:ascii="Calibri" w:eastAsia="Times New Roman" w:hAnsi="Calibri" w:cs="Calibri"/>
                <w:color w:val="000000"/>
                <w:sz w:val="22"/>
                <w:lang w:eastAsia="en-GB"/>
              </w:rPr>
            </w:pPr>
            <w:r w:rsidRPr="003221ED">
              <w:rPr>
                <w:rFonts w:eastAsia="Times New Roman" w:cs="Arial"/>
                <w:color w:val="000000"/>
                <w:szCs w:val="20"/>
                <w:bdr w:val="none" w:sz="0" w:space="0" w:color="auto" w:frame="1"/>
                <w:lang w:eastAsia="en-GB"/>
              </w:rPr>
              <w:t>Male</w:t>
            </w:r>
          </w:p>
        </w:tc>
        <w:tc>
          <w:tcPr>
            <w:tcW w:w="1836" w:type="dxa"/>
            <w:shd w:val="clear" w:color="auto" w:fill="auto"/>
            <w:hideMark/>
          </w:tcPr>
          <w:p w14:paraId="1A49C02A" w14:textId="77777777" w:rsidR="00F00065" w:rsidRPr="003221ED" w:rsidRDefault="00F00065" w:rsidP="00784DF9">
            <w:pPr>
              <w:rPr>
                <w:rFonts w:ascii="Calibri" w:eastAsia="Times New Roman" w:hAnsi="Calibri" w:cs="Calibri"/>
                <w:color w:val="000000"/>
                <w:sz w:val="22"/>
                <w:lang w:eastAsia="en-GB"/>
              </w:rPr>
            </w:pPr>
            <w:r w:rsidRPr="003221ED">
              <w:rPr>
                <w:rFonts w:eastAsia="Times New Roman" w:cs="Arial"/>
                <w:color w:val="000000"/>
                <w:szCs w:val="20"/>
                <w:bdr w:val="none" w:sz="0" w:space="0" w:color="auto" w:frame="1"/>
                <w:lang w:eastAsia="en-GB"/>
              </w:rPr>
              <w:t>0</w:t>
            </w:r>
          </w:p>
        </w:tc>
        <w:tc>
          <w:tcPr>
            <w:tcW w:w="1836" w:type="dxa"/>
            <w:shd w:val="clear" w:color="auto" w:fill="auto"/>
            <w:hideMark/>
          </w:tcPr>
          <w:p w14:paraId="1A5DCDA6" w14:textId="77777777" w:rsidR="00F00065" w:rsidRPr="003221ED" w:rsidRDefault="00F00065" w:rsidP="00784DF9">
            <w:pPr>
              <w:rPr>
                <w:rFonts w:ascii="Calibri" w:eastAsia="Times New Roman" w:hAnsi="Calibri" w:cs="Calibri"/>
                <w:color w:val="000000"/>
                <w:sz w:val="22"/>
                <w:lang w:eastAsia="en-GB"/>
              </w:rPr>
            </w:pPr>
            <w:r w:rsidRPr="003221ED">
              <w:rPr>
                <w:rFonts w:eastAsia="Times New Roman" w:cs="Arial"/>
                <w:color w:val="000000"/>
                <w:szCs w:val="20"/>
                <w:bdr w:val="none" w:sz="0" w:space="0" w:color="auto" w:frame="1"/>
                <w:lang w:eastAsia="en-GB"/>
              </w:rPr>
              <w:t>2.98</w:t>
            </w:r>
          </w:p>
        </w:tc>
      </w:tr>
      <w:tr w:rsidR="00F00065" w:rsidRPr="003221ED" w14:paraId="47F892BA" w14:textId="77777777" w:rsidTr="00784DF9">
        <w:trPr>
          <w:trHeight w:val="449"/>
        </w:trPr>
        <w:tc>
          <w:tcPr>
            <w:tcW w:w="1835" w:type="dxa"/>
            <w:shd w:val="clear" w:color="auto" w:fill="auto"/>
          </w:tcPr>
          <w:p w14:paraId="72406AB9" w14:textId="77777777" w:rsidR="00F00065" w:rsidRDefault="00F00065" w:rsidP="00784DF9">
            <w:pPr>
              <w:rPr>
                <w:rFonts w:eastAsia="Times New Roman" w:cs="Arial"/>
                <w:color w:val="000000"/>
                <w:szCs w:val="20"/>
                <w:bdr w:val="none" w:sz="0" w:space="0" w:color="auto" w:frame="1"/>
                <w:lang w:eastAsia="en-GB"/>
              </w:rPr>
            </w:pPr>
            <w:r>
              <w:rPr>
                <w:rFonts w:eastAsia="Times New Roman" w:cs="Arial"/>
                <w:color w:val="000000"/>
                <w:szCs w:val="20"/>
                <w:bdr w:val="none" w:sz="0" w:space="0" w:color="auto" w:frame="1"/>
                <w:lang w:eastAsia="en-GB"/>
              </w:rPr>
              <w:t>PBEC_4</w:t>
            </w:r>
          </w:p>
        </w:tc>
        <w:tc>
          <w:tcPr>
            <w:tcW w:w="1836" w:type="dxa"/>
            <w:shd w:val="clear" w:color="auto" w:fill="auto"/>
            <w:tcMar>
              <w:top w:w="15" w:type="dxa"/>
              <w:left w:w="15" w:type="dxa"/>
              <w:bottom w:w="15" w:type="dxa"/>
              <w:right w:w="15" w:type="dxa"/>
            </w:tcMar>
          </w:tcPr>
          <w:p w14:paraId="2C4B2DA0" w14:textId="77777777" w:rsidR="00F00065" w:rsidRPr="003221ED" w:rsidRDefault="00F00065" w:rsidP="00784DF9">
            <w:pPr>
              <w:rPr>
                <w:rFonts w:eastAsia="Times New Roman" w:cs="Arial"/>
                <w:color w:val="000000"/>
                <w:szCs w:val="20"/>
                <w:bdr w:val="none" w:sz="0" w:space="0" w:color="auto" w:frame="1"/>
                <w:lang w:eastAsia="en-GB"/>
              </w:rPr>
            </w:pPr>
            <w:r>
              <w:rPr>
                <w:rFonts w:eastAsia="Times New Roman" w:cs="Arial"/>
                <w:color w:val="000000"/>
                <w:szCs w:val="20"/>
                <w:bdr w:val="none" w:sz="0" w:space="0" w:color="auto" w:frame="1"/>
                <w:lang w:eastAsia="en-GB"/>
              </w:rPr>
              <w:t>COPD</w:t>
            </w:r>
          </w:p>
        </w:tc>
        <w:tc>
          <w:tcPr>
            <w:tcW w:w="1836" w:type="dxa"/>
            <w:shd w:val="clear" w:color="auto" w:fill="auto"/>
          </w:tcPr>
          <w:p w14:paraId="5B2214B0" w14:textId="77777777" w:rsidR="00F00065" w:rsidRPr="003221ED" w:rsidRDefault="00F00065" w:rsidP="00784DF9">
            <w:pPr>
              <w:rPr>
                <w:rFonts w:eastAsia="Times New Roman" w:cs="Arial"/>
                <w:color w:val="000000"/>
                <w:szCs w:val="20"/>
                <w:bdr w:val="none" w:sz="0" w:space="0" w:color="auto" w:frame="1"/>
                <w:lang w:eastAsia="en-GB"/>
              </w:rPr>
            </w:pPr>
            <w:r>
              <w:rPr>
                <w:rFonts w:eastAsia="Times New Roman" w:cs="Arial"/>
                <w:color w:val="000000"/>
                <w:szCs w:val="20"/>
                <w:bdr w:val="none" w:sz="0" w:space="0" w:color="auto" w:frame="1"/>
                <w:lang w:eastAsia="en-GB"/>
              </w:rPr>
              <w:t>Female</w:t>
            </w:r>
          </w:p>
        </w:tc>
        <w:tc>
          <w:tcPr>
            <w:tcW w:w="1836" w:type="dxa"/>
            <w:shd w:val="clear" w:color="auto" w:fill="auto"/>
          </w:tcPr>
          <w:p w14:paraId="45807B4E" w14:textId="77777777" w:rsidR="00F00065" w:rsidRPr="003221ED" w:rsidRDefault="00F00065" w:rsidP="00784DF9">
            <w:pPr>
              <w:rPr>
                <w:rFonts w:eastAsia="Times New Roman" w:cs="Arial"/>
                <w:color w:val="000000"/>
                <w:szCs w:val="20"/>
                <w:bdr w:val="none" w:sz="0" w:space="0" w:color="auto" w:frame="1"/>
                <w:lang w:eastAsia="en-GB"/>
              </w:rPr>
            </w:pPr>
            <w:r>
              <w:rPr>
                <w:rFonts w:eastAsia="Times New Roman" w:cs="Arial"/>
                <w:color w:val="000000"/>
                <w:szCs w:val="20"/>
                <w:bdr w:val="none" w:sz="0" w:space="0" w:color="auto" w:frame="1"/>
                <w:lang w:eastAsia="en-GB"/>
              </w:rPr>
              <w:t>40</w:t>
            </w:r>
          </w:p>
        </w:tc>
        <w:tc>
          <w:tcPr>
            <w:tcW w:w="1836" w:type="dxa"/>
            <w:shd w:val="clear" w:color="auto" w:fill="auto"/>
          </w:tcPr>
          <w:p w14:paraId="6D07313B" w14:textId="77777777" w:rsidR="00F00065" w:rsidRPr="003221ED" w:rsidRDefault="00F00065" w:rsidP="00784DF9">
            <w:pPr>
              <w:rPr>
                <w:rFonts w:eastAsia="Times New Roman" w:cs="Arial"/>
                <w:color w:val="000000"/>
                <w:szCs w:val="20"/>
                <w:bdr w:val="none" w:sz="0" w:space="0" w:color="auto" w:frame="1"/>
                <w:lang w:eastAsia="en-GB"/>
              </w:rPr>
            </w:pPr>
            <w:r>
              <w:rPr>
                <w:rFonts w:eastAsia="Times New Roman" w:cs="Arial"/>
                <w:color w:val="000000"/>
                <w:szCs w:val="20"/>
                <w:bdr w:val="none" w:sz="0" w:space="0" w:color="auto" w:frame="1"/>
                <w:lang w:eastAsia="en-GB"/>
              </w:rPr>
              <w:t>1.03</w:t>
            </w:r>
          </w:p>
        </w:tc>
      </w:tr>
    </w:tbl>
    <w:p w14:paraId="2621D1CC" w14:textId="77777777" w:rsidR="00F00065" w:rsidRDefault="00F00065" w:rsidP="00F00065"/>
    <w:p w14:paraId="7A7A4BFC" w14:textId="77777777" w:rsidR="00F00065" w:rsidRDefault="00F00065" w:rsidP="00F00065"/>
    <w:p w14:paraId="40C1EA53" w14:textId="77777777" w:rsidR="00F00065" w:rsidRPr="00BB6435" w:rsidRDefault="00F00065" w:rsidP="00F00065">
      <w:pPr>
        <w:pStyle w:val="Heading2"/>
        <w:spacing w:before="0"/>
      </w:pPr>
      <w:r>
        <w:t xml:space="preserve">Supplementary </w:t>
      </w:r>
      <w:r w:rsidRPr="00BB6435">
        <w:t xml:space="preserve">Table </w:t>
      </w:r>
      <w:r>
        <w:t xml:space="preserve">2 </w:t>
      </w:r>
      <w:r w:rsidRPr="00BB6435">
        <w:t>Working concentrations and source of primary antibodies used for immunofluorescence.</w:t>
      </w:r>
      <w:bookmarkEnd w:id="0"/>
      <w:r w:rsidRPr="00BB6435">
        <w:t xml:space="preserve"> </w:t>
      </w:r>
    </w:p>
    <w:tbl>
      <w:tblPr>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42"/>
        <w:gridCol w:w="1310"/>
        <w:gridCol w:w="1397"/>
        <w:gridCol w:w="1007"/>
        <w:gridCol w:w="3506"/>
      </w:tblGrid>
      <w:tr w:rsidR="00F00065" w:rsidRPr="00D25D2A" w14:paraId="53E38A01" w14:textId="77777777" w:rsidTr="00784DF9">
        <w:trPr>
          <w:trHeight w:val="498"/>
        </w:trPr>
        <w:tc>
          <w:tcPr>
            <w:tcW w:w="1842" w:type="dxa"/>
            <w:tcMar>
              <w:top w:w="80" w:type="dxa"/>
              <w:left w:w="80" w:type="dxa"/>
              <w:bottom w:w="80" w:type="dxa"/>
              <w:right w:w="80" w:type="dxa"/>
            </w:tcMar>
            <w:hideMark/>
          </w:tcPr>
          <w:p w14:paraId="6A473BA8" w14:textId="77777777" w:rsidR="00F00065" w:rsidRPr="00D25D2A" w:rsidRDefault="00F00065" w:rsidP="00784DF9">
            <w:pPr>
              <w:rPr>
                <w:rFonts w:cs="Times New Roman"/>
                <w:szCs w:val="24"/>
              </w:rPr>
            </w:pPr>
            <w:r w:rsidRPr="00D25D2A">
              <w:rPr>
                <w:rFonts w:cs="Times New Roman"/>
                <w:b/>
                <w:bCs/>
                <w:szCs w:val="24"/>
              </w:rPr>
              <w:t xml:space="preserve">Name </w:t>
            </w:r>
          </w:p>
        </w:tc>
        <w:tc>
          <w:tcPr>
            <w:tcW w:w="1310" w:type="dxa"/>
            <w:tcMar>
              <w:top w:w="80" w:type="dxa"/>
              <w:left w:w="80" w:type="dxa"/>
              <w:bottom w:w="80" w:type="dxa"/>
              <w:right w:w="80" w:type="dxa"/>
            </w:tcMar>
            <w:hideMark/>
          </w:tcPr>
          <w:p w14:paraId="49C87D23" w14:textId="77777777" w:rsidR="00F00065" w:rsidRPr="00D25D2A" w:rsidRDefault="00F00065" w:rsidP="00784DF9">
            <w:pPr>
              <w:rPr>
                <w:rFonts w:cs="Times New Roman"/>
                <w:szCs w:val="24"/>
              </w:rPr>
            </w:pPr>
            <w:r w:rsidRPr="00D25D2A">
              <w:rPr>
                <w:rFonts w:cs="Times New Roman"/>
                <w:b/>
                <w:bCs/>
                <w:szCs w:val="24"/>
              </w:rPr>
              <w:t>Primary Antibody</w:t>
            </w:r>
          </w:p>
        </w:tc>
        <w:tc>
          <w:tcPr>
            <w:tcW w:w="1397" w:type="dxa"/>
            <w:tcMar>
              <w:top w:w="80" w:type="dxa"/>
              <w:left w:w="80" w:type="dxa"/>
              <w:bottom w:w="80" w:type="dxa"/>
              <w:right w:w="80" w:type="dxa"/>
            </w:tcMar>
            <w:hideMark/>
          </w:tcPr>
          <w:p w14:paraId="2B759124" w14:textId="77777777" w:rsidR="00F00065" w:rsidRPr="00D25D2A" w:rsidRDefault="00F00065" w:rsidP="00784DF9">
            <w:pPr>
              <w:rPr>
                <w:rFonts w:cs="Times New Roman"/>
                <w:szCs w:val="24"/>
              </w:rPr>
            </w:pPr>
            <w:r w:rsidRPr="00D25D2A">
              <w:rPr>
                <w:rFonts w:cs="Times New Roman"/>
                <w:b/>
                <w:bCs/>
                <w:szCs w:val="24"/>
              </w:rPr>
              <w:t>Secondary Antibody</w:t>
            </w:r>
          </w:p>
        </w:tc>
        <w:tc>
          <w:tcPr>
            <w:tcW w:w="1007" w:type="dxa"/>
            <w:tcMar>
              <w:top w:w="80" w:type="dxa"/>
              <w:left w:w="80" w:type="dxa"/>
              <w:bottom w:w="80" w:type="dxa"/>
              <w:right w:w="80" w:type="dxa"/>
            </w:tcMar>
            <w:hideMark/>
          </w:tcPr>
          <w:p w14:paraId="584DDB5B" w14:textId="77777777" w:rsidR="00F00065" w:rsidRPr="00D25D2A" w:rsidRDefault="00F00065" w:rsidP="00784DF9">
            <w:pPr>
              <w:rPr>
                <w:rFonts w:cs="Times New Roman"/>
                <w:szCs w:val="24"/>
              </w:rPr>
            </w:pPr>
            <w:r w:rsidRPr="00D25D2A">
              <w:rPr>
                <w:rFonts w:cs="Times New Roman"/>
                <w:b/>
                <w:bCs/>
                <w:szCs w:val="24"/>
              </w:rPr>
              <w:t xml:space="preserve">Host </w:t>
            </w:r>
          </w:p>
          <w:p w14:paraId="3DE524A0" w14:textId="77777777" w:rsidR="00F00065" w:rsidRPr="00D25D2A" w:rsidRDefault="00F00065" w:rsidP="00784DF9">
            <w:pPr>
              <w:rPr>
                <w:rFonts w:cs="Times New Roman"/>
                <w:szCs w:val="24"/>
              </w:rPr>
            </w:pPr>
            <w:r w:rsidRPr="00D25D2A">
              <w:rPr>
                <w:rFonts w:cs="Times New Roman"/>
                <w:b/>
                <w:bCs/>
                <w:szCs w:val="24"/>
              </w:rPr>
              <w:t>Species</w:t>
            </w:r>
          </w:p>
        </w:tc>
        <w:tc>
          <w:tcPr>
            <w:tcW w:w="3506" w:type="dxa"/>
            <w:tcMar>
              <w:top w:w="80" w:type="dxa"/>
              <w:left w:w="80" w:type="dxa"/>
              <w:bottom w:w="80" w:type="dxa"/>
              <w:right w:w="80" w:type="dxa"/>
            </w:tcMar>
            <w:hideMark/>
          </w:tcPr>
          <w:p w14:paraId="1ABADD8D" w14:textId="77777777" w:rsidR="00F00065" w:rsidRPr="00D25D2A" w:rsidRDefault="00F00065" w:rsidP="00784DF9">
            <w:pPr>
              <w:rPr>
                <w:rFonts w:cs="Times New Roman"/>
                <w:szCs w:val="24"/>
              </w:rPr>
            </w:pPr>
            <w:r w:rsidRPr="00D25D2A">
              <w:rPr>
                <w:rFonts w:cs="Times New Roman"/>
                <w:b/>
                <w:bCs/>
                <w:szCs w:val="24"/>
              </w:rPr>
              <w:t>Supplier (Catalogue No.)</w:t>
            </w:r>
          </w:p>
          <w:p w14:paraId="0DD23262" w14:textId="77777777" w:rsidR="00F00065" w:rsidRPr="00D25D2A" w:rsidRDefault="00F00065" w:rsidP="00784DF9">
            <w:pPr>
              <w:rPr>
                <w:rFonts w:cs="Times New Roman"/>
                <w:szCs w:val="24"/>
              </w:rPr>
            </w:pPr>
            <w:r w:rsidRPr="00D25D2A">
              <w:rPr>
                <w:rFonts w:cs="Times New Roman"/>
                <w:b/>
                <w:bCs/>
                <w:szCs w:val="24"/>
              </w:rPr>
              <w:t> </w:t>
            </w:r>
          </w:p>
        </w:tc>
      </w:tr>
      <w:tr w:rsidR="00F00065" w:rsidRPr="00D25D2A" w14:paraId="44C3089B" w14:textId="77777777" w:rsidTr="00784DF9">
        <w:tc>
          <w:tcPr>
            <w:tcW w:w="1842" w:type="dxa"/>
            <w:tcMar>
              <w:top w:w="80" w:type="dxa"/>
              <w:left w:w="80" w:type="dxa"/>
              <w:bottom w:w="80" w:type="dxa"/>
              <w:right w:w="80" w:type="dxa"/>
            </w:tcMar>
            <w:hideMark/>
          </w:tcPr>
          <w:p w14:paraId="5B322F3D" w14:textId="77777777" w:rsidR="00F00065" w:rsidRPr="00883556" w:rsidRDefault="00F00065" w:rsidP="00784DF9">
            <w:pPr>
              <w:rPr>
                <w:rFonts w:cs="Times New Roman"/>
                <w:szCs w:val="24"/>
              </w:rPr>
            </w:pPr>
            <w:r w:rsidRPr="00883556">
              <w:rPr>
                <w:rFonts w:cs="Times New Roman"/>
                <w:szCs w:val="24"/>
              </w:rPr>
              <w:lastRenderedPageBreak/>
              <w:t>TRPA1</w:t>
            </w:r>
          </w:p>
        </w:tc>
        <w:tc>
          <w:tcPr>
            <w:tcW w:w="1310" w:type="dxa"/>
            <w:tcMar>
              <w:top w:w="80" w:type="dxa"/>
              <w:left w:w="80" w:type="dxa"/>
              <w:bottom w:w="80" w:type="dxa"/>
              <w:right w:w="80" w:type="dxa"/>
            </w:tcMar>
            <w:hideMark/>
          </w:tcPr>
          <w:p w14:paraId="2F4B2010" w14:textId="77777777" w:rsidR="00F00065" w:rsidRPr="00D25D2A" w:rsidRDefault="00F00065" w:rsidP="00784DF9">
            <w:pPr>
              <w:rPr>
                <w:rFonts w:cs="Times New Roman"/>
                <w:szCs w:val="24"/>
              </w:rPr>
            </w:pPr>
            <w:r w:rsidRPr="00D25D2A">
              <w:rPr>
                <w:rFonts w:cs="Times New Roman"/>
                <w:szCs w:val="24"/>
              </w:rPr>
              <w:t>1:100</w:t>
            </w:r>
          </w:p>
        </w:tc>
        <w:tc>
          <w:tcPr>
            <w:tcW w:w="1397" w:type="dxa"/>
            <w:tcMar>
              <w:top w:w="80" w:type="dxa"/>
              <w:left w:w="80" w:type="dxa"/>
              <w:bottom w:w="80" w:type="dxa"/>
              <w:right w:w="80" w:type="dxa"/>
            </w:tcMar>
            <w:hideMark/>
          </w:tcPr>
          <w:p w14:paraId="7019C4AD" w14:textId="77777777" w:rsidR="00F00065" w:rsidRPr="00D25D2A" w:rsidRDefault="00F00065" w:rsidP="00784DF9">
            <w:pPr>
              <w:rPr>
                <w:rFonts w:cs="Times New Roman"/>
                <w:szCs w:val="24"/>
              </w:rPr>
            </w:pPr>
            <w:r w:rsidRPr="00D25D2A">
              <w:rPr>
                <w:rFonts w:cs="Times New Roman"/>
                <w:szCs w:val="24"/>
              </w:rPr>
              <w:t>1:500</w:t>
            </w:r>
          </w:p>
        </w:tc>
        <w:tc>
          <w:tcPr>
            <w:tcW w:w="1007" w:type="dxa"/>
            <w:tcMar>
              <w:top w:w="80" w:type="dxa"/>
              <w:left w:w="80" w:type="dxa"/>
              <w:bottom w:w="80" w:type="dxa"/>
              <w:right w:w="80" w:type="dxa"/>
            </w:tcMar>
            <w:hideMark/>
          </w:tcPr>
          <w:p w14:paraId="279B09E6" w14:textId="77777777" w:rsidR="00F00065" w:rsidRPr="00D25D2A" w:rsidRDefault="00F00065" w:rsidP="00784DF9">
            <w:pPr>
              <w:rPr>
                <w:rFonts w:cs="Times New Roman"/>
                <w:szCs w:val="24"/>
              </w:rPr>
            </w:pPr>
            <w:r w:rsidRPr="00D25D2A">
              <w:rPr>
                <w:rFonts w:cs="Times New Roman"/>
                <w:szCs w:val="24"/>
              </w:rPr>
              <w:t>Rabbit</w:t>
            </w:r>
          </w:p>
        </w:tc>
        <w:tc>
          <w:tcPr>
            <w:tcW w:w="3506" w:type="dxa"/>
            <w:tcMar>
              <w:top w:w="80" w:type="dxa"/>
              <w:left w:w="80" w:type="dxa"/>
              <w:bottom w:w="80" w:type="dxa"/>
              <w:right w:w="80" w:type="dxa"/>
            </w:tcMar>
            <w:hideMark/>
          </w:tcPr>
          <w:p w14:paraId="01D78983" w14:textId="77777777" w:rsidR="00F00065" w:rsidRPr="00D25D2A" w:rsidRDefault="00F00065" w:rsidP="00784DF9">
            <w:pPr>
              <w:rPr>
                <w:rFonts w:cs="Times New Roman"/>
                <w:szCs w:val="24"/>
              </w:rPr>
            </w:pPr>
            <w:r w:rsidRPr="00D25D2A">
              <w:rPr>
                <w:rFonts w:cs="Times New Roman"/>
                <w:szCs w:val="24"/>
              </w:rPr>
              <w:t>LS Biosciences (LS-B177)</w:t>
            </w:r>
          </w:p>
        </w:tc>
      </w:tr>
      <w:tr w:rsidR="00F00065" w:rsidRPr="00D25D2A" w14:paraId="6BE2C632" w14:textId="77777777" w:rsidTr="00784DF9">
        <w:tc>
          <w:tcPr>
            <w:tcW w:w="1842" w:type="dxa"/>
            <w:tcMar>
              <w:top w:w="80" w:type="dxa"/>
              <w:left w:w="80" w:type="dxa"/>
              <w:bottom w:w="80" w:type="dxa"/>
              <w:right w:w="80" w:type="dxa"/>
            </w:tcMar>
            <w:hideMark/>
          </w:tcPr>
          <w:p w14:paraId="092E0DFD" w14:textId="77777777" w:rsidR="00F00065" w:rsidRPr="00883556" w:rsidRDefault="00F00065" w:rsidP="00784DF9">
            <w:pPr>
              <w:rPr>
                <w:rFonts w:cs="Times New Roman"/>
                <w:szCs w:val="24"/>
              </w:rPr>
            </w:pPr>
            <w:r w:rsidRPr="00883556">
              <w:rPr>
                <w:rFonts w:cs="Times New Roman"/>
                <w:szCs w:val="24"/>
              </w:rPr>
              <w:t>FSP</w:t>
            </w:r>
          </w:p>
        </w:tc>
        <w:tc>
          <w:tcPr>
            <w:tcW w:w="1310" w:type="dxa"/>
            <w:tcMar>
              <w:top w:w="80" w:type="dxa"/>
              <w:left w:w="80" w:type="dxa"/>
              <w:bottom w:w="80" w:type="dxa"/>
              <w:right w:w="80" w:type="dxa"/>
            </w:tcMar>
            <w:hideMark/>
          </w:tcPr>
          <w:p w14:paraId="46DB47B3" w14:textId="77777777" w:rsidR="00F00065" w:rsidRPr="00D25D2A" w:rsidRDefault="00F00065" w:rsidP="00784DF9">
            <w:pPr>
              <w:rPr>
                <w:rFonts w:cs="Times New Roman"/>
                <w:szCs w:val="24"/>
              </w:rPr>
            </w:pPr>
            <w:r w:rsidRPr="00D25D2A">
              <w:rPr>
                <w:rFonts w:cs="Times New Roman"/>
                <w:szCs w:val="24"/>
              </w:rPr>
              <w:t>1:500</w:t>
            </w:r>
          </w:p>
        </w:tc>
        <w:tc>
          <w:tcPr>
            <w:tcW w:w="1397" w:type="dxa"/>
            <w:tcMar>
              <w:top w:w="80" w:type="dxa"/>
              <w:left w:w="80" w:type="dxa"/>
              <w:bottom w:w="80" w:type="dxa"/>
              <w:right w:w="80" w:type="dxa"/>
            </w:tcMar>
            <w:hideMark/>
          </w:tcPr>
          <w:p w14:paraId="655A7EFC" w14:textId="77777777" w:rsidR="00F00065" w:rsidRPr="00D25D2A" w:rsidRDefault="00F00065" w:rsidP="00784DF9">
            <w:pPr>
              <w:rPr>
                <w:rFonts w:cs="Times New Roman"/>
                <w:szCs w:val="24"/>
              </w:rPr>
            </w:pPr>
            <w:r w:rsidRPr="00D25D2A">
              <w:rPr>
                <w:rFonts w:cs="Times New Roman"/>
                <w:szCs w:val="24"/>
              </w:rPr>
              <w:t>1:500</w:t>
            </w:r>
          </w:p>
        </w:tc>
        <w:tc>
          <w:tcPr>
            <w:tcW w:w="1007" w:type="dxa"/>
            <w:tcMar>
              <w:top w:w="80" w:type="dxa"/>
              <w:left w:w="80" w:type="dxa"/>
              <w:bottom w:w="80" w:type="dxa"/>
              <w:right w:w="80" w:type="dxa"/>
            </w:tcMar>
            <w:hideMark/>
          </w:tcPr>
          <w:p w14:paraId="5BC66508" w14:textId="77777777" w:rsidR="00F00065" w:rsidRPr="00D25D2A" w:rsidRDefault="00F00065" w:rsidP="00784DF9">
            <w:pPr>
              <w:rPr>
                <w:rFonts w:cs="Times New Roman"/>
                <w:szCs w:val="24"/>
              </w:rPr>
            </w:pPr>
            <w:r w:rsidRPr="00D25D2A">
              <w:rPr>
                <w:rFonts w:cs="Times New Roman"/>
                <w:szCs w:val="24"/>
              </w:rPr>
              <w:t>Mouse</w:t>
            </w:r>
          </w:p>
        </w:tc>
        <w:tc>
          <w:tcPr>
            <w:tcW w:w="3506" w:type="dxa"/>
            <w:tcMar>
              <w:top w:w="80" w:type="dxa"/>
              <w:left w:w="80" w:type="dxa"/>
              <w:bottom w:w="80" w:type="dxa"/>
              <w:right w:w="80" w:type="dxa"/>
            </w:tcMar>
            <w:hideMark/>
          </w:tcPr>
          <w:p w14:paraId="651EDBCA" w14:textId="77777777" w:rsidR="00F00065" w:rsidRPr="00D25D2A" w:rsidRDefault="00F00065" w:rsidP="00784DF9">
            <w:pPr>
              <w:rPr>
                <w:rFonts w:cs="Times New Roman"/>
                <w:szCs w:val="24"/>
              </w:rPr>
            </w:pPr>
            <w:r w:rsidRPr="00D25D2A">
              <w:rPr>
                <w:rFonts w:cs="Times New Roman"/>
                <w:szCs w:val="24"/>
              </w:rPr>
              <w:t>Abnova (ab11333-200)</w:t>
            </w:r>
          </w:p>
        </w:tc>
      </w:tr>
      <w:tr w:rsidR="00F00065" w:rsidRPr="00D25D2A" w14:paraId="3CA54BEC" w14:textId="77777777" w:rsidTr="00784DF9">
        <w:tc>
          <w:tcPr>
            <w:tcW w:w="1842" w:type="dxa"/>
            <w:tcMar>
              <w:top w:w="80" w:type="dxa"/>
              <w:left w:w="80" w:type="dxa"/>
              <w:bottom w:w="80" w:type="dxa"/>
              <w:right w:w="80" w:type="dxa"/>
            </w:tcMar>
            <w:hideMark/>
          </w:tcPr>
          <w:p w14:paraId="75DA68FE" w14:textId="77777777" w:rsidR="00F00065" w:rsidRPr="00911AC4" w:rsidRDefault="00F00065" w:rsidP="00784DF9">
            <w:pPr>
              <w:rPr>
                <w:rFonts w:cs="Times New Roman"/>
                <w:szCs w:val="24"/>
              </w:rPr>
            </w:pPr>
            <w:r w:rsidRPr="00911AC4">
              <w:rPr>
                <w:rFonts w:cs="Times New Roman"/>
                <w:szCs w:val="24"/>
              </w:rPr>
              <w:t>PGP9.5</w:t>
            </w:r>
          </w:p>
        </w:tc>
        <w:tc>
          <w:tcPr>
            <w:tcW w:w="1310" w:type="dxa"/>
            <w:tcMar>
              <w:top w:w="80" w:type="dxa"/>
              <w:left w:w="80" w:type="dxa"/>
              <w:bottom w:w="80" w:type="dxa"/>
              <w:right w:w="80" w:type="dxa"/>
            </w:tcMar>
            <w:hideMark/>
          </w:tcPr>
          <w:p w14:paraId="56FAC9CA" w14:textId="77777777" w:rsidR="00F00065" w:rsidRPr="00911AC4" w:rsidRDefault="00F00065" w:rsidP="00784DF9">
            <w:pPr>
              <w:rPr>
                <w:rFonts w:cs="Times New Roman"/>
                <w:szCs w:val="24"/>
              </w:rPr>
            </w:pPr>
            <w:r w:rsidRPr="00911AC4">
              <w:rPr>
                <w:rFonts w:cs="Times New Roman"/>
                <w:szCs w:val="24"/>
              </w:rPr>
              <w:t>1:250</w:t>
            </w:r>
          </w:p>
        </w:tc>
        <w:tc>
          <w:tcPr>
            <w:tcW w:w="1397" w:type="dxa"/>
            <w:tcMar>
              <w:top w:w="80" w:type="dxa"/>
              <w:left w:w="80" w:type="dxa"/>
              <w:bottom w:w="80" w:type="dxa"/>
              <w:right w:w="80" w:type="dxa"/>
            </w:tcMar>
            <w:hideMark/>
          </w:tcPr>
          <w:p w14:paraId="6E1C2B6A" w14:textId="77777777" w:rsidR="00F00065" w:rsidRPr="00911AC4" w:rsidRDefault="00F00065" w:rsidP="00784DF9">
            <w:pPr>
              <w:rPr>
                <w:rFonts w:cs="Times New Roman"/>
                <w:szCs w:val="24"/>
              </w:rPr>
            </w:pPr>
            <w:r w:rsidRPr="00911AC4">
              <w:rPr>
                <w:rFonts w:cs="Times New Roman"/>
                <w:szCs w:val="24"/>
              </w:rPr>
              <w:t>1:500</w:t>
            </w:r>
          </w:p>
        </w:tc>
        <w:tc>
          <w:tcPr>
            <w:tcW w:w="1007" w:type="dxa"/>
            <w:tcMar>
              <w:top w:w="80" w:type="dxa"/>
              <w:left w:w="80" w:type="dxa"/>
              <w:bottom w:w="80" w:type="dxa"/>
              <w:right w:w="80" w:type="dxa"/>
            </w:tcMar>
            <w:hideMark/>
          </w:tcPr>
          <w:p w14:paraId="49BA63F7" w14:textId="77777777" w:rsidR="00F00065" w:rsidRPr="00911AC4" w:rsidRDefault="00F00065" w:rsidP="00784DF9">
            <w:pPr>
              <w:rPr>
                <w:rFonts w:cs="Times New Roman"/>
                <w:szCs w:val="24"/>
              </w:rPr>
            </w:pPr>
            <w:r w:rsidRPr="00911AC4">
              <w:rPr>
                <w:rFonts w:cs="Times New Roman"/>
                <w:szCs w:val="24"/>
              </w:rPr>
              <w:t>Mouse</w:t>
            </w:r>
          </w:p>
        </w:tc>
        <w:tc>
          <w:tcPr>
            <w:tcW w:w="3506" w:type="dxa"/>
            <w:tcMar>
              <w:top w:w="80" w:type="dxa"/>
              <w:left w:w="80" w:type="dxa"/>
              <w:bottom w:w="80" w:type="dxa"/>
              <w:right w:w="80" w:type="dxa"/>
            </w:tcMar>
            <w:hideMark/>
          </w:tcPr>
          <w:p w14:paraId="0E99C849" w14:textId="77777777" w:rsidR="00F00065" w:rsidRPr="00911AC4" w:rsidRDefault="00F00065" w:rsidP="00784DF9">
            <w:pPr>
              <w:rPr>
                <w:rFonts w:cs="Times New Roman"/>
                <w:szCs w:val="24"/>
              </w:rPr>
            </w:pPr>
            <w:r w:rsidRPr="00911AC4">
              <w:rPr>
                <w:rFonts w:cs="Times New Roman"/>
                <w:szCs w:val="24"/>
              </w:rPr>
              <w:t>Cedarlane (CL31A3)</w:t>
            </w:r>
          </w:p>
        </w:tc>
      </w:tr>
      <w:tr w:rsidR="00F00065" w:rsidRPr="00D25D2A" w14:paraId="1A1CE3FF" w14:textId="77777777" w:rsidTr="00784DF9">
        <w:tc>
          <w:tcPr>
            <w:tcW w:w="1842" w:type="dxa"/>
            <w:tcMar>
              <w:top w:w="80" w:type="dxa"/>
              <w:left w:w="80" w:type="dxa"/>
              <w:bottom w:w="80" w:type="dxa"/>
              <w:right w:w="80" w:type="dxa"/>
            </w:tcMar>
            <w:hideMark/>
          </w:tcPr>
          <w:p w14:paraId="2C5E6770" w14:textId="77777777" w:rsidR="00F00065" w:rsidRPr="00883556" w:rsidRDefault="00F00065" w:rsidP="00784DF9">
            <w:pPr>
              <w:rPr>
                <w:rFonts w:cs="Times New Roman"/>
                <w:szCs w:val="24"/>
              </w:rPr>
            </w:pPr>
            <w:r w:rsidRPr="00883556">
              <w:rPr>
                <w:rFonts w:cs="Times New Roman"/>
                <w:szCs w:val="24"/>
              </w:rPr>
              <w:t>ICAM-1</w:t>
            </w:r>
          </w:p>
        </w:tc>
        <w:tc>
          <w:tcPr>
            <w:tcW w:w="1310" w:type="dxa"/>
            <w:tcMar>
              <w:top w:w="80" w:type="dxa"/>
              <w:left w:w="80" w:type="dxa"/>
              <w:bottom w:w="80" w:type="dxa"/>
              <w:right w:w="80" w:type="dxa"/>
            </w:tcMar>
            <w:hideMark/>
          </w:tcPr>
          <w:p w14:paraId="3CB31133" w14:textId="77777777" w:rsidR="00F00065" w:rsidRPr="00D25D2A" w:rsidRDefault="00F00065" w:rsidP="00784DF9">
            <w:pPr>
              <w:rPr>
                <w:rFonts w:cs="Times New Roman"/>
                <w:szCs w:val="24"/>
              </w:rPr>
            </w:pPr>
            <w:r w:rsidRPr="00D25D2A">
              <w:rPr>
                <w:rFonts w:cs="Times New Roman"/>
                <w:szCs w:val="24"/>
              </w:rPr>
              <w:t>1:100</w:t>
            </w:r>
          </w:p>
        </w:tc>
        <w:tc>
          <w:tcPr>
            <w:tcW w:w="1397" w:type="dxa"/>
            <w:tcMar>
              <w:top w:w="80" w:type="dxa"/>
              <w:left w:w="80" w:type="dxa"/>
              <w:bottom w:w="80" w:type="dxa"/>
              <w:right w:w="80" w:type="dxa"/>
            </w:tcMar>
            <w:hideMark/>
          </w:tcPr>
          <w:p w14:paraId="3CA79F61" w14:textId="77777777" w:rsidR="00F00065" w:rsidRPr="00D25D2A" w:rsidRDefault="00F00065" w:rsidP="00784DF9">
            <w:pPr>
              <w:rPr>
                <w:rFonts w:cs="Times New Roman"/>
                <w:szCs w:val="24"/>
              </w:rPr>
            </w:pPr>
            <w:r w:rsidRPr="00D25D2A">
              <w:rPr>
                <w:rFonts w:cs="Times New Roman"/>
                <w:szCs w:val="24"/>
              </w:rPr>
              <w:t>1:500</w:t>
            </w:r>
          </w:p>
        </w:tc>
        <w:tc>
          <w:tcPr>
            <w:tcW w:w="1007" w:type="dxa"/>
            <w:tcMar>
              <w:top w:w="80" w:type="dxa"/>
              <w:left w:w="80" w:type="dxa"/>
              <w:bottom w:w="80" w:type="dxa"/>
              <w:right w:w="80" w:type="dxa"/>
            </w:tcMar>
            <w:hideMark/>
          </w:tcPr>
          <w:p w14:paraId="059A1B84" w14:textId="77777777" w:rsidR="00F00065" w:rsidRPr="00D25D2A" w:rsidRDefault="00F00065" w:rsidP="00784DF9">
            <w:pPr>
              <w:rPr>
                <w:rFonts w:cs="Times New Roman"/>
                <w:szCs w:val="24"/>
              </w:rPr>
            </w:pPr>
            <w:r w:rsidRPr="00D25D2A">
              <w:rPr>
                <w:rFonts w:cs="Times New Roman"/>
                <w:szCs w:val="24"/>
              </w:rPr>
              <w:t>Mouse</w:t>
            </w:r>
          </w:p>
        </w:tc>
        <w:tc>
          <w:tcPr>
            <w:tcW w:w="3506" w:type="dxa"/>
            <w:tcMar>
              <w:top w:w="80" w:type="dxa"/>
              <w:left w:w="80" w:type="dxa"/>
              <w:bottom w:w="80" w:type="dxa"/>
              <w:right w:w="80" w:type="dxa"/>
            </w:tcMar>
            <w:hideMark/>
          </w:tcPr>
          <w:p w14:paraId="041E512D" w14:textId="77777777" w:rsidR="00F00065" w:rsidRPr="00D25D2A" w:rsidRDefault="00F00065" w:rsidP="00784DF9">
            <w:pPr>
              <w:rPr>
                <w:rFonts w:cs="Times New Roman"/>
                <w:szCs w:val="24"/>
              </w:rPr>
            </w:pPr>
            <w:r w:rsidRPr="00D25D2A">
              <w:rPr>
                <w:rFonts w:cs="Times New Roman"/>
                <w:szCs w:val="24"/>
              </w:rPr>
              <w:t>Santa Cruz Biotechnology (sc-107)</w:t>
            </w:r>
          </w:p>
        </w:tc>
      </w:tr>
      <w:tr w:rsidR="00F00065" w:rsidRPr="00D25D2A" w14:paraId="41E70582" w14:textId="77777777" w:rsidTr="00784DF9">
        <w:tc>
          <w:tcPr>
            <w:tcW w:w="1842" w:type="dxa"/>
            <w:tcMar>
              <w:top w:w="80" w:type="dxa"/>
              <w:left w:w="80" w:type="dxa"/>
              <w:bottom w:w="80" w:type="dxa"/>
              <w:right w:w="80" w:type="dxa"/>
            </w:tcMar>
          </w:tcPr>
          <w:p w14:paraId="61636D66" w14:textId="77777777" w:rsidR="00F00065" w:rsidRPr="00883556" w:rsidRDefault="00F00065" w:rsidP="00784DF9">
            <w:pPr>
              <w:rPr>
                <w:rFonts w:cs="Times New Roman"/>
                <w:szCs w:val="24"/>
              </w:rPr>
            </w:pPr>
            <w:r w:rsidRPr="00883556">
              <w:rPr>
                <w:rFonts w:cs="Times New Roman"/>
                <w:szCs w:val="24"/>
              </w:rPr>
              <w:t xml:space="preserve">dsRNA </w:t>
            </w:r>
          </w:p>
        </w:tc>
        <w:tc>
          <w:tcPr>
            <w:tcW w:w="1310" w:type="dxa"/>
            <w:tcMar>
              <w:top w:w="80" w:type="dxa"/>
              <w:left w:w="80" w:type="dxa"/>
              <w:bottom w:w="80" w:type="dxa"/>
              <w:right w:w="80" w:type="dxa"/>
            </w:tcMar>
          </w:tcPr>
          <w:p w14:paraId="3E68D1FF" w14:textId="77777777" w:rsidR="00F00065" w:rsidRPr="00D25D2A" w:rsidRDefault="00F00065" w:rsidP="00784DF9">
            <w:pPr>
              <w:rPr>
                <w:rFonts w:cs="Times New Roman"/>
                <w:szCs w:val="24"/>
              </w:rPr>
            </w:pPr>
            <w:r w:rsidRPr="00D25D2A">
              <w:rPr>
                <w:rFonts w:cs="Times New Roman"/>
                <w:szCs w:val="24"/>
              </w:rPr>
              <w:t>1:1000</w:t>
            </w:r>
          </w:p>
        </w:tc>
        <w:tc>
          <w:tcPr>
            <w:tcW w:w="1397" w:type="dxa"/>
            <w:tcMar>
              <w:top w:w="80" w:type="dxa"/>
              <w:left w:w="80" w:type="dxa"/>
              <w:bottom w:w="80" w:type="dxa"/>
              <w:right w:w="80" w:type="dxa"/>
            </w:tcMar>
          </w:tcPr>
          <w:p w14:paraId="564D0BB6" w14:textId="77777777" w:rsidR="00F00065" w:rsidRPr="00D25D2A" w:rsidRDefault="00F00065" w:rsidP="00784DF9">
            <w:pPr>
              <w:rPr>
                <w:rFonts w:cs="Times New Roman"/>
                <w:szCs w:val="24"/>
              </w:rPr>
            </w:pPr>
            <w:r w:rsidRPr="00D25D2A">
              <w:rPr>
                <w:rFonts w:cs="Times New Roman"/>
                <w:szCs w:val="24"/>
              </w:rPr>
              <w:t>1:500</w:t>
            </w:r>
          </w:p>
        </w:tc>
        <w:tc>
          <w:tcPr>
            <w:tcW w:w="1007" w:type="dxa"/>
            <w:tcMar>
              <w:top w:w="80" w:type="dxa"/>
              <w:left w:w="80" w:type="dxa"/>
              <w:bottom w:w="80" w:type="dxa"/>
              <w:right w:w="80" w:type="dxa"/>
            </w:tcMar>
          </w:tcPr>
          <w:p w14:paraId="64C72A6B" w14:textId="77777777" w:rsidR="00F00065" w:rsidRPr="00D25D2A" w:rsidRDefault="00F00065" w:rsidP="00784DF9">
            <w:pPr>
              <w:rPr>
                <w:rFonts w:cs="Times New Roman"/>
                <w:szCs w:val="24"/>
              </w:rPr>
            </w:pPr>
            <w:r w:rsidRPr="00D25D2A">
              <w:rPr>
                <w:rFonts w:cs="Times New Roman"/>
                <w:szCs w:val="24"/>
              </w:rPr>
              <w:t>Mouse</w:t>
            </w:r>
          </w:p>
        </w:tc>
        <w:tc>
          <w:tcPr>
            <w:tcW w:w="3506" w:type="dxa"/>
            <w:tcMar>
              <w:top w:w="80" w:type="dxa"/>
              <w:left w:w="80" w:type="dxa"/>
              <w:bottom w:w="80" w:type="dxa"/>
              <w:right w:w="80" w:type="dxa"/>
            </w:tcMar>
          </w:tcPr>
          <w:p w14:paraId="47B33AE4" w14:textId="77777777" w:rsidR="00F00065" w:rsidRPr="00D25D2A" w:rsidRDefault="00F00065" w:rsidP="00784DF9">
            <w:pPr>
              <w:rPr>
                <w:rFonts w:cs="Times New Roman"/>
                <w:szCs w:val="24"/>
              </w:rPr>
            </w:pPr>
            <w:r w:rsidRPr="00D25D2A">
              <w:rPr>
                <w:rFonts w:cs="Times New Roman"/>
                <w:szCs w:val="24"/>
              </w:rPr>
              <w:t>Scicons (RNT-SCI-10010200)</w:t>
            </w:r>
          </w:p>
        </w:tc>
      </w:tr>
    </w:tbl>
    <w:p w14:paraId="56CB2D68" w14:textId="77777777" w:rsidR="00F00065" w:rsidRPr="00C83CA8" w:rsidRDefault="00F00065" w:rsidP="00F00065">
      <w:pPr>
        <w:spacing w:after="160" w:line="259" w:lineRule="auto"/>
      </w:pPr>
      <w:r>
        <w:br w:type="page"/>
      </w:r>
    </w:p>
    <w:p w14:paraId="4B99DF2C" w14:textId="77777777" w:rsidR="00F00065" w:rsidRDefault="00F00065" w:rsidP="00F00065">
      <w:pPr>
        <w:spacing w:after="160" w:line="259" w:lineRule="auto"/>
      </w:pPr>
      <w:r>
        <w:rPr>
          <w:noProof/>
        </w:rPr>
        <w:lastRenderedPageBreak/>
        <mc:AlternateContent>
          <mc:Choice Requires="wps">
            <w:drawing>
              <wp:anchor distT="0" distB="0" distL="114300" distR="114300" simplePos="0" relativeHeight="251662336" behindDoc="0" locked="0" layoutInCell="1" allowOverlap="1" wp14:anchorId="16611CBE" wp14:editId="26987280">
                <wp:simplePos x="0" y="0"/>
                <wp:positionH relativeFrom="margin">
                  <wp:align>center</wp:align>
                </wp:positionH>
                <wp:positionV relativeFrom="paragraph">
                  <wp:posOffset>3359088</wp:posOffset>
                </wp:positionV>
                <wp:extent cx="7200000" cy="1202708"/>
                <wp:effectExtent l="0" t="0" r="0" b="0"/>
                <wp:wrapNone/>
                <wp:docPr id="1645968725" name="Text Box 1"/>
                <wp:cNvGraphicFramePr/>
                <a:graphic xmlns:a="http://schemas.openxmlformats.org/drawingml/2006/main">
                  <a:graphicData uri="http://schemas.microsoft.com/office/word/2010/wordprocessingShape">
                    <wps:wsp>
                      <wps:cNvSpPr txBox="1"/>
                      <wps:spPr>
                        <a:xfrm>
                          <a:off x="0" y="0"/>
                          <a:ext cx="7200000" cy="1202708"/>
                        </a:xfrm>
                        <a:prstGeom prst="rect">
                          <a:avLst/>
                        </a:prstGeom>
                        <a:noFill/>
                        <a:ln w="6350">
                          <a:noFill/>
                        </a:ln>
                      </wps:spPr>
                      <wps:txbx>
                        <w:txbxContent>
                          <w:p w14:paraId="0B780770" w14:textId="77777777" w:rsidR="00F00065" w:rsidRPr="008F0767" w:rsidRDefault="00F00065" w:rsidP="00F00065">
                            <w:pPr>
                              <w:spacing w:line="480" w:lineRule="auto"/>
                              <w:jc w:val="both"/>
                            </w:pPr>
                            <w:r w:rsidRPr="00697F64">
                              <w:rPr>
                                <w:rStyle w:val="Heading2Char"/>
                              </w:rPr>
                              <w:t>Supplementary Figure 1</w:t>
                            </w:r>
                            <w:r>
                              <w:rPr>
                                <w:rStyle w:val="Heading2Char"/>
                              </w:rPr>
                              <w:t>.</w:t>
                            </w:r>
                            <w:r w:rsidRPr="00697F64">
                              <w:rPr>
                                <w:rStyle w:val="Heading2Char"/>
                              </w:rPr>
                              <w:t xml:space="preserve"> Control for PNE Characterisation Staining in Figure 1</w:t>
                            </w:r>
                            <w:r w:rsidRPr="00697F64">
                              <w:rPr>
                                <w:b/>
                                <w:bCs/>
                              </w:rPr>
                              <w:t xml:space="preserve">. </w:t>
                            </w:r>
                            <w:r w:rsidRPr="00697F64">
                              <w:t>Primary antibody omitted control for Fibroblastic surface protein (FSP)  staining in human dental pulp cells (hDPC), dental pulp stem cells (DPSC) and peripheral nerve equivalents (PNE</w:t>
                            </w:r>
                            <w:r>
                              <w:t>s</w:t>
                            </w:r>
                            <w:r w:rsidRPr="00697F64">
                              <w:t>) counterstained with DAPI (blue) (a) Primary antibody omitted control for protein gene product (PGP9.5) in hDPC, DPSC and PNE</w:t>
                            </w:r>
                            <w:r>
                              <w:t>s</w:t>
                            </w:r>
                            <w:r w:rsidRPr="00697F64">
                              <w:t xml:space="preserve"> counterstained with DAPI (blue) (b). Scale bars 100 µm on all images</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6611CBE" id="_x0000_t202" coordsize="21600,21600" o:spt="202" path="m,l,21600r21600,l21600,xe">
                <v:stroke joinstyle="miter"/>
                <v:path gradientshapeok="t" o:connecttype="rect"/>
              </v:shapetype>
              <v:shape id="Text Box 1" o:spid="_x0000_s1026" type="#_x0000_t202" style="position:absolute;margin-left:0;margin-top:264.5pt;width:566.95pt;height:94.7pt;z-index:25166233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" filled="f" stroked="f" strokeweight=".5pt">
                <v:textbox>
                  <w:txbxContent>
                    <w:p w14:paraId="0B780770" w14:textId="77777777" w:rsidR="00F00065" w:rsidRPr="008F0767" w:rsidRDefault="00F00065" w:rsidP="00F00065">
                      <w:pPr>
                        <w:spacing w:line="480" w:lineRule="auto"/>
                        <w:jc w:val="both"/>
                      </w:pPr>
                      <w:r w:rsidRPr="00697F64">
                        <w:rPr>
                          <w:rStyle w:val="Heading2Char"/>
                        </w:rPr>
                        <w:t>Supplementary Figure 1</w:t>
                      </w:r>
                      <w:r>
                        <w:rPr>
                          <w:rStyle w:val="Heading2Char"/>
                        </w:rPr>
                        <w:t>.</w:t>
                      </w:r>
                      <w:r w:rsidRPr="00697F64">
                        <w:rPr>
                          <w:rStyle w:val="Heading2Char"/>
                        </w:rPr>
                        <w:t xml:space="preserve"> Control for PNE Characterisation Staining in Figure 1</w:t>
                      </w:r>
                      <w:r w:rsidRPr="00697F64">
                        <w:rPr>
                          <w:b/>
                          <w:bCs/>
                        </w:rPr>
                        <w:t xml:space="preserve">. </w:t>
                      </w:r>
                      <w:r w:rsidRPr="00697F64">
                        <w:t>Primary antibody omitted control for Fibroblastic surface protein (FSP)  staining in human dental pulp cells (hDPC), dental pulp stem cells (DPSC) and peripheral nerve equivalents (PNE</w:t>
                      </w:r>
                      <w:r>
                        <w:t>s</w:t>
                      </w:r>
                      <w:r w:rsidRPr="00697F64">
                        <w:t>) counterstained with DAPI (blue) (a) Primary antibody omitted control for protein gene product (PGP9.5) in hDPC, DPSC and PNE</w:t>
                      </w:r>
                      <w:r>
                        <w:t>s</w:t>
                      </w:r>
                      <w:r w:rsidRPr="00697F64">
                        <w:t xml:space="preserve"> counterstained with DAPI (blue) (b). Scale bars 100 µm on all images</w:t>
                      </w:r>
                      <w:r>
                        <w:t xml:space="preserve">. </w:t>
                      </w:r>
                    </w:p>
                  </w:txbxContent>
                </v:textbox>
                <w10:wrap anchorx="margin"/>
              </v:shape>
            </w:pict>
          </mc:Fallback>
        </mc:AlternateContent>
      </w:r>
      <w:r>
        <w:rPr>
          <w:noProof/>
        </w:rPr>
        <w:drawing>
          <wp:anchor distT="0" distB="0" distL="114300" distR="114300" simplePos="0" relativeHeight="251664384" behindDoc="1" locked="0" layoutInCell="1" allowOverlap="1" wp14:anchorId="416D6B4C" wp14:editId="1DBA1170">
            <wp:simplePos x="0" y="0"/>
            <wp:positionH relativeFrom="margin">
              <wp:align>center</wp:align>
            </wp:positionH>
            <wp:positionV relativeFrom="paragraph">
              <wp:posOffset>0</wp:posOffset>
            </wp:positionV>
            <wp:extent cx="6228000" cy="3362327"/>
            <wp:effectExtent l="0" t="0" r="1905" b="0"/>
            <wp:wrapTight wrapText="bothSides">
              <wp:wrapPolygon edited="0">
                <wp:start x="2643" y="245"/>
                <wp:lineTo x="2643" y="1101"/>
                <wp:lineTo x="4031" y="2448"/>
                <wp:lineTo x="198" y="2570"/>
                <wp:lineTo x="66" y="3059"/>
                <wp:lineTo x="727" y="4406"/>
                <wp:lineTo x="661" y="10280"/>
                <wp:lineTo x="66" y="12238"/>
                <wp:lineTo x="66" y="12360"/>
                <wp:lineTo x="727" y="14196"/>
                <wp:lineTo x="661" y="20927"/>
                <wp:lineTo x="21541" y="20927"/>
                <wp:lineTo x="21541" y="2692"/>
                <wp:lineTo x="20219" y="2448"/>
                <wp:lineTo x="20615" y="734"/>
                <wp:lineTo x="20615" y="245"/>
                <wp:lineTo x="2643" y="245"/>
              </wp:wrapPolygon>
            </wp:wrapTight>
            <wp:docPr id="14389209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228000" cy="3362327"/>
                    </a:xfrm>
                    <a:prstGeom prst="rect">
                      <a:avLst/>
                    </a:prstGeom>
                    <a:noFill/>
                  </pic:spPr>
                </pic:pic>
              </a:graphicData>
            </a:graphic>
            <wp14:sizeRelH relativeFrom="margin">
              <wp14:pctWidth>0</wp14:pctWidth>
            </wp14:sizeRelH>
            <wp14:sizeRelV relativeFrom="margin">
              <wp14:pctHeight>0</wp14:pctHeight>
            </wp14:sizeRelV>
          </wp:anchor>
        </w:drawing>
      </w:r>
      <w:r>
        <w:br w:type="page"/>
      </w:r>
    </w:p>
    <w:p w14:paraId="69138681" w14:textId="77777777" w:rsidR="00F00065" w:rsidRDefault="00F00065" w:rsidP="00F00065">
      <w:pPr>
        <w:spacing w:after="160" w:line="480" w:lineRule="auto"/>
        <w:jc w:val="both"/>
        <w:rPr>
          <w:b/>
          <w:bCs/>
        </w:rPr>
      </w:pPr>
      <w:r w:rsidRPr="000D7358">
        <w:rPr>
          <w:b/>
          <w:bCs/>
          <w:noProof/>
        </w:rPr>
        <w:lastRenderedPageBreak/>
        <mc:AlternateContent>
          <mc:Choice Requires="wps">
            <w:drawing>
              <wp:anchor distT="45720" distB="45720" distL="114300" distR="114300" simplePos="0" relativeHeight="251661312" behindDoc="0" locked="0" layoutInCell="1" allowOverlap="1" wp14:anchorId="063BAC77" wp14:editId="3A53FC3D">
                <wp:simplePos x="0" y="0"/>
                <wp:positionH relativeFrom="margin">
                  <wp:align>center</wp:align>
                </wp:positionH>
                <wp:positionV relativeFrom="paragraph">
                  <wp:posOffset>2213881</wp:posOffset>
                </wp:positionV>
                <wp:extent cx="7199630" cy="1203960"/>
                <wp:effectExtent l="0" t="0" r="127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9630" cy="1203960"/>
                        </a:xfrm>
                        <a:prstGeom prst="rect">
                          <a:avLst/>
                        </a:prstGeom>
                        <a:solidFill>
                          <a:srgbClr val="FFFFFF"/>
                        </a:solidFill>
                        <a:ln w="9525">
                          <a:noFill/>
                          <a:miter lim="800000"/>
                          <a:headEnd/>
                          <a:tailEnd/>
                        </a:ln>
                      </wps:spPr>
                      <wps:txbx>
                        <w:txbxContent>
                          <w:p w14:paraId="2E9F10A7" w14:textId="77777777" w:rsidR="00F00065" w:rsidRDefault="00F00065" w:rsidP="00F00065">
                            <w:pPr>
                              <w:spacing w:line="480" w:lineRule="auto"/>
                              <w:jc w:val="both"/>
                            </w:pPr>
                            <w:r w:rsidRPr="000D7358">
                              <w:rPr>
                                <w:b/>
                                <w:bCs/>
                              </w:rPr>
                              <w:t>Supplementary Figure 2. Intracellular Adhesion Molecule 1 (ICAM-1) Expression in PBECs.</w:t>
                            </w:r>
                            <w:r w:rsidRPr="000D7358">
                              <w:t xml:space="preserve"> </w:t>
                            </w:r>
                            <w:r>
                              <w:t>I</w:t>
                            </w:r>
                            <w:r w:rsidRPr="000D7358">
                              <w:t xml:space="preserve">mmunofluorescence confirms protein expression of ICAM-1 in PBEC (green) and counterstained with DAPI (blue) (a). Primary antibody omitted control for ICAM-1 staining in PBEC and counterstained with DAPI (blue) (b). Images were obtained using a DM5500 microscope. Images acquired using a DM5500 microscope, at 100x objective. Scale bars 25 µm (a </w:t>
                            </w:r>
                            <w:r>
                              <w:t>&amp; 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3BAC77" id="Text Box 2" o:spid="_x0000_s1027" type="#_x0000_t202" style="position:absolute;left:0;text-align:left;margin-left:0;margin-top:174.3pt;width:566.9pt;height:94.8pt;z-index:2516613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" stroked="f">
                <v:textbox>
                  <w:txbxContent>
                    <w:p w14:paraId="2E9F10A7" w14:textId="77777777" w:rsidR="00F00065" w:rsidRDefault="00F00065" w:rsidP="00F00065">
                      <w:pPr>
                        <w:spacing w:line="480" w:lineRule="auto"/>
                        <w:jc w:val="both"/>
                      </w:pPr>
                      <w:r w:rsidRPr="000D7358">
                        <w:rPr>
                          <w:b/>
                          <w:bCs/>
                        </w:rPr>
                        <w:t>Supplementary Figure 2. Intracellular Adhesion Molecule 1 (ICAM-1) Expression in PBECs.</w:t>
                      </w:r>
                      <w:r w:rsidRPr="000D7358">
                        <w:t xml:space="preserve"> </w:t>
                      </w:r>
                      <w:r>
                        <w:t>I</w:t>
                      </w:r>
                      <w:r w:rsidRPr="000D7358">
                        <w:t xml:space="preserve">mmunofluorescence confirms protein expression of ICAM-1 in PBEC (green) and counterstained with DAPI (blue) (a). Primary antibody omitted control for ICAM-1 staining in PBEC and counterstained with DAPI (blue) (b). Images were obtained using a DM5500 microscope. Images acquired using a DM5500 microscope, at 100x objective. Scale bars 25 µm (a </w:t>
                      </w:r>
                      <w:r>
                        <w:t>&amp; b).</w:t>
                      </w:r>
                    </w:p>
                  </w:txbxContent>
                </v:textbox>
                <w10:wrap type="square" anchorx="margin"/>
              </v:shape>
            </w:pict>
          </mc:Fallback>
        </mc:AlternateContent>
      </w:r>
      <w:r>
        <w:rPr>
          <w:b/>
          <w:bCs/>
          <w:noProof/>
        </w:rPr>
        <w:drawing>
          <wp:anchor distT="0" distB="0" distL="114300" distR="114300" simplePos="0" relativeHeight="251665408" behindDoc="1" locked="0" layoutInCell="1" allowOverlap="1" wp14:anchorId="4300940A" wp14:editId="083C2259">
            <wp:simplePos x="0" y="0"/>
            <wp:positionH relativeFrom="margin">
              <wp:align>center</wp:align>
            </wp:positionH>
            <wp:positionV relativeFrom="paragraph">
              <wp:posOffset>0</wp:posOffset>
            </wp:positionV>
            <wp:extent cx="6228000" cy="1980810"/>
            <wp:effectExtent l="0" t="0" r="1905" b="635"/>
            <wp:wrapTight wrapText="bothSides">
              <wp:wrapPolygon edited="0">
                <wp:start x="1388" y="0"/>
                <wp:lineTo x="198" y="1039"/>
                <wp:lineTo x="198" y="2285"/>
                <wp:lineTo x="1388" y="3324"/>
                <wp:lineTo x="1388" y="6648"/>
                <wp:lineTo x="727" y="9972"/>
                <wp:lineTo x="727" y="20360"/>
                <wp:lineTo x="1255" y="21399"/>
                <wp:lineTo x="1454" y="21399"/>
                <wp:lineTo x="21541" y="21399"/>
                <wp:lineTo x="21541" y="0"/>
                <wp:lineTo x="1388" y="0"/>
              </wp:wrapPolygon>
            </wp:wrapTight>
            <wp:docPr id="1069402436" name="Picture 8" descr="A close-up of a microsco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402436" name="Picture 8" descr="A close-up of a microscope&#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28000" cy="1980810"/>
                    </a:xfrm>
                    <a:prstGeom prst="rect">
                      <a:avLst/>
                    </a:prstGeom>
                    <a:noFill/>
                  </pic:spPr>
                </pic:pic>
              </a:graphicData>
            </a:graphic>
            <wp14:sizeRelH relativeFrom="margin">
              <wp14:pctWidth>0</wp14:pctWidth>
            </wp14:sizeRelH>
            <wp14:sizeRelV relativeFrom="margin">
              <wp14:pctHeight>0</wp14:pctHeight>
            </wp14:sizeRelV>
          </wp:anchor>
        </w:drawing>
      </w:r>
    </w:p>
    <w:p w14:paraId="2D1BF5CE" w14:textId="77777777" w:rsidR="00F00065" w:rsidRDefault="00F00065" w:rsidP="00F00065">
      <w:pPr>
        <w:spacing w:after="160" w:line="480" w:lineRule="auto"/>
        <w:jc w:val="both"/>
        <w:rPr>
          <w:b/>
          <w:bCs/>
        </w:rPr>
      </w:pPr>
    </w:p>
    <w:p w14:paraId="24B1ABBE" w14:textId="77777777" w:rsidR="00F00065" w:rsidRDefault="00F00065" w:rsidP="00F00065">
      <w:pPr>
        <w:spacing w:after="160" w:line="480" w:lineRule="auto"/>
        <w:jc w:val="both"/>
        <w:rPr>
          <w:b/>
          <w:bCs/>
        </w:rPr>
      </w:pPr>
    </w:p>
    <w:p w14:paraId="4F164B93" w14:textId="77777777" w:rsidR="00F00065" w:rsidRDefault="00F00065" w:rsidP="00F00065">
      <w:pPr>
        <w:spacing w:after="160" w:line="480" w:lineRule="auto"/>
        <w:jc w:val="both"/>
        <w:rPr>
          <w:b/>
          <w:bCs/>
        </w:rPr>
      </w:pPr>
    </w:p>
    <w:p w14:paraId="255E1F0B" w14:textId="77777777" w:rsidR="00F00065" w:rsidRDefault="00F00065" w:rsidP="00F00065">
      <w:pPr>
        <w:spacing w:after="160" w:line="480" w:lineRule="auto"/>
        <w:jc w:val="both"/>
        <w:rPr>
          <w:b/>
          <w:bCs/>
        </w:rPr>
      </w:pPr>
    </w:p>
    <w:p w14:paraId="26D9BE44" w14:textId="77777777" w:rsidR="00F00065" w:rsidRDefault="00F00065" w:rsidP="00F00065">
      <w:pPr>
        <w:spacing w:after="160" w:line="480" w:lineRule="auto"/>
        <w:jc w:val="both"/>
        <w:rPr>
          <w:b/>
          <w:bCs/>
        </w:rPr>
      </w:pPr>
    </w:p>
    <w:p w14:paraId="0A65054E" w14:textId="77777777" w:rsidR="00F00065" w:rsidRDefault="00F00065" w:rsidP="00F00065">
      <w:pPr>
        <w:spacing w:after="160" w:line="480" w:lineRule="auto"/>
        <w:jc w:val="both"/>
        <w:rPr>
          <w:b/>
          <w:bCs/>
        </w:rPr>
      </w:pPr>
    </w:p>
    <w:p w14:paraId="60894991" w14:textId="77777777" w:rsidR="00F00065" w:rsidRDefault="00F00065" w:rsidP="00F00065">
      <w:pPr>
        <w:spacing w:after="160" w:line="480" w:lineRule="auto"/>
        <w:jc w:val="both"/>
        <w:rPr>
          <w:b/>
          <w:bCs/>
        </w:rPr>
      </w:pPr>
    </w:p>
    <w:p w14:paraId="0DD81D6A" w14:textId="77777777" w:rsidR="00F00065" w:rsidRDefault="00F00065" w:rsidP="00F00065">
      <w:pPr>
        <w:spacing w:after="160" w:line="480" w:lineRule="auto"/>
        <w:jc w:val="both"/>
        <w:rPr>
          <w:b/>
          <w:bCs/>
        </w:rPr>
      </w:pPr>
    </w:p>
    <w:p w14:paraId="36ED27E7" w14:textId="77777777" w:rsidR="00F00065" w:rsidRDefault="00F00065" w:rsidP="00F00065">
      <w:pPr>
        <w:spacing w:after="160" w:line="480" w:lineRule="auto"/>
        <w:jc w:val="both"/>
        <w:rPr>
          <w:b/>
          <w:bCs/>
        </w:rPr>
      </w:pPr>
    </w:p>
    <w:p w14:paraId="43208BD4" w14:textId="77777777" w:rsidR="00F00065" w:rsidRDefault="00F00065" w:rsidP="00F00065">
      <w:pPr>
        <w:spacing w:after="160" w:line="480" w:lineRule="auto"/>
        <w:jc w:val="both"/>
        <w:rPr>
          <w:b/>
          <w:bCs/>
        </w:rPr>
      </w:pPr>
    </w:p>
    <w:p w14:paraId="52A125B9" w14:textId="77777777" w:rsidR="00F00065" w:rsidRDefault="00F00065" w:rsidP="00F00065">
      <w:pPr>
        <w:spacing w:after="160" w:line="480" w:lineRule="auto"/>
        <w:jc w:val="both"/>
        <w:rPr>
          <w:b/>
          <w:bCs/>
        </w:rPr>
      </w:pPr>
    </w:p>
    <w:p w14:paraId="0B30FEA8" w14:textId="77777777" w:rsidR="00F00065" w:rsidRDefault="00F00065" w:rsidP="00F00065">
      <w:pPr>
        <w:spacing w:after="160" w:line="259" w:lineRule="auto"/>
      </w:pPr>
      <w:r>
        <w:rPr>
          <w:noProof/>
        </w:rPr>
        <w:lastRenderedPageBreak/>
        <mc:AlternateContent>
          <mc:Choice Requires="wps">
            <w:drawing>
              <wp:anchor distT="0" distB="0" distL="114300" distR="114300" simplePos="0" relativeHeight="251660288" behindDoc="0" locked="0" layoutInCell="1" allowOverlap="1" wp14:anchorId="05FE543A" wp14:editId="08F1E8C6">
                <wp:simplePos x="0" y="0"/>
                <wp:positionH relativeFrom="margin">
                  <wp:align>center</wp:align>
                </wp:positionH>
                <wp:positionV relativeFrom="paragraph">
                  <wp:posOffset>4955946</wp:posOffset>
                </wp:positionV>
                <wp:extent cx="7200000" cy="2434558"/>
                <wp:effectExtent l="0" t="0" r="0" b="0"/>
                <wp:wrapNone/>
                <wp:docPr id="623705323" name="Text Box 1"/>
                <wp:cNvGraphicFramePr/>
                <a:graphic xmlns:a="http://schemas.openxmlformats.org/drawingml/2006/main">
                  <a:graphicData uri="http://schemas.microsoft.com/office/word/2010/wordprocessingShape">
                    <wps:wsp>
                      <wps:cNvSpPr txBox="1"/>
                      <wps:spPr>
                        <a:xfrm>
                          <a:off x="0" y="0"/>
                          <a:ext cx="7200000" cy="2434558"/>
                        </a:xfrm>
                        <a:prstGeom prst="rect">
                          <a:avLst/>
                        </a:prstGeom>
                        <a:noFill/>
                        <a:ln w="6350">
                          <a:noFill/>
                        </a:ln>
                      </wps:spPr>
                      <wps:txbx>
                        <w:txbxContent>
                          <w:p w14:paraId="0ED693EC" w14:textId="77777777" w:rsidR="00F00065" w:rsidRPr="00A623DC" w:rsidRDefault="00F00065" w:rsidP="00F00065">
                            <w:pPr>
                              <w:spacing w:line="480" w:lineRule="auto"/>
                              <w:jc w:val="both"/>
                            </w:pPr>
                            <w:r w:rsidRPr="00A623DC">
                              <w:rPr>
                                <w:rStyle w:val="Heading2Char"/>
                              </w:rPr>
                              <w:t xml:space="preserve">Supplementary </w:t>
                            </w:r>
                            <w:r w:rsidRPr="003E096F">
                              <w:rPr>
                                <w:rStyle w:val="Heading2Char"/>
                              </w:rPr>
                              <w:t>Figure 3.</w:t>
                            </w:r>
                            <w:r w:rsidRPr="003E096F">
                              <w:t xml:space="preserve"> </w:t>
                            </w:r>
                            <w:r w:rsidRPr="003E096F">
                              <w:rPr>
                                <w:b/>
                                <w:bCs/>
                              </w:rPr>
                              <w:t xml:space="preserve">Immunofluorescence </w:t>
                            </w:r>
                            <w:r>
                              <w:rPr>
                                <w:b/>
                                <w:bCs/>
                              </w:rPr>
                              <w:t>C</w:t>
                            </w:r>
                            <w:r w:rsidRPr="003E096F">
                              <w:rPr>
                                <w:b/>
                                <w:bCs/>
                              </w:rPr>
                              <w:t xml:space="preserve">onfirms dsRNA is </w:t>
                            </w:r>
                            <w:r>
                              <w:rPr>
                                <w:b/>
                                <w:bCs/>
                              </w:rPr>
                              <w:t>D</w:t>
                            </w:r>
                            <w:r w:rsidRPr="003E096F">
                              <w:rPr>
                                <w:b/>
                                <w:bCs/>
                              </w:rPr>
                              <w:t>etected in RV-A16 Infected PBECs.</w:t>
                            </w:r>
                            <w:r w:rsidRPr="00DC4298">
                              <w:t xml:space="preserve"> PBEC</w:t>
                            </w:r>
                            <w:r>
                              <w:t>_1 (a</w:t>
                            </w:r>
                            <w:r w:rsidRPr="00DC4298">
                              <w:t xml:space="preserve">) </w:t>
                            </w:r>
                            <w:r>
                              <w:t xml:space="preserve">or PBEC_3 </w:t>
                            </w:r>
                            <w:r w:rsidRPr="00DC4298">
                              <w:t>(</w:t>
                            </w:r>
                            <w:r>
                              <w:t>b</w:t>
                            </w:r>
                            <w:r w:rsidRPr="00DC4298">
                              <w:t xml:space="preserve">) </w:t>
                            </w:r>
                            <w:r>
                              <w:t xml:space="preserve">were </w:t>
                            </w:r>
                            <w:r w:rsidRPr="00DC4298">
                              <w:t>infected with RV-A16 at MOI 1 at 24 h.p.i.</w:t>
                            </w:r>
                            <w:r>
                              <w:t xml:space="preserve"> and stained for dsRNA. </w:t>
                            </w:r>
                            <w:r w:rsidRPr="00A623DC">
                              <w:t>Nuclei counterstained with DAPI</w:t>
                            </w:r>
                            <w:r>
                              <w:t>.</w:t>
                            </w:r>
                            <w:r w:rsidRPr="00A623DC">
                              <w:t xml:space="preserve"> Images acquired at 20x magnification with scale bars at 100 μm</w:t>
                            </w:r>
                            <w:r>
                              <w:t xml:space="preserve">, or 100x </w:t>
                            </w:r>
                            <w:r w:rsidRPr="00A623DC">
                              <w:t>magnification with scale bars at</w:t>
                            </w:r>
                            <w:r>
                              <w:t xml:space="preserve"> 25</w:t>
                            </w:r>
                            <w:r w:rsidRPr="00A623DC">
                              <w:t xml:space="preserve"> μm</w:t>
                            </w:r>
                            <w:r>
                              <w:t xml:space="preserve"> </w:t>
                            </w:r>
                            <w:r w:rsidRPr="000D7358">
                              <w:t xml:space="preserve">(a </w:t>
                            </w:r>
                            <w:r>
                              <w:t>&amp; 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5FE543A" id="_x0000_s1028" type="#_x0000_t202" style="position:absolute;margin-left:0;margin-top:390.25pt;width:566.95pt;height:191.7pt;z-index:25166028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" filled="f" stroked="f" strokeweight=".5pt">
                <v:textbox style="mso-fit-shape-to-text:t">
                  <w:txbxContent>
                    <w:p w14:paraId="0ED693EC" w14:textId="77777777" w:rsidR="00F00065" w:rsidRPr="00A623DC" w:rsidRDefault="00F00065" w:rsidP="00F00065">
                      <w:pPr>
                        <w:spacing w:line="480" w:lineRule="auto"/>
                        <w:jc w:val="both"/>
                      </w:pPr>
                      <w:r w:rsidRPr="00A623DC">
                        <w:rPr>
                          <w:rStyle w:val="Heading2Char"/>
                        </w:rPr>
                        <w:t xml:space="preserve">Supplementary </w:t>
                      </w:r>
                      <w:r w:rsidRPr="003E096F">
                        <w:rPr>
                          <w:rStyle w:val="Heading2Char"/>
                        </w:rPr>
                        <w:t>Figure 3.</w:t>
                      </w:r>
                      <w:r w:rsidRPr="003E096F">
                        <w:t xml:space="preserve"> </w:t>
                      </w:r>
                      <w:r w:rsidRPr="003E096F">
                        <w:rPr>
                          <w:b/>
                          <w:bCs/>
                        </w:rPr>
                        <w:t xml:space="preserve">Immunofluorescence </w:t>
                      </w:r>
                      <w:r>
                        <w:rPr>
                          <w:b/>
                          <w:bCs/>
                        </w:rPr>
                        <w:t>C</w:t>
                      </w:r>
                      <w:r w:rsidRPr="003E096F">
                        <w:rPr>
                          <w:b/>
                          <w:bCs/>
                        </w:rPr>
                        <w:t xml:space="preserve">onfirms dsRNA is </w:t>
                      </w:r>
                      <w:r>
                        <w:rPr>
                          <w:b/>
                          <w:bCs/>
                        </w:rPr>
                        <w:t>D</w:t>
                      </w:r>
                      <w:r w:rsidRPr="003E096F">
                        <w:rPr>
                          <w:b/>
                          <w:bCs/>
                        </w:rPr>
                        <w:t>etected in RV-A16 Infected PBECs.</w:t>
                      </w:r>
                      <w:r w:rsidRPr="00DC4298">
                        <w:t xml:space="preserve"> PBEC</w:t>
                      </w:r>
                      <w:r>
                        <w:t>_1 (a</w:t>
                      </w:r>
                      <w:r w:rsidRPr="00DC4298">
                        <w:t xml:space="preserve">) </w:t>
                      </w:r>
                      <w:r>
                        <w:t xml:space="preserve">or PBEC_3 </w:t>
                      </w:r>
                      <w:r w:rsidRPr="00DC4298">
                        <w:t>(</w:t>
                      </w:r>
                      <w:r>
                        <w:t>b</w:t>
                      </w:r>
                      <w:r w:rsidRPr="00DC4298">
                        <w:t xml:space="preserve">) </w:t>
                      </w:r>
                      <w:r>
                        <w:t xml:space="preserve">were </w:t>
                      </w:r>
                      <w:r w:rsidRPr="00DC4298">
                        <w:t>infected with RV-A16 at MOI 1 at 24 h.p.i.</w:t>
                      </w:r>
                      <w:r>
                        <w:t xml:space="preserve"> and stained for dsRNA. </w:t>
                      </w:r>
                      <w:r w:rsidRPr="00A623DC">
                        <w:t>Nuclei counterstained with DAPI</w:t>
                      </w:r>
                      <w:r>
                        <w:t>.</w:t>
                      </w:r>
                      <w:r w:rsidRPr="00A623DC">
                        <w:t xml:space="preserve"> Images acquired at 20x magnification with scale bars at 100 μm</w:t>
                      </w:r>
                      <w:r>
                        <w:t xml:space="preserve">, or 100x </w:t>
                      </w:r>
                      <w:r w:rsidRPr="00A623DC">
                        <w:t>magnification with scale bars at</w:t>
                      </w:r>
                      <w:r>
                        <w:t xml:space="preserve"> 25</w:t>
                      </w:r>
                      <w:r w:rsidRPr="00A623DC">
                        <w:t xml:space="preserve"> μm</w:t>
                      </w:r>
                      <w:r>
                        <w:t xml:space="preserve"> </w:t>
                      </w:r>
                      <w:r w:rsidRPr="000D7358">
                        <w:t xml:space="preserve">(a </w:t>
                      </w:r>
                      <w:r>
                        <w:t>&amp; b).</w:t>
                      </w:r>
                    </w:p>
                  </w:txbxContent>
                </v:textbox>
                <w10:wrap anchorx="margin"/>
              </v:shape>
            </w:pict>
          </mc:Fallback>
        </mc:AlternateContent>
      </w:r>
      <w:r>
        <w:rPr>
          <w:noProof/>
        </w:rPr>
        <w:drawing>
          <wp:anchor distT="0" distB="0" distL="114300" distR="114300" simplePos="0" relativeHeight="251666432" behindDoc="1" locked="0" layoutInCell="1" allowOverlap="1" wp14:anchorId="437BB425" wp14:editId="7BBABC77">
            <wp:simplePos x="0" y="0"/>
            <wp:positionH relativeFrom="margin">
              <wp:align>center</wp:align>
            </wp:positionH>
            <wp:positionV relativeFrom="paragraph">
              <wp:posOffset>0</wp:posOffset>
            </wp:positionV>
            <wp:extent cx="6227445" cy="4951730"/>
            <wp:effectExtent l="0" t="0" r="1905" b="0"/>
            <wp:wrapTight wrapText="bothSides">
              <wp:wrapPolygon edited="0">
                <wp:start x="6079" y="249"/>
                <wp:lineTo x="3370" y="415"/>
                <wp:lineTo x="330" y="1163"/>
                <wp:lineTo x="330" y="2077"/>
                <wp:lineTo x="1123" y="3075"/>
                <wp:lineTo x="1388" y="3075"/>
                <wp:lineTo x="1388" y="4404"/>
                <wp:lineTo x="925" y="4986"/>
                <wp:lineTo x="925" y="7479"/>
                <wp:lineTo x="1057" y="7894"/>
                <wp:lineTo x="1388" y="8393"/>
                <wp:lineTo x="1388" y="10553"/>
                <wp:lineTo x="2247" y="11052"/>
                <wp:lineTo x="3568" y="11052"/>
                <wp:lineTo x="1189" y="11717"/>
                <wp:lineTo x="198" y="12049"/>
                <wp:lineTo x="198" y="12548"/>
                <wp:lineTo x="1255" y="13711"/>
                <wp:lineTo x="925" y="15124"/>
                <wp:lineTo x="859" y="17617"/>
                <wp:lineTo x="1388" y="19029"/>
                <wp:lineTo x="1388" y="21273"/>
                <wp:lineTo x="21541" y="21273"/>
                <wp:lineTo x="21541" y="11717"/>
                <wp:lineTo x="18171" y="11052"/>
                <wp:lineTo x="21541" y="10637"/>
                <wp:lineTo x="21541" y="1163"/>
                <wp:lineTo x="18567" y="249"/>
                <wp:lineTo x="6079" y="249"/>
              </wp:wrapPolygon>
            </wp:wrapTight>
            <wp:docPr id="6696049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27445" cy="4951730"/>
                    </a:xfrm>
                    <a:prstGeom prst="rect">
                      <a:avLst/>
                    </a:prstGeom>
                    <a:noFill/>
                  </pic:spPr>
                </pic:pic>
              </a:graphicData>
            </a:graphic>
          </wp:anchor>
        </w:drawing>
      </w:r>
      <w:r>
        <w:br w:type="page"/>
      </w:r>
    </w:p>
    <w:p w14:paraId="71A61B57" w14:textId="77777777" w:rsidR="00F00065" w:rsidRDefault="00F00065" w:rsidP="00F00065">
      <w:pPr>
        <w:spacing w:after="160" w:line="259" w:lineRule="auto"/>
      </w:pPr>
      <w:r>
        <w:rPr>
          <w:noProof/>
        </w:rPr>
        <w:lastRenderedPageBreak/>
        <mc:AlternateContent>
          <mc:Choice Requires="wps">
            <w:drawing>
              <wp:anchor distT="0" distB="0" distL="114300" distR="114300" simplePos="0" relativeHeight="251659264" behindDoc="0" locked="0" layoutInCell="1" allowOverlap="1" wp14:anchorId="45DD16F1" wp14:editId="4DC6032D">
                <wp:simplePos x="0" y="0"/>
                <wp:positionH relativeFrom="margin">
                  <wp:align>center</wp:align>
                </wp:positionH>
                <wp:positionV relativeFrom="paragraph">
                  <wp:posOffset>5614576</wp:posOffset>
                </wp:positionV>
                <wp:extent cx="7200000" cy="2434558"/>
                <wp:effectExtent l="0" t="0" r="0" b="0"/>
                <wp:wrapNone/>
                <wp:docPr id="1633675643" name="Text Box 1"/>
                <wp:cNvGraphicFramePr/>
                <a:graphic xmlns:a="http://schemas.openxmlformats.org/drawingml/2006/main">
                  <a:graphicData uri="http://schemas.microsoft.com/office/word/2010/wordprocessingShape">
                    <wps:wsp>
                      <wps:cNvSpPr txBox="1"/>
                      <wps:spPr>
                        <a:xfrm>
                          <a:off x="0" y="0"/>
                          <a:ext cx="7200000" cy="2434558"/>
                        </a:xfrm>
                        <a:prstGeom prst="rect">
                          <a:avLst/>
                        </a:prstGeom>
                        <a:noFill/>
                        <a:ln w="6350">
                          <a:noFill/>
                        </a:ln>
                      </wps:spPr>
                      <wps:txbx>
                        <w:txbxContent>
                          <w:p w14:paraId="5CB27A0C" w14:textId="77777777" w:rsidR="00F00065" w:rsidRPr="00A623DC" w:rsidRDefault="00F00065" w:rsidP="00F00065">
                            <w:pPr>
                              <w:spacing w:line="480" w:lineRule="auto"/>
                              <w:jc w:val="both"/>
                            </w:pPr>
                            <w:r w:rsidRPr="00A623DC">
                              <w:rPr>
                                <w:rStyle w:val="Heading2Char"/>
                              </w:rPr>
                              <w:t xml:space="preserve">Supplementary Figure </w:t>
                            </w:r>
                            <w:r>
                              <w:rPr>
                                <w:rStyle w:val="Heading2Char"/>
                              </w:rPr>
                              <w:t xml:space="preserve">4. </w:t>
                            </w:r>
                            <w:r w:rsidRPr="00A623DC">
                              <w:rPr>
                                <w:rStyle w:val="Heading2Char"/>
                              </w:rPr>
                              <w:t xml:space="preserve">Control for PNE dsRNA Immunofluorescence Staining in Figure 2. </w:t>
                            </w:r>
                            <w:r w:rsidRPr="00A623DC">
                              <w:rPr>
                                <w:b/>
                                <w:bCs/>
                              </w:rPr>
                              <w:t xml:space="preserve"> </w:t>
                            </w:r>
                            <w:r w:rsidRPr="00A623DC">
                              <w:t xml:space="preserve">No dsRNA staining (green) was observed in mock infected PNEs (a), </w:t>
                            </w:r>
                            <w:r>
                              <w:t>UV</w:t>
                            </w:r>
                            <w:r w:rsidRPr="00A623DC">
                              <w:t>-inactivated virus infected PNEs (b), and no extraneous staining was observed in negative primary antibody omitted control PNEs (c). Nuclei counterstained with DAPI. Images acquired at 20x magnification with scale bars at 100 μm</w:t>
                            </w:r>
                            <w:r>
                              <w:t xml:space="preserve"> </w:t>
                            </w:r>
                            <w:r w:rsidRPr="00A623DC">
                              <w:t>(a – 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5DD16F1" id="_x0000_s1029" type="#_x0000_t202" style="position:absolute;margin-left:0;margin-top:442.1pt;width:566.95pt;height:191.7pt;z-index:25165926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" filled="f" stroked="f" strokeweight=".5pt">
                <v:textbox style="mso-fit-shape-to-text:t">
                  <w:txbxContent>
                    <w:p w14:paraId="5CB27A0C" w14:textId="77777777" w:rsidR="00F00065" w:rsidRPr="00A623DC" w:rsidRDefault="00F00065" w:rsidP="00F00065">
                      <w:pPr>
                        <w:spacing w:line="480" w:lineRule="auto"/>
                        <w:jc w:val="both"/>
                      </w:pPr>
                      <w:r w:rsidRPr="00A623DC">
                        <w:rPr>
                          <w:rStyle w:val="Heading2Char"/>
                        </w:rPr>
                        <w:t xml:space="preserve">Supplementary Figure </w:t>
                      </w:r>
                      <w:r>
                        <w:rPr>
                          <w:rStyle w:val="Heading2Char"/>
                        </w:rPr>
                        <w:t xml:space="preserve">4. </w:t>
                      </w:r>
                      <w:r w:rsidRPr="00A623DC">
                        <w:rPr>
                          <w:rStyle w:val="Heading2Char"/>
                        </w:rPr>
                        <w:t xml:space="preserve">Control for PNE dsRNA Immunofluorescence Staining in Figure 2. </w:t>
                      </w:r>
                      <w:r w:rsidRPr="00A623DC">
                        <w:rPr>
                          <w:b/>
                          <w:bCs/>
                        </w:rPr>
                        <w:t xml:space="preserve"> </w:t>
                      </w:r>
                      <w:r w:rsidRPr="00A623DC">
                        <w:t xml:space="preserve">No dsRNA staining (green) was observed in mock infected PNEs (a), </w:t>
                      </w:r>
                      <w:r>
                        <w:t>UV</w:t>
                      </w:r>
                      <w:r w:rsidRPr="00A623DC">
                        <w:t>-inactivated virus infected PNEs (b), and no extraneous staining was observed in negative primary antibody omitted control PNEs (c). Nuclei counterstained with DAPI. Images acquired at 20x magnification with scale bars at 100 μm</w:t>
                      </w:r>
                      <w:r>
                        <w:t xml:space="preserve"> </w:t>
                      </w:r>
                      <w:r w:rsidRPr="00A623DC">
                        <w:t>(a – c).</w:t>
                      </w:r>
                    </w:p>
                  </w:txbxContent>
                </v:textbox>
                <w10:wrap anchorx="margin"/>
              </v:shape>
            </w:pict>
          </mc:Fallback>
        </mc:AlternateContent>
      </w:r>
      <w:r>
        <w:rPr>
          <w:noProof/>
        </w:rPr>
        <w:drawing>
          <wp:anchor distT="0" distB="0" distL="114300" distR="114300" simplePos="0" relativeHeight="251667456" behindDoc="1" locked="0" layoutInCell="1" allowOverlap="1" wp14:anchorId="4074B734" wp14:editId="58A52845">
            <wp:simplePos x="0" y="0"/>
            <wp:positionH relativeFrom="column">
              <wp:posOffset>1034322</wp:posOffset>
            </wp:positionH>
            <wp:positionV relativeFrom="paragraph">
              <wp:posOffset>229</wp:posOffset>
            </wp:positionV>
            <wp:extent cx="3072765" cy="5612765"/>
            <wp:effectExtent l="0" t="0" r="0" b="0"/>
            <wp:wrapTight wrapText="bothSides">
              <wp:wrapPolygon edited="0">
                <wp:start x="937" y="73"/>
                <wp:lineTo x="402" y="513"/>
                <wp:lineTo x="803" y="806"/>
                <wp:lineTo x="4151" y="1393"/>
                <wp:lineTo x="1205" y="1540"/>
                <wp:lineTo x="1205" y="5792"/>
                <wp:lineTo x="1875" y="6012"/>
                <wp:lineTo x="4151" y="6085"/>
                <wp:lineTo x="4151" y="7185"/>
                <wp:lineTo x="402" y="7258"/>
                <wp:lineTo x="268" y="8138"/>
                <wp:lineTo x="4151" y="8431"/>
                <wp:lineTo x="1339" y="8577"/>
                <wp:lineTo x="1071" y="8651"/>
                <wp:lineTo x="1339" y="12976"/>
                <wp:lineTo x="4151" y="13123"/>
                <wp:lineTo x="4151" y="14296"/>
                <wp:lineTo x="670" y="14369"/>
                <wp:lineTo x="402" y="14662"/>
                <wp:lineTo x="1071" y="15469"/>
                <wp:lineTo x="1205" y="20161"/>
                <wp:lineTo x="4017" y="21260"/>
                <wp:lineTo x="4151" y="21407"/>
                <wp:lineTo x="21426" y="21407"/>
                <wp:lineTo x="21426" y="73"/>
                <wp:lineTo x="937" y="73"/>
              </wp:wrapPolygon>
            </wp:wrapTight>
            <wp:docPr id="213138124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72765" cy="5612765"/>
                    </a:xfrm>
                    <a:prstGeom prst="rect">
                      <a:avLst/>
                    </a:prstGeom>
                    <a:noFill/>
                  </pic:spPr>
                </pic:pic>
              </a:graphicData>
            </a:graphic>
          </wp:anchor>
        </w:drawing>
      </w:r>
      <w:r>
        <w:br w:type="page"/>
      </w:r>
    </w:p>
    <w:p w14:paraId="0C73CE2C" w14:textId="77777777" w:rsidR="00F00065" w:rsidRDefault="00F00065" w:rsidP="00F00065"/>
    <w:p w14:paraId="51B9214F" w14:textId="77777777" w:rsidR="00F00065" w:rsidRDefault="00F00065" w:rsidP="00F00065">
      <w:r>
        <w:rPr>
          <w:noProof/>
        </w:rPr>
        <mc:AlternateContent>
          <mc:Choice Requires="wps">
            <w:drawing>
              <wp:anchor distT="0" distB="0" distL="114300" distR="114300" simplePos="0" relativeHeight="251663360" behindDoc="0" locked="0" layoutInCell="1" allowOverlap="1" wp14:anchorId="5306CBDD" wp14:editId="46C7AD3C">
                <wp:simplePos x="0" y="0"/>
                <wp:positionH relativeFrom="margin">
                  <wp:align>center</wp:align>
                </wp:positionH>
                <wp:positionV relativeFrom="paragraph">
                  <wp:posOffset>4673600</wp:posOffset>
                </wp:positionV>
                <wp:extent cx="7199630" cy="2433955"/>
                <wp:effectExtent l="0" t="0" r="0" b="3810"/>
                <wp:wrapTight wrapText="bothSides">
                  <wp:wrapPolygon edited="0">
                    <wp:start x="171" y="0"/>
                    <wp:lineTo x="171" y="21465"/>
                    <wp:lineTo x="21375" y="21465"/>
                    <wp:lineTo x="21375" y="0"/>
                    <wp:lineTo x="171" y="0"/>
                  </wp:wrapPolygon>
                </wp:wrapTight>
                <wp:docPr id="1547620561" name="Text Box 1"/>
                <wp:cNvGraphicFramePr/>
                <a:graphic xmlns:a="http://schemas.openxmlformats.org/drawingml/2006/main">
                  <a:graphicData uri="http://schemas.microsoft.com/office/word/2010/wordprocessingShape">
                    <wps:wsp>
                      <wps:cNvSpPr txBox="1"/>
                      <wps:spPr>
                        <a:xfrm>
                          <a:off x="0" y="0"/>
                          <a:ext cx="7199630" cy="2433955"/>
                        </a:xfrm>
                        <a:prstGeom prst="rect">
                          <a:avLst/>
                        </a:prstGeom>
                        <a:noFill/>
                        <a:ln w="6350">
                          <a:noFill/>
                        </a:ln>
                      </wps:spPr>
                      <wps:txbx>
                        <w:txbxContent>
                          <w:p w14:paraId="2E165003" w14:textId="77777777" w:rsidR="00F00065" w:rsidRPr="008F520F" w:rsidRDefault="00F00065" w:rsidP="00F00065">
                            <w:pPr>
                              <w:spacing w:line="480" w:lineRule="auto"/>
                              <w:jc w:val="both"/>
                              <w:rPr>
                                <w:highlight w:val="yellow"/>
                              </w:rPr>
                            </w:pPr>
                            <w:r w:rsidRPr="00B30F1F">
                              <w:rPr>
                                <w:rStyle w:val="Heading2Char"/>
                              </w:rPr>
                              <w:t xml:space="preserve">Supplementary Figure </w:t>
                            </w:r>
                            <w:r>
                              <w:rPr>
                                <w:rStyle w:val="Heading2Char"/>
                              </w:rPr>
                              <w:t xml:space="preserve">5. </w:t>
                            </w:r>
                            <w:r w:rsidRPr="00B30F1F">
                              <w:rPr>
                                <w:rStyle w:val="Heading2Char"/>
                              </w:rPr>
                              <w:t xml:space="preserve">Control for PBEC dsRNA Immunofluorescence Staining in Figure </w:t>
                            </w:r>
                            <w:r w:rsidRPr="000D7358">
                              <w:rPr>
                                <w:rStyle w:val="Heading2Char"/>
                              </w:rPr>
                              <w:t>3 &amp; Supplementary Figure 3</w:t>
                            </w:r>
                            <w:r w:rsidRPr="000D7358">
                              <w:rPr>
                                <w:b/>
                                <w:bCs/>
                              </w:rPr>
                              <w:t xml:space="preserve">. </w:t>
                            </w:r>
                            <w:r w:rsidRPr="000D7358">
                              <w:t>No dsRNA staining (green) was ob</w:t>
                            </w:r>
                            <w:r w:rsidRPr="00B30F1F">
                              <w:t xml:space="preserve">served in mock infected PBECs (a), UV-inactivated virus infected PBECs (b), and no extraneous staining was observed in negative primary antibody omitted control PBECs (c) for </w:t>
                            </w:r>
                            <w:r>
                              <w:t>PBEC_</w:t>
                            </w:r>
                            <w:r w:rsidRPr="00B30F1F">
                              <w:t xml:space="preserve">1. No </w:t>
                            </w:r>
                            <w:r w:rsidRPr="008F520F">
                              <w:t xml:space="preserve">dsRNA staining (green) was observed in mock infected PBECs (d), UV-inactivated virus infected PBECs (e), and no extraneous staining was observed in negative primary antibody omitted control PBECs (f) for </w:t>
                            </w:r>
                            <w:r>
                              <w:t>PBEC_</w:t>
                            </w:r>
                            <w:r w:rsidRPr="008F520F">
                              <w:t>2.</w:t>
                            </w:r>
                            <w:r>
                              <w:t xml:space="preserve"> </w:t>
                            </w:r>
                            <w:r w:rsidRPr="008F520F">
                              <w:t xml:space="preserve">No dsRNA staining (green) was observed in mock infected PBECs (g), UV-inactivated virus infected PBECs (h), and no extraneous staining was observed in negative primary antibody omitted control PBECs (i) for </w:t>
                            </w:r>
                            <w:r>
                              <w:t>PBEC_</w:t>
                            </w:r>
                            <w:r w:rsidRPr="008F520F">
                              <w:t>3. Nuclei counterstained with DAPI. Images acquired at 20x magnification with scale bars at 100 μm</w:t>
                            </w:r>
                            <w:r>
                              <w:t xml:space="preserve"> </w:t>
                            </w:r>
                            <w:r w:rsidRPr="008F520F">
                              <w:t>(a – 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306CBDD" id="_x0000_s1030" type="#_x0000_t202" style="position:absolute;margin-left:0;margin-top:368pt;width:566.9pt;height:191.65pt;z-index:251663360;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" filled="f" stroked="f" strokeweight=".5pt">
                <v:textbox style="mso-fit-shape-to-text:t">
                  <w:txbxContent>
                    <w:p w14:paraId="2E165003" w14:textId="77777777" w:rsidR="00F00065" w:rsidRPr="008F520F" w:rsidRDefault="00F00065" w:rsidP="00F00065">
                      <w:pPr>
                        <w:spacing w:line="480" w:lineRule="auto"/>
                        <w:jc w:val="both"/>
                        <w:rPr>
                          <w:highlight w:val="yellow"/>
                        </w:rPr>
                      </w:pPr>
                      <w:r w:rsidRPr="00B30F1F">
                        <w:rPr>
                          <w:rStyle w:val="Heading2Char"/>
                        </w:rPr>
                        <w:t xml:space="preserve">Supplementary Figure </w:t>
                      </w:r>
                      <w:r>
                        <w:rPr>
                          <w:rStyle w:val="Heading2Char"/>
                        </w:rPr>
                        <w:t xml:space="preserve">5. </w:t>
                      </w:r>
                      <w:r w:rsidRPr="00B30F1F">
                        <w:rPr>
                          <w:rStyle w:val="Heading2Char"/>
                        </w:rPr>
                        <w:t xml:space="preserve">Control for PBEC dsRNA Immunofluorescence Staining in Figure </w:t>
                      </w:r>
                      <w:r w:rsidRPr="000D7358">
                        <w:rPr>
                          <w:rStyle w:val="Heading2Char"/>
                        </w:rPr>
                        <w:t>3 &amp; Supplementary Figure 3</w:t>
                      </w:r>
                      <w:r w:rsidRPr="000D7358">
                        <w:rPr>
                          <w:b/>
                          <w:bCs/>
                        </w:rPr>
                        <w:t xml:space="preserve">. </w:t>
                      </w:r>
                      <w:r w:rsidRPr="000D7358">
                        <w:t>No dsRNA staining (green) was ob</w:t>
                      </w:r>
                      <w:r w:rsidRPr="00B30F1F">
                        <w:t xml:space="preserve">served in mock infected PBECs (a), UV-inactivated virus infected PBECs (b), and no extraneous staining was observed in negative primary antibody omitted control PBECs (c) for </w:t>
                      </w:r>
                      <w:r>
                        <w:t>PBEC_</w:t>
                      </w:r>
                      <w:r w:rsidRPr="00B30F1F">
                        <w:t xml:space="preserve">1. No </w:t>
                      </w:r>
                      <w:r w:rsidRPr="008F520F">
                        <w:t xml:space="preserve">dsRNA staining (green) was observed in mock infected PBECs (d), UV-inactivated virus infected PBECs (e), and no extraneous staining was observed in negative primary antibody omitted control PBECs (f) for </w:t>
                      </w:r>
                      <w:r>
                        <w:t>PBEC_</w:t>
                      </w:r>
                      <w:r w:rsidRPr="008F520F">
                        <w:t>2.</w:t>
                      </w:r>
                      <w:r>
                        <w:t xml:space="preserve"> </w:t>
                      </w:r>
                      <w:r w:rsidRPr="008F520F">
                        <w:t xml:space="preserve">No dsRNA staining (green) was observed in mock infected PBECs (g), UV-inactivated virus infected PBECs (h), and no extraneous staining was observed in negative primary antibody omitted control PBECs (i) for </w:t>
                      </w:r>
                      <w:r>
                        <w:t>PBEC_</w:t>
                      </w:r>
                      <w:r w:rsidRPr="008F520F">
                        <w:t>3. Nuclei counterstained with DAPI. Images acquired at 20x magnification with scale bars at 100 μm</w:t>
                      </w:r>
                      <w:r>
                        <w:t xml:space="preserve"> </w:t>
                      </w:r>
                      <w:r w:rsidRPr="008F520F">
                        <w:t>(a – i).</w:t>
                      </w:r>
                    </w:p>
                  </w:txbxContent>
                </v:textbox>
                <w10:wrap type="tight" anchorx="margin"/>
              </v:shape>
            </w:pict>
          </mc:Fallback>
        </mc:AlternateContent>
      </w:r>
      <w:r>
        <w:rPr>
          <w:noProof/>
        </w:rPr>
        <w:drawing>
          <wp:anchor distT="0" distB="0" distL="114300" distR="114300" simplePos="0" relativeHeight="251668480" behindDoc="1" locked="0" layoutInCell="1" allowOverlap="1" wp14:anchorId="754DA95D" wp14:editId="3F675B6F">
            <wp:simplePos x="0" y="0"/>
            <wp:positionH relativeFrom="margin">
              <wp:align>center</wp:align>
            </wp:positionH>
            <wp:positionV relativeFrom="paragraph">
              <wp:posOffset>5715</wp:posOffset>
            </wp:positionV>
            <wp:extent cx="6228000" cy="4559808"/>
            <wp:effectExtent l="0" t="0" r="1905" b="0"/>
            <wp:wrapTight wrapText="bothSides">
              <wp:wrapPolygon edited="0">
                <wp:start x="4031" y="271"/>
                <wp:lineTo x="1982" y="1173"/>
                <wp:lineTo x="1718" y="1354"/>
                <wp:lineTo x="1718" y="1895"/>
                <wp:lineTo x="198" y="2076"/>
                <wp:lineTo x="66" y="2166"/>
                <wp:lineTo x="66" y="5957"/>
                <wp:lineTo x="330" y="6227"/>
                <wp:lineTo x="1718" y="6227"/>
                <wp:lineTo x="1718" y="7671"/>
                <wp:lineTo x="66" y="8845"/>
                <wp:lineTo x="132" y="12274"/>
                <wp:lineTo x="264" y="12996"/>
                <wp:lineTo x="1718" y="13447"/>
                <wp:lineTo x="1718" y="14891"/>
                <wp:lineTo x="198" y="15072"/>
                <wp:lineTo x="66" y="15162"/>
                <wp:lineTo x="198" y="19765"/>
                <wp:lineTo x="1123" y="20667"/>
                <wp:lineTo x="1718" y="20667"/>
                <wp:lineTo x="1784" y="21480"/>
                <wp:lineTo x="21541" y="21480"/>
                <wp:lineTo x="21541" y="1173"/>
                <wp:lineTo x="19426" y="271"/>
                <wp:lineTo x="4031" y="271"/>
              </wp:wrapPolygon>
            </wp:wrapTight>
            <wp:docPr id="664701981" name="Picture 11" descr="A screenshot of a computer screen with Waitomo Caves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701981" name="Picture 11" descr="A screenshot of a computer screen with Waitomo Caves in the background&#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28000" cy="4559808"/>
                    </a:xfrm>
                    <a:prstGeom prst="rect">
                      <a:avLst/>
                    </a:prstGeom>
                    <a:noFill/>
                  </pic:spPr>
                </pic:pic>
              </a:graphicData>
            </a:graphic>
            <wp14:sizeRelH relativeFrom="margin">
              <wp14:pctWidth>0</wp14:pctWidth>
            </wp14:sizeRelH>
            <wp14:sizeRelV relativeFrom="margin">
              <wp14:pctHeight>0</wp14:pctHeight>
            </wp14:sizeRelV>
          </wp:anchor>
        </w:drawing>
      </w:r>
    </w:p>
    <w:p w14:paraId="463FBDCC" w14:textId="77777777" w:rsidR="00F00065" w:rsidRPr="00AA0F7B" w:rsidRDefault="00F00065" w:rsidP="00F00065"/>
    <w:p w14:paraId="70710F53" w14:textId="77777777" w:rsidR="00865217" w:rsidRDefault="00865217"/>
    <w:sectPr w:rsidR="00865217" w:rsidSect="00F00065">
      <w:footerReference w:type="default" r:id="rI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9124511"/>
      <w:docPartObj>
        <w:docPartGallery w:val="Page Numbers (Bottom of Page)"/>
        <w:docPartUnique/>
      </w:docPartObj>
    </w:sdtPr>
    <w:sdtContent>
      <w:p w14:paraId="7B2B7488" w14:textId="77777777" w:rsidR="00000000" w:rsidRDefault="00000000">
        <w:pPr>
          <w:pStyle w:val="Footer"/>
          <w:jc w:val="right"/>
        </w:pPr>
        <w:r>
          <w:fldChar w:fldCharType="begin"/>
        </w:r>
        <w:r>
          <w:instrText xml:space="preserve">PAGE   \* </w:instrText>
        </w:r>
        <w:r>
          <w:instrText>MERGEFORMAT</w:instrText>
        </w:r>
        <w:r>
          <w:fldChar w:fldCharType="separate"/>
        </w:r>
        <w:r>
          <w:t>2</w:t>
        </w:r>
        <w:r>
          <w:fldChar w:fldCharType="end"/>
        </w:r>
      </w:p>
    </w:sdtContent>
  </w:sdt>
  <w:p w14:paraId="4D2282FC"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065"/>
    <w:rsid w:val="002E281E"/>
    <w:rsid w:val="003201BB"/>
    <w:rsid w:val="00357489"/>
    <w:rsid w:val="00865217"/>
    <w:rsid w:val="00F000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EE966"/>
  <w15:chartTrackingRefBased/>
  <w15:docId w15:val="{24A59ACC-BCAF-4E54-8520-5483A90BC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0065"/>
    <w:pPr>
      <w:spacing w:after="0" w:line="360" w:lineRule="auto"/>
    </w:pPr>
    <w:rPr>
      <w:rFonts w:ascii="Arial" w:hAnsi="Arial"/>
      <w:kern w:val="0"/>
      <w:sz w:val="20"/>
      <w:szCs w:val="22"/>
      <w:lang w:val="en-GB"/>
      <w14:ligatures w14:val="none"/>
    </w:rPr>
  </w:style>
  <w:style w:type="paragraph" w:styleId="Heading1">
    <w:name w:val="heading 1"/>
    <w:basedOn w:val="Normal"/>
    <w:next w:val="Normal"/>
    <w:link w:val="Heading1Char"/>
    <w:uiPriority w:val="9"/>
    <w:qFormat/>
    <w:rsid w:val="00F0006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unhideWhenUsed/>
    <w:qFormat/>
    <w:rsid w:val="00F0006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unhideWhenUsed/>
    <w:qFormat/>
    <w:rsid w:val="00F00065"/>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F00065"/>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F00065"/>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F00065"/>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F00065"/>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F00065"/>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F00065"/>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00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000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000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00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00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00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00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00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0065"/>
    <w:rPr>
      <w:rFonts w:eastAsiaTheme="majorEastAsia" w:cstheme="majorBidi"/>
      <w:color w:val="272727" w:themeColor="text1" w:themeTint="D8"/>
    </w:rPr>
  </w:style>
  <w:style w:type="paragraph" w:styleId="Title">
    <w:name w:val="Title"/>
    <w:basedOn w:val="Normal"/>
    <w:next w:val="Normal"/>
    <w:link w:val="TitleChar"/>
    <w:uiPriority w:val="10"/>
    <w:qFormat/>
    <w:rsid w:val="00F00065"/>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F000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0065"/>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F000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0065"/>
    <w:pPr>
      <w:spacing w:before="160" w:after="160" w:line="278" w:lineRule="auto"/>
      <w:jc w:val="center"/>
    </w:pPr>
    <w:rPr>
      <w:rFonts w:asciiTheme="minorHAnsi" w:hAnsiTheme="minorHAns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F00065"/>
    <w:rPr>
      <w:i/>
      <w:iCs/>
      <w:color w:val="404040" w:themeColor="text1" w:themeTint="BF"/>
    </w:rPr>
  </w:style>
  <w:style w:type="paragraph" w:styleId="ListParagraph">
    <w:name w:val="List Paragraph"/>
    <w:basedOn w:val="Normal"/>
    <w:uiPriority w:val="34"/>
    <w:qFormat/>
    <w:rsid w:val="00F00065"/>
    <w:pPr>
      <w:spacing w:after="160" w:line="278" w:lineRule="auto"/>
      <w:ind w:left="720"/>
      <w:contextualSpacing/>
    </w:pPr>
    <w:rPr>
      <w:rFonts w:asciiTheme="minorHAnsi" w:hAnsiTheme="minorHAnsi"/>
      <w:kern w:val="2"/>
      <w:sz w:val="24"/>
      <w:szCs w:val="24"/>
      <w:lang w:val="en-US"/>
      <w14:ligatures w14:val="standardContextual"/>
    </w:rPr>
  </w:style>
  <w:style w:type="character" w:styleId="IntenseEmphasis">
    <w:name w:val="Intense Emphasis"/>
    <w:basedOn w:val="DefaultParagraphFont"/>
    <w:uiPriority w:val="21"/>
    <w:qFormat/>
    <w:rsid w:val="00F00065"/>
    <w:rPr>
      <w:i/>
      <w:iCs/>
      <w:color w:val="0F4761" w:themeColor="accent1" w:themeShade="BF"/>
    </w:rPr>
  </w:style>
  <w:style w:type="paragraph" w:styleId="IntenseQuote">
    <w:name w:val="Intense Quote"/>
    <w:basedOn w:val="Normal"/>
    <w:next w:val="Normal"/>
    <w:link w:val="IntenseQuoteChar"/>
    <w:uiPriority w:val="30"/>
    <w:qFormat/>
    <w:rsid w:val="00F0006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F00065"/>
    <w:rPr>
      <w:i/>
      <w:iCs/>
      <w:color w:val="0F4761" w:themeColor="accent1" w:themeShade="BF"/>
    </w:rPr>
  </w:style>
  <w:style w:type="character" w:styleId="IntenseReference">
    <w:name w:val="Intense Reference"/>
    <w:basedOn w:val="DefaultParagraphFont"/>
    <w:uiPriority w:val="32"/>
    <w:qFormat/>
    <w:rsid w:val="00F00065"/>
    <w:rPr>
      <w:b/>
      <w:bCs/>
      <w:smallCaps/>
      <w:color w:val="0F4761" w:themeColor="accent1" w:themeShade="BF"/>
      <w:spacing w:val="5"/>
    </w:rPr>
  </w:style>
  <w:style w:type="paragraph" w:styleId="Footer">
    <w:name w:val="footer"/>
    <w:basedOn w:val="Normal"/>
    <w:link w:val="FooterChar"/>
    <w:uiPriority w:val="99"/>
    <w:unhideWhenUsed/>
    <w:rsid w:val="00F00065"/>
    <w:pPr>
      <w:tabs>
        <w:tab w:val="center" w:pos="4513"/>
        <w:tab w:val="right" w:pos="9026"/>
      </w:tabs>
      <w:spacing w:line="240" w:lineRule="auto"/>
    </w:pPr>
  </w:style>
  <w:style w:type="character" w:customStyle="1" w:styleId="FooterChar">
    <w:name w:val="Footer Char"/>
    <w:basedOn w:val="DefaultParagraphFont"/>
    <w:link w:val="Footer"/>
    <w:uiPriority w:val="99"/>
    <w:rsid w:val="00F00065"/>
    <w:rPr>
      <w:rFonts w:ascii="Arial" w:hAnsi="Arial"/>
      <w:kern w:val="0"/>
      <w:sz w:val="20"/>
      <w:szCs w:val="22"/>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glossaryDocument" Target="glossary/document.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90353CC96D04DFCBD8DF36D4E6C112D"/>
        <w:category>
          <w:name w:val="General"/>
          <w:gallery w:val="placeholder"/>
        </w:category>
        <w:types>
          <w:type w:val="bbPlcHdr"/>
        </w:types>
        <w:behaviors>
          <w:behavior w:val="content"/>
        </w:behaviors>
        <w:guid w:val="{8A3F139D-9309-4F0B-B465-791680F9C72E}"/>
      </w:docPartPr>
      <w:docPartBody>
        <w:p w:rsidR="00000000" w:rsidRDefault="00041EF4" w:rsidP="00041EF4">
          <w:pPr>
            <w:pStyle w:val="290353CC96D04DFCBD8DF36D4E6C112D"/>
          </w:pPr>
          <w:r w:rsidRPr="000C3F3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EF4"/>
    <w:rsid w:val="00041EF4"/>
    <w:rsid w:val="00357489"/>
    <w:rsid w:val="007D04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sid w:val="00041EF4"/>
    <w:rPr>
      <w:color w:val="808080"/>
    </w:rPr>
  </w:style>
  <w:style w:type="paragraph" w:customStyle="1" w:styleId="290353CC96D04DFCBD8DF36D4E6C112D">
    <w:name w:val="290353CC96D04DFCBD8DF36D4E6C112D"/>
    <w:rsid w:val="00041EF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1242</Words>
  <Characters>7082</Characters>
  <Application>Microsoft Office Word</Application>
  <DocSecurity>0</DocSecurity>
  <Lines>59</Lines>
  <Paragraphs>16</Paragraphs>
  <ScaleCrop>false</ScaleCrop>
  <Company>Springer Nature</Company>
  <LinksUpToDate>false</LinksUpToDate>
  <CharactersWithSpaces>8308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2025-06-20T14:00:00Z</dcterms:created>
  <dcterms:modified xsi:type="dcterms:W3CDTF">2025-06-20T14:02:00Z</dcterms:modified>
</cp:coreProperties>
</file>