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  <w:r w:rsidRPr="006B5D38">
        <w:rPr>
          <w:rFonts w:asciiTheme="majorBidi" w:hAnsiTheme="majorBidi" w:cstheme="majorBidi"/>
          <w:b/>
          <w:bCs/>
          <w:sz w:val="20"/>
          <w:szCs w:val="20"/>
        </w:rPr>
        <w:t>Supplementary data:</w:t>
      </w:r>
      <w:bookmarkStart w:id="0" w:name="_GoBack"/>
      <w:bookmarkEnd w:id="0"/>
      <w:r w:rsidRPr="00450F7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tbl>
      <w:tblPr>
        <w:tblStyle w:val="TableGrid"/>
        <w:tblW w:w="13976" w:type="dxa"/>
        <w:jc w:val="center"/>
        <w:tblLook w:val="04A0" w:firstRow="1" w:lastRow="0" w:firstColumn="1" w:lastColumn="0" w:noHBand="0" w:noVBand="1"/>
      </w:tblPr>
      <w:tblGrid>
        <w:gridCol w:w="1975"/>
        <w:gridCol w:w="5580"/>
        <w:gridCol w:w="5220"/>
        <w:gridCol w:w="1201"/>
      </w:tblGrid>
      <w:tr w:rsidR="008E1CA8" w:rsidRPr="00450F7C" w:rsidTr="0038173C">
        <w:trPr>
          <w:trHeight w:val="516"/>
          <w:jc w:val="center"/>
        </w:trPr>
        <w:tc>
          <w:tcPr>
            <w:tcW w:w="13976" w:type="dxa"/>
            <w:gridSpan w:val="4"/>
            <w:tcBorders>
              <w:top w:val="nil"/>
              <w:left w:val="nil"/>
              <w:right w:val="nil"/>
            </w:tcBorders>
          </w:tcPr>
          <w:p w:rsidR="008E1CA8" w:rsidRPr="00450F7C" w:rsidRDefault="008E1CA8" w:rsidP="0038173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Table 1. </w:t>
            </w:r>
            <w:r w:rsidRPr="00450F7C">
              <w:rPr>
                <w:rFonts w:asciiTheme="majorBidi" w:hAnsiTheme="majorBidi" w:cstheme="majorBidi"/>
                <w:sz w:val="20"/>
                <w:szCs w:val="20"/>
              </w:rPr>
              <w:t>The sequence of primers used in qPCR.</w:t>
            </w: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E1CA8" w:rsidRPr="00450F7C" w:rsidTr="0038173C">
        <w:trPr>
          <w:trHeight w:val="516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Forward primer (5’→3’)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Reverse primer (5’→3’)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Tm</w:t>
            </w:r>
          </w:p>
        </w:tc>
      </w:tr>
      <w:tr w:rsidR="008E1CA8" w:rsidRPr="00450F7C" w:rsidTr="0038173C">
        <w:trPr>
          <w:trHeight w:val="258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β-Actin</w:t>
            </w:r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TCCCTGGAGAAGAGCTACG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GTAGTTTCGTGGATGCCACA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59.2</w:t>
            </w:r>
          </w:p>
        </w:tc>
      </w:tr>
      <w:tr w:rsidR="008E1CA8" w:rsidRPr="00450F7C" w:rsidTr="0038173C">
        <w:trPr>
          <w:trHeight w:val="258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FoxP3</w:t>
            </w:r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GCCTCCCACCTGGGATCAAC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AGACCTTCTCACATCCGGGC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62.1</w:t>
            </w:r>
          </w:p>
        </w:tc>
      </w:tr>
      <w:tr w:rsidR="008E1CA8" w:rsidRPr="00450F7C" w:rsidTr="0038173C">
        <w:trPr>
          <w:trHeight w:val="271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IL10</w:t>
            </w:r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ACATCAAGGCGCATGTGAAC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AGATGCCTTTCTCTTGGAGCTTA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59.2</w:t>
            </w:r>
          </w:p>
        </w:tc>
      </w:tr>
      <w:tr w:rsidR="008E1CA8" w:rsidRPr="00450F7C" w:rsidTr="0038173C">
        <w:trPr>
          <w:trHeight w:val="258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IL17</w:t>
            </w:r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ACCTTGGAATCTCCACCGC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GGATCTCTTGCTGGATGGGG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62.1</w:t>
            </w:r>
          </w:p>
        </w:tc>
      </w:tr>
      <w:tr w:rsidR="008E1CA8" w:rsidRPr="00450F7C" w:rsidTr="0038173C">
        <w:trPr>
          <w:trHeight w:val="258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TNF-α</w:t>
            </w:r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GCCCATGTTGTAGCAAACCC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TGAGGTACAGGCCCTCTGAT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59.2</w:t>
            </w:r>
          </w:p>
        </w:tc>
      </w:tr>
      <w:tr w:rsidR="008E1CA8" w:rsidRPr="00450F7C" w:rsidTr="0038173C">
        <w:trPr>
          <w:trHeight w:val="245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TGF-β</w:t>
            </w:r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TTGATGTCACCGGAGTTGTG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CCGGTAGTGAACCCGTTG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63.0</w:t>
            </w:r>
          </w:p>
        </w:tc>
      </w:tr>
      <w:tr w:rsidR="008E1CA8" w:rsidRPr="00450F7C" w:rsidTr="0038173C">
        <w:trPr>
          <w:trHeight w:val="245"/>
          <w:jc w:val="center"/>
        </w:trPr>
        <w:tc>
          <w:tcPr>
            <w:tcW w:w="197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RoRc</w:t>
            </w:r>
            <w:proofErr w:type="spellEnd"/>
          </w:p>
        </w:tc>
        <w:tc>
          <w:tcPr>
            <w:tcW w:w="558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CATGTCCCGAGATGCTGTCA</w:t>
            </w:r>
          </w:p>
        </w:tc>
        <w:tc>
          <w:tcPr>
            <w:tcW w:w="522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GGTTCCTGTTGCTGCTGTTG</w:t>
            </w:r>
          </w:p>
        </w:tc>
        <w:tc>
          <w:tcPr>
            <w:tcW w:w="120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57.8</w:t>
            </w:r>
          </w:p>
        </w:tc>
      </w:tr>
    </w:tbl>
    <w:p w:rsidR="008E1CA8" w:rsidRPr="00450F7C" w:rsidRDefault="008E1CA8" w:rsidP="008E1CA8">
      <w:pPr>
        <w:jc w:val="both"/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p w:rsidR="008E1CA8" w:rsidRPr="00450F7C" w:rsidRDefault="008E1CA8" w:rsidP="008E1CA8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14414" w:type="dxa"/>
        <w:tblInd w:w="-635" w:type="dxa"/>
        <w:tblLook w:val="04A0" w:firstRow="1" w:lastRow="0" w:firstColumn="1" w:lastColumn="0" w:noHBand="0" w:noVBand="1"/>
      </w:tblPr>
      <w:tblGrid>
        <w:gridCol w:w="3706"/>
        <w:gridCol w:w="1798"/>
        <w:gridCol w:w="1865"/>
        <w:gridCol w:w="1881"/>
        <w:gridCol w:w="2030"/>
        <w:gridCol w:w="1993"/>
        <w:gridCol w:w="1141"/>
      </w:tblGrid>
      <w:tr w:rsidR="008E1CA8" w:rsidRPr="00450F7C" w:rsidTr="0038173C">
        <w:trPr>
          <w:trHeight w:val="279"/>
        </w:trPr>
        <w:tc>
          <w:tcPr>
            <w:tcW w:w="14414" w:type="dxa"/>
            <w:gridSpan w:val="7"/>
            <w:tcBorders>
              <w:top w:val="nil"/>
              <w:left w:val="nil"/>
              <w:right w:val="nil"/>
            </w:tcBorders>
          </w:tcPr>
          <w:p w:rsidR="008E1CA8" w:rsidRPr="00450F7C" w:rsidRDefault="008E1CA8" w:rsidP="0038173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Table 2.</w:t>
            </w:r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 Measured parameters in study groups. Data are presented as </w:t>
            </w: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mean±standard</w:t>
            </w:r>
            <w:proofErr w:type="spellEnd"/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 division. P&lt;0.05 was considered as statistically significant. Non-similar letters represent for significant statistical difference. </w:t>
            </w:r>
          </w:p>
          <w:p w:rsidR="008E1CA8" w:rsidRPr="00450F7C" w:rsidRDefault="008E1CA8" w:rsidP="0038173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mRNA level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Control-DMSO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Control-</w:t>
            </w:r>
            <w:proofErr w:type="spellStart"/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SCDi</w:t>
            </w:r>
            <w:proofErr w:type="spellEnd"/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BC-DMSO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BC-</w:t>
            </w:r>
            <w:proofErr w:type="spellStart"/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SCDi</w:t>
            </w:r>
            <w:proofErr w:type="spellEnd"/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  <w:vMerge w:val="restart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Anti-inflammatory cytokines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IL-10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1.0±0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0.56±0.11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22.91±4.12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120.96±21.78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0.0011</w:t>
            </w:r>
          </w:p>
        </w:tc>
      </w:tr>
      <w:tr w:rsidR="008E1CA8" w:rsidRPr="00450F7C" w:rsidTr="0038173C">
        <w:trPr>
          <w:trHeight w:val="292"/>
        </w:trPr>
        <w:tc>
          <w:tcPr>
            <w:tcW w:w="3706" w:type="dxa"/>
            <w:vMerge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TGF-β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1.0±0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0.01±0.01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0.81±0.8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12.06±4.41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  <w:vMerge w:val="restart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inflammatory cytokines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IL-17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1.0±0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1.72±0.89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61.5±3.1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21.5±2.3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  <w:vMerge/>
          </w:tcPr>
          <w:p w:rsidR="008E1CA8" w:rsidRPr="00450F7C" w:rsidRDefault="008E1CA8" w:rsidP="0038173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TNF-α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1.0±0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0.59±0.41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12.66±2.33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0.59±0.36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Anti-inflammatory </w:t>
            </w: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differentiative</w:t>
            </w:r>
            <w:proofErr w:type="spellEnd"/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 marker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FoxP3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1.0±0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0.12±0.07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3.5±1.73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87.16±9.62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Inflammatory </w:t>
            </w: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differentiative</w:t>
            </w:r>
            <w:proofErr w:type="spellEnd"/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 marker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RORc</w:t>
            </w:r>
            <w:proofErr w:type="spellEnd"/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1.0±0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0.15±0.05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0.0001±0.00008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0.001±0.0005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Protein level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Control-DMSO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Control-</w:t>
            </w:r>
            <w:proofErr w:type="spellStart"/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SCDi</w:t>
            </w:r>
            <w:proofErr w:type="spellEnd"/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BC-DMSO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BC-</w:t>
            </w:r>
            <w:proofErr w:type="spellStart"/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SCDi</w:t>
            </w:r>
            <w:proofErr w:type="spellEnd"/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  <w:vMerge w:val="restart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Anti-inflammatory cytokines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IL-10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7.33±1.52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8.66±3.51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11.0±2.64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422.66±31.64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  <w:vMerge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TGF-β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11.33±2.08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9.0±2.64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15.0±2.64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151.66±6.02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  <w:vMerge w:val="restart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inflammatory cytokines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IL-17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15.0±2.64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17.66±3.05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343.66±10.96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216.33±7.37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  <w:vMerge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TNF-α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27.33±2.51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18.66±6.42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311.0±16.09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25.0±2.64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Anti-inflammatory </w:t>
            </w: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differentiative</w:t>
            </w:r>
            <w:proofErr w:type="spellEnd"/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 marker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FoxP3</w:t>
            </w:r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3.33±0.57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4.0±2.08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4.6±2.08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35.0±4.0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8E1CA8" w:rsidRPr="00450F7C" w:rsidTr="0038173C">
        <w:trPr>
          <w:trHeight w:val="279"/>
        </w:trPr>
        <w:tc>
          <w:tcPr>
            <w:tcW w:w="3706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Inflammatory </w:t>
            </w: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differentiative</w:t>
            </w:r>
            <w:proofErr w:type="spellEnd"/>
            <w:r w:rsidRPr="00450F7C">
              <w:rPr>
                <w:rFonts w:asciiTheme="majorBidi" w:hAnsiTheme="majorBidi" w:cstheme="majorBidi"/>
                <w:sz w:val="20"/>
                <w:szCs w:val="20"/>
              </w:rPr>
              <w:t xml:space="preserve"> marker</w:t>
            </w:r>
          </w:p>
        </w:tc>
        <w:tc>
          <w:tcPr>
            <w:tcW w:w="1798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50F7C">
              <w:rPr>
                <w:rFonts w:asciiTheme="majorBidi" w:hAnsiTheme="majorBidi" w:cstheme="majorBidi"/>
                <w:sz w:val="20"/>
                <w:szCs w:val="20"/>
              </w:rPr>
              <w:t>RORc</w:t>
            </w:r>
            <w:proofErr w:type="spellEnd"/>
          </w:p>
        </w:tc>
        <w:tc>
          <w:tcPr>
            <w:tcW w:w="1865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48.66±8.96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8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10.33±3.21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30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2.66±0.57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93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2.33±1.52</w:t>
            </w:r>
            <w:r w:rsidRPr="00450F7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41" w:type="dxa"/>
          </w:tcPr>
          <w:p w:rsidR="008E1CA8" w:rsidRPr="00450F7C" w:rsidRDefault="008E1CA8" w:rsidP="003817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50F7C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</w:tbl>
    <w:p w:rsidR="008E1CA8" w:rsidRPr="00450F7C" w:rsidRDefault="008E1CA8" w:rsidP="008E1CA8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50F7C">
        <w:rPr>
          <w:rFonts w:asciiTheme="majorBidi" w:hAnsiTheme="majorBidi" w:cstheme="majorBidi"/>
          <w:sz w:val="20"/>
          <w:szCs w:val="20"/>
        </w:rPr>
        <w:t xml:space="preserve">Data are presented as </w:t>
      </w:r>
      <w:proofErr w:type="spellStart"/>
      <w:r w:rsidRPr="00450F7C">
        <w:rPr>
          <w:rFonts w:asciiTheme="majorBidi" w:hAnsiTheme="majorBidi" w:cstheme="majorBidi"/>
          <w:sz w:val="20"/>
          <w:szCs w:val="20"/>
        </w:rPr>
        <w:t>mean±standard</w:t>
      </w:r>
      <w:proofErr w:type="spellEnd"/>
      <w:r w:rsidRPr="00450F7C">
        <w:rPr>
          <w:rFonts w:asciiTheme="majorBidi" w:hAnsiTheme="majorBidi" w:cstheme="majorBidi"/>
          <w:sz w:val="20"/>
          <w:szCs w:val="20"/>
        </w:rPr>
        <w:t xml:space="preserve"> division. P&lt;0.05 was considered as statistically significant. Non-similar letters represent for significant statistical difference. </w:t>
      </w:r>
    </w:p>
    <w:p w:rsidR="005F0D04" w:rsidRDefault="005F0D04"/>
    <w:sectPr w:rsidR="005F0D04" w:rsidSect="00AF48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081" w:rsidRDefault="00914081" w:rsidP="006B5D38">
      <w:pPr>
        <w:spacing w:after="0" w:line="240" w:lineRule="auto"/>
      </w:pPr>
      <w:r>
        <w:separator/>
      </w:r>
    </w:p>
  </w:endnote>
  <w:endnote w:type="continuationSeparator" w:id="0">
    <w:p w:rsidR="00914081" w:rsidRDefault="00914081" w:rsidP="006B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081" w:rsidRDefault="00914081" w:rsidP="006B5D38">
      <w:pPr>
        <w:spacing w:after="0" w:line="240" w:lineRule="auto"/>
      </w:pPr>
      <w:r>
        <w:separator/>
      </w:r>
    </w:p>
  </w:footnote>
  <w:footnote w:type="continuationSeparator" w:id="0">
    <w:p w:rsidR="00914081" w:rsidRDefault="00914081" w:rsidP="006B5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A8"/>
    <w:rsid w:val="005F0D04"/>
    <w:rsid w:val="006B5D38"/>
    <w:rsid w:val="008E1CA8"/>
    <w:rsid w:val="009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531CF-5937-48DA-A21A-F4C05865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38"/>
  </w:style>
  <w:style w:type="paragraph" w:styleId="Footer">
    <w:name w:val="footer"/>
    <w:basedOn w:val="Normal"/>
    <w:link w:val="FooterChar"/>
    <w:uiPriority w:val="99"/>
    <w:unhideWhenUsed/>
    <w:rsid w:val="006B5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2025-06-06T13:49:00Z</dcterms:created>
  <dcterms:modified xsi:type="dcterms:W3CDTF">2025-06-17T06:07:00Z</dcterms:modified>
</cp:coreProperties>
</file>