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AAED2" w14:textId="77777777" w:rsidR="00EF320A" w:rsidRPr="00E052E2" w:rsidRDefault="00EF320A" w:rsidP="00EF320A">
      <w:pPr>
        <w:spacing w:line="360" w:lineRule="auto"/>
        <w:rPr>
          <w:rFonts w:ascii="Times New Roman" w:hAnsi="Times New Roman" w:cs="Times New Roman"/>
          <w:sz w:val="24"/>
          <w:szCs w:val="24"/>
        </w:rPr>
      </w:pPr>
      <w:r w:rsidRPr="009F7631">
        <w:rPr>
          <w:rFonts w:ascii="Times New Roman" w:hAnsi="Times New Roman" w:cs="Times New Roman"/>
          <w:b/>
          <w:sz w:val="24"/>
          <w:szCs w:val="24"/>
        </w:rPr>
        <w:t>Appendix-1:</w:t>
      </w:r>
      <w:r>
        <w:rPr>
          <w:rFonts w:ascii="Times New Roman" w:hAnsi="Times New Roman" w:cs="Times New Roman"/>
          <w:sz w:val="24"/>
          <w:szCs w:val="24"/>
        </w:rPr>
        <w:t xml:space="preserve"> Schedule of Assessment (Study activities at specified timepoints)</w:t>
      </w:r>
    </w:p>
    <w:tbl>
      <w:tblPr>
        <w:tblW w:w="9070" w:type="dxa"/>
        <w:tblLayout w:type="fixed"/>
        <w:tblCellMar>
          <w:left w:w="0" w:type="dxa"/>
          <w:right w:w="0" w:type="dxa"/>
        </w:tblCellMar>
        <w:tblLook w:val="04A0" w:firstRow="1" w:lastRow="0" w:firstColumn="1" w:lastColumn="0" w:noHBand="0" w:noVBand="1"/>
      </w:tblPr>
      <w:tblGrid>
        <w:gridCol w:w="832"/>
        <w:gridCol w:w="2560"/>
        <w:gridCol w:w="993"/>
        <w:gridCol w:w="992"/>
        <w:gridCol w:w="709"/>
        <w:gridCol w:w="709"/>
        <w:gridCol w:w="850"/>
        <w:gridCol w:w="7"/>
        <w:gridCol w:w="702"/>
        <w:gridCol w:w="7"/>
        <w:gridCol w:w="702"/>
        <w:gridCol w:w="7"/>
      </w:tblGrid>
      <w:tr w:rsidR="00EF320A" w:rsidRPr="001278C3" w14:paraId="31FF489A" w14:textId="77777777" w:rsidTr="007345AA">
        <w:trPr>
          <w:trHeight w:val="300"/>
        </w:trPr>
        <w:tc>
          <w:tcPr>
            <w:tcW w:w="3392"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3FF1A68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48F372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3976" w:type="dxa"/>
            <w:gridSpan w:val="7"/>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543BB6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Treatment period</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278DE9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r>
      <w:tr w:rsidR="00EF320A" w:rsidRPr="001278C3" w14:paraId="3C777385" w14:textId="77777777" w:rsidTr="007345AA">
        <w:trPr>
          <w:trHeight w:val="300"/>
        </w:trPr>
        <w:tc>
          <w:tcPr>
            <w:tcW w:w="3392"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2991135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D9EB5F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Screening</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CB7664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Randomi</w:t>
            </w:r>
            <w:r>
              <w:rPr>
                <w:rFonts w:ascii="Times New Roman" w:eastAsia="Times New Roman" w:hAnsi="Times New Roman" w:cs="Times New Roman"/>
                <w:color w:val="001D1E"/>
                <w:kern w:val="24"/>
                <w:sz w:val="20"/>
                <w:szCs w:val="20"/>
                <w:lang w:eastAsia="en-IN"/>
              </w:rPr>
              <w:t>-</w:t>
            </w:r>
            <w:r w:rsidRPr="001278C3">
              <w:rPr>
                <w:rFonts w:ascii="Times New Roman" w:eastAsia="Times New Roman" w:hAnsi="Times New Roman" w:cs="Times New Roman"/>
                <w:color w:val="001D1E"/>
                <w:kern w:val="24"/>
                <w:sz w:val="20"/>
                <w:szCs w:val="20"/>
                <w:lang w:eastAsia="en-IN"/>
              </w:rPr>
              <w:t>zation</w:t>
            </w:r>
          </w:p>
        </w:tc>
        <w:tc>
          <w:tcPr>
            <w:tcW w:w="2275" w:type="dxa"/>
            <w:gridSpan w:val="4"/>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2DC59D5" w14:textId="77777777" w:rsidR="00EF320A" w:rsidRPr="001278C3" w:rsidRDefault="00EF320A" w:rsidP="007345AA">
            <w:pPr>
              <w:spacing w:after="0" w:line="360" w:lineRule="auto"/>
              <w:ind w:left="274"/>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Follow ups</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A6F339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EOT</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71C1C5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EOS</w:t>
            </w:r>
          </w:p>
        </w:tc>
      </w:tr>
      <w:tr w:rsidR="00EF320A" w:rsidRPr="001278C3" w14:paraId="101ABAB5" w14:textId="77777777" w:rsidTr="007345AA">
        <w:trPr>
          <w:gridAfter w:val="1"/>
          <w:wAfter w:w="7" w:type="dxa"/>
          <w:trHeight w:val="300"/>
        </w:trPr>
        <w:tc>
          <w:tcPr>
            <w:tcW w:w="832" w:type="dxa"/>
            <w:vMerge w:val="restart"/>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D978736"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Sr. No.</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92B10E9"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xml:space="preserve">Visit </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434A2D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25911E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xml:space="preserve">2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E10193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AA528F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4</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D20F2C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5</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40EA9E9"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6</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19945E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7</w:t>
            </w:r>
          </w:p>
        </w:tc>
      </w:tr>
      <w:tr w:rsidR="00EF320A" w:rsidRPr="001278C3" w14:paraId="2D681671" w14:textId="77777777" w:rsidTr="007345AA">
        <w:trPr>
          <w:gridAfter w:val="1"/>
          <w:wAfter w:w="7" w:type="dxa"/>
          <w:trHeight w:val="519"/>
        </w:trPr>
        <w:tc>
          <w:tcPr>
            <w:tcW w:w="832" w:type="dxa"/>
            <w:vMerge/>
            <w:tcBorders>
              <w:top w:val="single" w:sz="8" w:space="0" w:color="000404"/>
              <w:left w:val="single" w:sz="8" w:space="0" w:color="000404"/>
              <w:bottom w:val="single" w:sz="8" w:space="0" w:color="000404"/>
              <w:right w:val="single" w:sz="8" w:space="0" w:color="000404"/>
            </w:tcBorders>
            <w:vAlign w:val="center"/>
            <w:hideMark/>
          </w:tcPr>
          <w:p w14:paraId="6C796FCB"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9C2A7E0"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xml:space="preserve">Days </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BAEE9D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Day -28</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04E5A3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Day 0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8E7B9C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Day 14</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CCF2AA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Day 28</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2A3882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Day</w:t>
            </w:r>
            <w:r>
              <w:rPr>
                <w:rFonts w:ascii="Times New Roman" w:eastAsia="Times New Roman" w:hAnsi="Times New Roman" w:cs="Times New Roman"/>
                <w:sz w:val="20"/>
                <w:szCs w:val="20"/>
                <w:lang w:eastAsia="en-IN"/>
              </w:rPr>
              <w:t xml:space="preserve"> </w:t>
            </w:r>
            <w:r w:rsidRPr="001278C3">
              <w:rPr>
                <w:rFonts w:ascii="Times New Roman" w:eastAsia="Times New Roman" w:hAnsi="Times New Roman" w:cs="Times New Roman"/>
                <w:color w:val="001D1E"/>
                <w:kern w:val="24"/>
                <w:sz w:val="20"/>
                <w:szCs w:val="20"/>
                <w:lang w:eastAsia="en-IN"/>
              </w:rPr>
              <w:t>42</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6AB314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Day 56</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08F882D"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xml:space="preserve">Day 70 </w:t>
            </w:r>
          </w:p>
        </w:tc>
      </w:tr>
      <w:tr w:rsidR="00EF320A" w:rsidRPr="001278C3" w14:paraId="1B8B315A" w14:textId="77777777" w:rsidTr="007345AA">
        <w:trPr>
          <w:gridAfter w:val="1"/>
          <w:wAfter w:w="7" w:type="dxa"/>
          <w:trHeight w:val="315"/>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D31BCB4"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820FC17" w14:textId="77777777" w:rsidR="00EF320A" w:rsidRPr="001278C3" w:rsidRDefault="00EF320A" w:rsidP="007345AA">
            <w:pPr>
              <w:tabs>
                <w:tab w:val="left" w:pos="2000"/>
              </w:tabs>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(Window period in days)</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473C8C3" w14:textId="77777777" w:rsidR="00EF320A" w:rsidRPr="001278C3" w:rsidRDefault="00EF320A" w:rsidP="007345AA">
            <w:pPr>
              <w:tabs>
                <w:tab w:val="left" w:pos="2000"/>
              </w:tabs>
              <w:spacing w:after="0" w:line="360" w:lineRule="auto"/>
              <w:jc w:val="center"/>
              <w:rPr>
                <w:rFonts w:ascii="Times New Roman" w:eastAsia="Times New Roman" w:hAnsi="Times New Roman" w:cs="Times New Roman"/>
                <w:sz w:val="20"/>
                <w:szCs w:val="20"/>
                <w:lang w:eastAsia="en-IN"/>
              </w:rPr>
            </w:pP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8E9A27A"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60B00A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F24FAC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8B69F8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111FC9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A13255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w:t>
            </w:r>
          </w:p>
        </w:tc>
      </w:tr>
      <w:tr w:rsidR="00EF320A" w:rsidRPr="001278C3" w14:paraId="49D40B28" w14:textId="77777777" w:rsidTr="007345AA">
        <w:trPr>
          <w:trHeight w:val="300"/>
        </w:trPr>
        <w:tc>
          <w:tcPr>
            <w:tcW w:w="9070" w:type="dxa"/>
            <w:gridSpan w:val="1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5F10184"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Screening and administrative procedures</w:t>
            </w:r>
          </w:p>
        </w:tc>
      </w:tr>
      <w:tr w:rsidR="00EF320A" w:rsidRPr="001278C3" w14:paraId="04269B45"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6BCCE14" w14:textId="77777777" w:rsidR="00EF320A" w:rsidRPr="001278C3" w:rsidRDefault="00EF320A" w:rsidP="007345AA">
            <w:pPr>
              <w:spacing w:after="0" w:line="360" w:lineRule="auto"/>
              <w:contextualSpacing/>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743AB938"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Written informed consent</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BE07F0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3E75CF6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48A1EA5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06A91D7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20DB7D9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1F6D3E1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tcPr>
          <w:p w14:paraId="3CF4532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r>
      <w:tr w:rsidR="00EF320A" w:rsidRPr="001278C3" w14:paraId="0A78B59A"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81F5DF6"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2. 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664938A"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Eligibility criteria</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B7CE19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0E60F4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34E4F8F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4F2F5A2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66A2FFE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1641454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tcPr>
          <w:p w14:paraId="610B52E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r>
      <w:tr w:rsidR="00EF320A" w:rsidRPr="001278C3" w14:paraId="2035C0D6"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3DB7936"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5C5E329"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Medical history &amp; medication history</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3A86DD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5F8BAC8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0C675AF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741982F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11C2BB7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769D930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tcPr>
          <w:p w14:paraId="161E372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r>
      <w:tr w:rsidR="00EF320A" w:rsidRPr="001278C3" w14:paraId="7844232A"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9338F09"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4. 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A031613"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Demographics</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372AD8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2177A04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054BCEC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4847A69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7FCEDEF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3E4BDFE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tcPr>
          <w:p w14:paraId="7FDA643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r>
      <w:tr w:rsidR="00EF320A" w:rsidRPr="001278C3" w14:paraId="2E9D61A8" w14:textId="77777777" w:rsidTr="007345AA">
        <w:trPr>
          <w:gridAfter w:val="1"/>
          <w:wAfter w:w="7" w:type="dxa"/>
          <w:trHeight w:val="188"/>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9060CA6"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5. 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8202907"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Height, Weight</w:t>
            </w:r>
            <w:r w:rsidRPr="001278C3">
              <w:rPr>
                <w:rFonts w:ascii="Times New Roman" w:eastAsia="Times New Roman" w:hAnsi="Times New Roman" w:cs="Times New Roman"/>
                <w:color w:val="001D1E"/>
                <w:kern w:val="24"/>
                <w:position w:val="7"/>
                <w:sz w:val="20"/>
                <w:szCs w:val="20"/>
                <w:vertAlign w:val="superscript"/>
                <w:lang w:eastAsia="en-IN"/>
              </w:rPr>
              <w:t>1</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4D2BA8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534A7D5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tcPr>
          <w:p w14:paraId="6BB8857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0E626C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869E79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1E5B8F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74F6796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r>
      <w:tr w:rsidR="00EF320A" w:rsidRPr="001278C3" w14:paraId="4164C97C" w14:textId="77777777" w:rsidTr="007345AA">
        <w:trPr>
          <w:trHeight w:val="300"/>
        </w:trPr>
        <w:tc>
          <w:tcPr>
            <w:tcW w:w="9070" w:type="dxa"/>
            <w:gridSpan w:val="1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6B824B3"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Randomization and IP administration</w:t>
            </w:r>
          </w:p>
        </w:tc>
      </w:tr>
      <w:tr w:rsidR="00EF320A" w:rsidRPr="001278C3" w14:paraId="23EA1BAD"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2926772" w14:textId="77777777" w:rsidR="00EF320A" w:rsidRPr="001278C3" w:rsidRDefault="00EF320A" w:rsidP="007345AA">
            <w:pPr>
              <w:spacing w:after="0" w:line="360" w:lineRule="auto"/>
              <w:contextualSpacing/>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597729B"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xml:space="preserve">Randomization </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E14774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22FD55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01998C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1068FB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3C32FC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20C9AC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89B2BB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305326C8"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73474CB"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2. 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2716B62"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Dispensing and Dosing of IP</w:t>
            </w:r>
            <w:r w:rsidRPr="001278C3">
              <w:rPr>
                <w:rFonts w:ascii="Times New Roman" w:eastAsia="Times New Roman" w:hAnsi="Times New Roman" w:cs="Times New Roman"/>
                <w:color w:val="001D1E"/>
                <w:kern w:val="24"/>
                <w:position w:val="7"/>
                <w:sz w:val="20"/>
                <w:szCs w:val="20"/>
                <w:vertAlign w:val="superscript"/>
                <w:lang w:eastAsia="en-IN"/>
              </w:rPr>
              <w:t>2</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4316E1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7581F0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AAB006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D3B0D0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D6F22A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B903B9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74B56F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39F53544"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1038839"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7F8DA3B5"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HemoCue assessment, dose review and modification</w:t>
            </w:r>
            <w:r w:rsidRPr="001278C3">
              <w:rPr>
                <w:rFonts w:ascii="Times New Roman" w:eastAsia="Times New Roman" w:hAnsi="Times New Roman" w:cs="Times New Roman"/>
                <w:color w:val="001D1E"/>
                <w:kern w:val="24"/>
                <w:position w:val="7"/>
                <w:sz w:val="20"/>
                <w:szCs w:val="20"/>
                <w:vertAlign w:val="superscript"/>
                <w:lang w:eastAsia="en-IN"/>
              </w:rPr>
              <w:t>3</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7CE4F0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0BA200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F6A67D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01F1DD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4C7ABE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B1B643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4E03F9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00F3C59E"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F093345"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4. 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F008F11"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Study medication compliance</w:t>
            </w:r>
            <w:r w:rsidRPr="001278C3">
              <w:rPr>
                <w:rFonts w:ascii="Times New Roman" w:eastAsia="Times New Roman" w:hAnsi="Times New Roman" w:cs="Times New Roman"/>
                <w:color w:val="001D1E"/>
                <w:kern w:val="24"/>
                <w:position w:val="7"/>
                <w:sz w:val="20"/>
                <w:szCs w:val="20"/>
                <w:vertAlign w:val="superscript"/>
                <w:lang w:eastAsia="en-IN"/>
              </w:rPr>
              <w:t>4</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37D777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F5BCBB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FA2347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CC4B4E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15C770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35020F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40D654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61E3FAC4"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2F100F0"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5. 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2BDB60E"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Concomitant medication recording</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2FE054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61D29E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7DC7DF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0D900A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FFB396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3D4D38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6C36AC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73DD538E" w14:textId="77777777" w:rsidTr="007345AA">
        <w:trPr>
          <w:trHeight w:val="300"/>
        </w:trPr>
        <w:tc>
          <w:tcPr>
            <w:tcW w:w="9070" w:type="dxa"/>
            <w:gridSpan w:val="1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21828AE"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Safety Assessment</w:t>
            </w:r>
          </w:p>
        </w:tc>
      </w:tr>
      <w:tr w:rsidR="00EF320A" w:rsidRPr="001278C3" w14:paraId="70711156"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CDB5F35" w14:textId="77777777" w:rsidR="00EF320A" w:rsidRPr="001278C3" w:rsidRDefault="00EF320A" w:rsidP="007345AA">
            <w:pPr>
              <w:spacing w:after="0" w:line="360" w:lineRule="auto"/>
              <w:contextualSpacing/>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6E03EF5"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Vital signs</w:t>
            </w:r>
            <w:r w:rsidRPr="001278C3">
              <w:rPr>
                <w:rFonts w:ascii="Times New Roman" w:eastAsia="Times New Roman" w:hAnsi="Times New Roman" w:cs="Times New Roman"/>
                <w:color w:val="001D1E"/>
                <w:kern w:val="24"/>
                <w:position w:val="7"/>
                <w:sz w:val="20"/>
                <w:szCs w:val="20"/>
                <w:vertAlign w:val="superscript"/>
                <w:lang w:eastAsia="en-IN"/>
              </w:rPr>
              <w:t>5</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3DC1A8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DF207C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922393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0F8A7A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E43800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E92D99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2B2624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r>
      <w:tr w:rsidR="00EF320A" w:rsidRPr="001278C3" w14:paraId="01D1A992"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CB2FE63"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2. 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9D5F667"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Physical examination</w:t>
            </w:r>
            <w:r w:rsidRPr="001278C3">
              <w:rPr>
                <w:rFonts w:ascii="Times New Roman" w:eastAsia="Times New Roman" w:hAnsi="Times New Roman" w:cs="Times New Roman"/>
                <w:color w:val="001D1E"/>
                <w:kern w:val="24"/>
                <w:position w:val="7"/>
                <w:sz w:val="20"/>
                <w:szCs w:val="20"/>
                <w:vertAlign w:val="superscript"/>
                <w:lang w:eastAsia="en-IN"/>
              </w:rPr>
              <w:t>6</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05AB079"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230F0B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A907A3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3AE98D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C29E40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E1E4A7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B1BBA9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r>
      <w:tr w:rsidR="00EF320A" w:rsidRPr="001278C3" w14:paraId="2B92C923"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362E56F"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408B149"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12-lead ECG</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C8625D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165BD2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715A50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468078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5F5CE7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1FF625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D6C375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70C9F9DD"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93B0BB9"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4. 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93D810A"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xml:space="preserve">AE/SAE recording </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78C256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6832F1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1B357C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83C65B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017A65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655A85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F2886D9"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r>
      <w:tr w:rsidR="00EF320A" w:rsidRPr="001278C3" w14:paraId="411DA970" w14:textId="77777777" w:rsidTr="007345AA">
        <w:trPr>
          <w:trHeight w:val="300"/>
        </w:trPr>
        <w:tc>
          <w:tcPr>
            <w:tcW w:w="9070" w:type="dxa"/>
            <w:gridSpan w:val="1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F83749F"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Laboratory Investigations</w:t>
            </w:r>
          </w:p>
        </w:tc>
      </w:tr>
      <w:tr w:rsidR="00EF320A" w:rsidRPr="001278C3" w14:paraId="1E27589E"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9FA17F0" w14:textId="77777777" w:rsidR="00EF320A" w:rsidRPr="001278C3" w:rsidRDefault="00EF320A" w:rsidP="007345AA">
            <w:pPr>
              <w:spacing w:after="0" w:line="360" w:lineRule="auto"/>
              <w:contextualSpacing/>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7A751B64"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Serum Haptoglobin</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9A8B6E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87E75A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67402C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B9C2D5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185402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FFAB2D9"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FABD56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0709D334"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67F6AB5"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2. 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12D7C44"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Hematology</w:t>
            </w:r>
            <w:r w:rsidRPr="001278C3">
              <w:rPr>
                <w:rFonts w:ascii="Times New Roman" w:eastAsia="Times New Roman" w:hAnsi="Times New Roman" w:cs="Times New Roman"/>
                <w:color w:val="001D1E"/>
                <w:kern w:val="24"/>
                <w:position w:val="7"/>
                <w:sz w:val="20"/>
                <w:szCs w:val="20"/>
                <w:vertAlign w:val="superscript"/>
                <w:lang w:eastAsia="en-IN"/>
              </w:rPr>
              <w:t>7</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90526B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5AB883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096376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DD7F01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0235AE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7625B7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35C4D3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47341615"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EF81E2D"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3. 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FAA653D"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Biochemistry</w:t>
            </w:r>
            <w:r w:rsidRPr="001278C3">
              <w:rPr>
                <w:rFonts w:ascii="Times New Roman" w:eastAsia="Times New Roman" w:hAnsi="Times New Roman" w:cs="Times New Roman"/>
                <w:color w:val="001D1E"/>
                <w:kern w:val="24"/>
                <w:position w:val="7"/>
                <w:sz w:val="20"/>
                <w:szCs w:val="20"/>
                <w:vertAlign w:val="superscript"/>
                <w:lang w:eastAsia="en-IN"/>
              </w:rPr>
              <w:t>8</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6FA942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61352F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E62DF0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2127E0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A78FFB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EF8273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1063BE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14C1521E"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43FFA52"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lastRenderedPageBreak/>
              <w:t>4. 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572FBB3"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Hb S estimation by HPLC</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72EC8A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8D5C66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C2A305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98C82C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E81964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C6E41E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7CE2681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6E0AD75A"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7780F41"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5. 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3EE1FF5"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Iron Status (Serum iron, Serum ferritin, TSAT, TIBC)</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14CD0B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AEF1C9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227FA1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2B0F64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9E5D48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117B9E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643B1D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0675454B"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0F49742"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6. 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25B876F"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Cardiac Safety (NT-pro BNP)</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C677999"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8B0DF5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474D0B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077DA9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109B21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C01F10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18856C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6129B345"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BF0088A"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7. 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22847C1D"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HIV type 1 and type 2, anti-HBsAg and HCV</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F9A202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6D14EA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6C3B45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CE931C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926D15E"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13AE09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AC6A15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604D11D7"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7CF3E5A"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8. 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497C5D6"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Serum beta-HCG</w:t>
            </w:r>
            <w:r w:rsidRPr="001278C3">
              <w:rPr>
                <w:rFonts w:ascii="Times New Roman" w:eastAsia="Times New Roman" w:hAnsi="Times New Roman" w:cs="Times New Roman"/>
                <w:color w:val="001D1E"/>
                <w:kern w:val="24"/>
                <w:position w:val="7"/>
                <w:sz w:val="20"/>
                <w:szCs w:val="20"/>
                <w:vertAlign w:val="superscript"/>
                <w:lang w:eastAsia="en-IN"/>
              </w:rPr>
              <w:t>9</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D8D4CA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0C1849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B07A4D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F4B90B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0FC8B3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37472D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7565DFF1"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r>
      <w:tr w:rsidR="00EF320A" w:rsidRPr="001278C3" w14:paraId="030ABCC7"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07B25786"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9. 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FD4712A"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Urine pregnancy test</w:t>
            </w:r>
            <w:r w:rsidRPr="001278C3">
              <w:rPr>
                <w:rFonts w:ascii="Times New Roman" w:eastAsia="Times New Roman" w:hAnsi="Times New Roman" w:cs="Times New Roman"/>
                <w:color w:val="001D1E"/>
                <w:kern w:val="24"/>
                <w:position w:val="7"/>
                <w:sz w:val="20"/>
                <w:szCs w:val="20"/>
                <w:vertAlign w:val="superscript"/>
                <w:lang w:eastAsia="en-IN"/>
              </w:rPr>
              <w:t>9</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4064F0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11248D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581014D"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11BAC5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7DB00089"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64119409"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168F850"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09A952DF"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DF8DC1C"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10 .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5F20F264"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Urine Analysis</w:t>
            </w:r>
            <w:r w:rsidRPr="001278C3">
              <w:rPr>
                <w:rFonts w:ascii="Times New Roman" w:eastAsia="Times New Roman" w:hAnsi="Times New Roman" w:cs="Times New Roman"/>
                <w:color w:val="001D1E"/>
                <w:kern w:val="24"/>
                <w:position w:val="7"/>
                <w:sz w:val="20"/>
                <w:szCs w:val="20"/>
                <w:vertAlign w:val="superscript"/>
                <w:lang w:eastAsia="en-IN"/>
              </w:rPr>
              <w:t>10</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DFFDD7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2BDFF0BA"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922E8E2"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B4D13B8"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36FA701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0AAA13B"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6CF838D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r w:rsidR="00EF320A" w:rsidRPr="001278C3" w14:paraId="755771F5" w14:textId="77777777" w:rsidTr="007345AA">
        <w:trPr>
          <w:gridAfter w:val="1"/>
          <w:wAfter w:w="7" w:type="dxa"/>
          <w:trHeight w:val="300"/>
        </w:trPr>
        <w:tc>
          <w:tcPr>
            <w:tcW w:w="83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3FDCE27E"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11. </w:t>
            </w:r>
          </w:p>
        </w:tc>
        <w:tc>
          <w:tcPr>
            <w:tcW w:w="256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17E9DF6E" w14:textId="77777777" w:rsidR="00EF320A" w:rsidRPr="001278C3" w:rsidRDefault="00EF320A" w:rsidP="007345AA">
            <w:pPr>
              <w:spacing w:after="0" w:line="360" w:lineRule="auto"/>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Transthoracic echocardiogram</w:t>
            </w:r>
          </w:p>
        </w:tc>
        <w:tc>
          <w:tcPr>
            <w:tcW w:w="993"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022D48C5"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X</w:t>
            </w:r>
          </w:p>
        </w:tc>
        <w:tc>
          <w:tcPr>
            <w:tcW w:w="992"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E4D5DD3"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19151A3C"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99C2B37"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850" w:type="dxa"/>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5732B864"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vAlign w:val="center"/>
            <w:hideMark/>
          </w:tcPr>
          <w:p w14:paraId="4FD8C53F"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c>
          <w:tcPr>
            <w:tcW w:w="709" w:type="dxa"/>
            <w:gridSpan w:val="2"/>
            <w:tcBorders>
              <w:top w:val="single" w:sz="8" w:space="0" w:color="000404"/>
              <w:left w:val="single" w:sz="8" w:space="0" w:color="000404"/>
              <w:bottom w:val="single" w:sz="8" w:space="0" w:color="000404"/>
              <w:right w:val="single" w:sz="8" w:space="0" w:color="000404"/>
            </w:tcBorders>
            <w:tcMar>
              <w:top w:w="15" w:type="dxa"/>
              <w:left w:w="61" w:type="dxa"/>
              <w:bottom w:w="0" w:type="dxa"/>
              <w:right w:w="61" w:type="dxa"/>
            </w:tcMar>
            <w:hideMark/>
          </w:tcPr>
          <w:p w14:paraId="4A13D176" w14:textId="77777777" w:rsidR="00EF320A" w:rsidRPr="001278C3" w:rsidRDefault="00EF320A" w:rsidP="007345AA">
            <w:pPr>
              <w:spacing w:after="0" w:line="360" w:lineRule="auto"/>
              <w:jc w:val="center"/>
              <w:rPr>
                <w:rFonts w:ascii="Times New Roman" w:eastAsia="Times New Roman" w:hAnsi="Times New Roman" w:cs="Times New Roman"/>
                <w:sz w:val="20"/>
                <w:szCs w:val="20"/>
                <w:lang w:eastAsia="en-IN"/>
              </w:rPr>
            </w:pPr>
            <w:r w:rsidRPr="001278C3">
              <w:rPr>
                <w:rFonts w:ascii="Times New Roman" w:eastAsia="Times New Roman" w:hAnsi="Times New Roman" w:cs="Times New Roman"/>
                <w:color w:val="001D1E"/>
                <w:kern w:val="24"/>
                <w:sz w:val="20"/>
                <w:szCs w:val="20"/>
                <w:lang w:eastAsia="en-IN"/>
              </w:rPr>
              <w:t> </w:t>
            </w:r>
          </w:p>
        </w:tc>
      </w:tr>
    </w:tbl>
    <w:p w14:paraId="36BBB8E5" w14:textId="77777777" w:rsidR="00EF320A" w:rsidRDefault="00EF320A" w:rsidP="00EF320A">
      <w:pPr>
        <w:autoSpaceDE w:val="0"/>
        <w:autoSpaceDN w:val="0"/>
        <w:adjustRightInd w:val="0"/>
        <w:spacing w:after="0" w:line="360" w:lineRule="auto"/>
        <w:rPr>
          <w:rFonts w:ascii="Times New Roman" w:hAnsi="Times New Roman" w:cs="Times New Roman"/>
          <w:sz w:val="24"/>
          <w:szCs w:val="24"/>
          <w:lang w:val="en-IN"/>
        </w:rPr>
      </w:pPr>
    </w:p>
    <w:p w14:paraId="5AB0EA74"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b/>
          <w:bCs/>
          <w:sz w:val="18"/>
          <w:szCs w:val="18"/>
          <w:lang w:val="en-IN"/>
        </w:rPr>
        <w:t>Abbreviations:</w:t>
      </w:r>
      <w:r w:rsidRPr="00E052E2">
        <w:rPr>
          <w:rFonts w:ascii="Times New Roman" w:hAnsi="Times New Roman" w:cs="Times New Roman"/>
          <w:sz w:val="18"/>
          <w:szCs w:val="18"/>
          <w:lang w:val="en-IN"/>
        </w:rPr>
        <w:t xml:space="preserve"> AE = adverse event; ECG = electrocardiogram; EOT = End-of-treatment; HBsAg = hepatitis B surface antigen; HCV = hepatitis C</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virus; HIV = human immunodeficiency virus; IP = investigational product; LFT=liver function test; SAE = serious adverse event; LDH</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 lactate dehydrogenase; TIBC = total iron binding capacity; TSAT = transferrin saturation</w:t>
      </w:r>
    </w:p>
    <w:p w14:paraId="501F45FF" w14:textId="77777777" w:rsidR="00EF320A" w:rsidRPr="00E052E2" w:rsidRDefault="00EF320A" w:rsidP="00EF320A">
      <w:pPr>
        <w:autoSpaceDE w:val="0"/>
        <w:autoSpaceDN w:val="0"/>
        <w:adjustRightInd w:val="0"/>
        <w:spacing w:after="0" w:line="360" w:lineRule="auto"/>
        <w:rPr>
          <w:rFonts w:ascii="Times New Roman" w:hAnsi="Times New Roman" w:cs="Times New Roman"/>
          <w:b/>
          <w:bCs/>
          <w:sz w:val="18"/>
          <w:szCs w:val="18"/>
          <w:lang w:val="en-IN"/>
        </w:rPr>
      </w:pPr>
      <w:r w:rsidRPr="00E052E2">
        <w:rPr>
          <w:rFonts w:ascii="Times New Roman" w:hAnsi="Times New Roman" w:cs="Times New Roman"/>
          <w:b/>
          <w:bCs/>
          <w:sz w:val="18"/>
          <w:szCs w:val="18"/>
          <w:lang w:val="en-IN"/>
        </w:rPr>
        <w:t>Footnotes:</w:t>
      </w:r>
    </w:p>
    <w:p w14:paraId="5ACD2A04"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1 Height will be measured only at screening Visit 1.</w:t>
      </w:r>
    </w:p>
    <w:p w14:paraId="0BD1C841"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2 IP will be dispensed on Visit 2 and 4. Dose will be self-administered by the participant thrice in a week. Participants will be instructed regarding self-administration of dose by the site staff.</w:t>
      </w:r>
    </w:p>
    <w:p w14:paraId="09FC0F34"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ArialNarrow" w:hAnsi="ArialNarrow" w:cs="ArialNarrow"/>
          <w:sz w:val="18"/>
          <w:szCs w:val="18"/>
          <w:lang w:val="en-IN"/>
        </w:rPr>
        <w:t xml:space="preserve">3 </w:t>
      </w:r>
      <w:r w:rsidRPr="00E052E2">
        <w:rPr>
          <w:rFonts w:ascii="Times New Roman" w:hAnsi="Times New Roman" w:cs="Times New Roman"/>
          <w:sz w:val="18"/>
          <w:szCs w:val="18"/>
          <w:lang w:val="en-IN"/>
        </w:rPr>
        <w:t>Hemoglobin measurement with HemoCue will be done twice and average value of these two readings will be considered for dose adjustment. In addition, operating guideline for hemoglobin assessment by HemoCue will be provided to study centre for dose titration.</w:t>
      </w:r>
    </w:p>
    <w:p w14:paraId="25DFEA1A"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ArialNarrow" w:hAnsi="ArialNarrow" w:cs="ArialNarrow"/>
          <w:sz w:val="18"/>
          <w:szCs w:val="18"/>
          <w:lang w:val="en-IN"/>
        </w:rPr>
        <w:t xml:space="preserve">4 </w:t>
      </w:r>
      <w:r w:rsidRPr="00E052E2">
        <w:rPr>
          <w:rFonts w:ascii="Times New Roman" w:hAnsi="Times New Roman" w:cs="Times New Roman"/>
          <w:sz w:val="18"/>
          <w:szCs w:val="18"/>
          <w:lang w:val="en-IN"/>
        </w:rPr>
        <w:t>For assessment of treatment compliance, participants will be provided with patient diary on the day of randomization. Patient diary will be checked by the designated site staff during each visit for completeness of data and treatment compliance.</w:t>
      </w:r>
    </w:p>
    <w:p w14:paraId="1A24A15E"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5 Vital signs include: Sitting Blood Pressure (systolic and diastolic), SpO2 (measured by pulse oximeter), pulse, respiratory rate, and oral temperature.</w:t>
      </w:r>
    </w:p>
    <w:p w14:paraId="0A4F564A"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6</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 xml:space="preserve">Physical </w:t>
      </w:r>
      <w:proofErr w:type="gramStart"/>
      <w:r w:rsidRPr="00E052E2">
        <w:rPr>
          <w:rFonts w:ascii="Times New Roman" w:hAnsi="Times New Roman" w:cs="Times New Roman"/>
          <w:sz w:val="18"/>
          <w:szCs w:val="18"/>
          <w:lang w:val="en-IN"/>
        </w:rPr>
        <w:t>examination</w:t>
      </w:r>
      <w:proofErr w:type="gramEnd"/>
      <w:r w:rsidRPr="00E052E2">
        <w:rPr>
          <w:rFonts w:ascii="Times New Roman" w:hAnsi="Times New Roman" w:cs="Times New Roman"/>
          <w:sz w:val="18"/>
          <w:szCs w:val="18"/>
          <w:lang w:val="en-IN"/>
        </w:rPr>
        <w:t xml:space="preserve"> include evaluation of the head, neck, eyes, ears, nose, throat, chest, heart, lungs, abdomen, skin and the</w:t>
      </w:r>
    </w:p>
    <w:p w14:paraId="20ADFEC5"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cardiovascular, respiratory, neurological and musculoskeletal systems.</w:t>
      </w:r>
    </w:p>
    <w:p w14:paraId="4E1393A6"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7</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Hematology to include: Hematocrit, hemoglobin, mean corpuscular hemoglobin, mean corpuscular volume, MCHC, reticulocyte count</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(Absolute &amp; percentage), platelet count, mean platelet volume, red blood cell count, white blood cell count,</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differential WBC count</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(absolute &amp; percentage), red cell distribution width.</w:t>
      </w:r>
    </w:p>
    <w:p w14:paraId="6014171A"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Note: Peripheral smear for malaria test will be performed at screening only.</w:t>
      </w:r>
    </w:p>
    <w:p w14:paraId="7DC72B71"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8</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Biochemistry includes:</w:t>
      </w:r>
    </w:p>
    <w:p w14:paraId="5CDA7693"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 Liver function test: Aspartate aminotransferase, alanine aminotransferase, alkaline phosphatase, gamma-glutamyl transferase,</w:t>
      </w:r>
    </w:p>
    <w:p w14:paraId="4403CE3A"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total protein, albumin and total bilirubin (with Direct &amp; Indirect bilirubin).</w:t>
      </w:r>
    </w:p>
    <w:p w14:paraId="610B6554"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 Renal function test: Blood Urea Nitrogen, serum creatinine, creatinine clearance, estimated glomerular filtration rate and uric</w:t>
      </w:r>
    </w:p>
    <w:p w14:paraId="0D3B34B1"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acid.</w:t>
      </w:r>
    </w:p>
    <w:p w14:paraId="3361105E"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 Serum LDH</w:t>
      </w:r>
    </w:p>
    <w:p w14:paraId="2DBDA41E"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 Serum electrolytes: Serum potassium, Sodium, Chloride</w:t>
      </w:r>
    </w:p>
    <w:p w14:paraId="5F4DCEB1"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lastRenderedPageBreak/>
        <w:t>▪ Random blood glucose</w:t>
      </w:r>
    </w:p>
    <w:p w14:paraId="46FF3431"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 Vitamin B 12, Folic acid, and HbA1c</w:t>
      </w:r>
    </w:p>
    <w:p w14:paraId="4782181D"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9</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 xml:space="preserve">Serum pregnancy and urine pregnancy test will be performed for women of </w:t>
      </w:r>
      <w:proofErr w:type="gramStart"/>
      <w:r w:rsidRPr="00E052E2">
        <w:rPr>
          <w:rFonts w:ascii="Times New Roman" w:hAnsi="Times New Roman" w:cs="Times New Roman"/>
          <w:sz w:val="18"/>
          <w:szCs w:val="18"/>
          <w:lang w:val="en-IN"/>
        </w:rPr>
        <w:t>child bearing</w:t>
      </w:r>
      <w:proofErr w:type="gramEnd"/>
      <w:r w:rsidRPr="00E052E2">
        <w:rPr>
          <w:rFonts w:ascii="Times New Roman" w:hAnsi="Times New Roman" w:cs="Times New Roman"/>
          <w:sz w:val="18"/>
          <w:szCs w:val="18"/>
          <w:lang w:val="en-IN"/>
        </w:rPr>
        <w:t xml:space="preserve"> potential only (post-menopausal women are</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defined as women over age of 45 years and have been amenorrhic for atleast 12 months)</w:t>
      </w:r>
    </w:p>
    <w:p w14:paraId="64E3E1FB"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10</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Urine analysis includes urine microscopy and urine chemistry.</w:t>
      </w:r>
    </w:p>
    <w:p w14:paraId="15614509"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 xml:space="preserve">Urine microscopy to </w:t>
      </w:r>
      <w:proofErr w:type="gramStart"/>
      <w:r w:rsidRPr="00E052E2">
        <w:rPr>
          <w:rFonts w:ascii="Times New Roman" w:hAnsi="Times New Roman" w:cs="Times New Roman"/>
          <w:sz w:val="18"/>
          <w:szCs w:val="18"/>
          <w:lang w:val="en-IN"/>
        </w:rPr>
        <w:t>include:</w:t>
      </w:r>
      <w:proofErr w:type="gramEnd"/>
      <w:r w:rsidRPr="00E052E2">
        <w:rPr>
          <w:rFonts w:ascii="Times New Roman" w:hAnsi="Times New Roman" w:cs="Times New Roman"/>
          <w:sz w:val="18"/>
          <w:szCs w:val="18"/>
          <w:lang w:val="en-IN"/>
        </w:rPr>
        <w:t xml:space="preserve"> Epithelial cells, red blood cells, pus cells, cast and crystals; physical examination of urine to </w:t>
      </w:r>
      <w:proofErr w:type="gramStart"/>
      <w:r w:rsidRPr="00E052E2">
        <w:rPr>
          <w:rFonts w:ascii="Times New Roman" w:hAnsi="Times New Roman" w:cs="Times New Roman"/>
          <w:sz w:val="18"/>
          <w:szCs w:val="18"/>
          <w:lang w:val="en-IN"/>
        </w:rPr>
        <w:t>include:</w:t>
      </w:r>
      <w:proofErr w:type="gramEnd"/>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appearance and colour.</w:t>
      </w:r>
    </w:p>
    <w:p w14:paraId="4FA21E7E" w14:textId="77777777" w:rsidR="00EF320A" w:rsidRPr="00E052E2" w:rsidRDefault="00EF320A" w:rsidP="00EF320A">
      <w:pPr>
        <w:autoSpaceDE w:val="0"/>
        <w:autoSpaceDN w:val="0"/>
        <w:adjustRightInd w:val="0"/>
        <w:spacing w:after="0" w:line="360" w:lineRule="auto"/>
        <w:rPr>
          <w:rFonts w:ascii="Times New Roman" w:hAnsi="Times New Roman" w:cs="Times New Roman"/>
          <w:sz w:val="18"/>
          <w:szCs w:val="18"/>
          <w:lang w:val="en-IN"/>
        </w:rPr>
      </w:pPr>
      <w:r w:rsidRPr="00E052E2">
        <w:rPr>
          <w:rFonts w:ascii="Times New Roman" w:hAnsi="Times New Roman" w:cs="Times New Roman"/>
          <w:sz w:val="18"/>
          <w:szCs w:val="18"/>
          <w:lang w:val="en-IN"/>
        </w:rPr>
        <w:t xml:space="preserve">Urine Chemistry to </w:t>
      </w:r>
      <w:proofErr w:type="gramStart"/>
      <w:r w:rsidRPr="00E052E2">
        <w:rPr>
          <w:rFonts w:ascii="Times New Roman" w:hAnsi="Times New Roman" w:cs="Times New Roman"/>
          <w:sz w:val="18"/>
          <w:szCs w:val="18"/>
          <w:lang w:val="en-IN"/>
        </w:rPr>
        <w:t>include:</w:t>
      </w:r>
      <w:proofErr w:type="gramEnd"/>
      <w:r w:rsidRPr="00E052E2">
        <w:rPr>
          <w:rFonts w:ascii="Times New Roman" w:hAnsi="Times New Roman" w:cs="Times New Roman"/>
          <w:sz w:val="18"/>
          <w:szCs w:val="18"/>
          <w:lang w:val="en-IN"/>
        </w:rPr>
        <w:t xml:space="preserve"> pH, Specific gravity, Protein, Glucose, Bilirubin, albumin, Urobilinogen, Ketone bodies and nitrite; urine</w:t>
      </w:r>
      <w:r>
        <w:rPr>
          <w:rFonts w:ascii="Times New Roman" w:hAnsi="Times New Roman" w:cs="Times New Roman"/>
          <w:sz w:val="18"/>
          <w:szCs w:val="18"/>
          <w:lang w:val="en-IN"/>
        </w:rPr>
        <w:t xml:space="preserve"> </w:t>
      </w:r>
      <w:r w:rsidRPr="00E052E2">
        <w:rPr>
          <w:rFonts w:ascii="Times New Roman" w:hAnsi="Times New Roman" w:cs="Times New Roman"/>
          <w:sz w:val="18"/>
          <w:szCs w:val="18"/>
          <w:lang w:val="en-IN"/>
        </w:rPr>
        <w:t>microalbumin.</w:t>
      </w:r>
    </w:p>
    <w:p w14:paraId="5762A401" w14:textId="77777777" w:rsidR="009542D6" w:rsidRPr="00EF320A" w:rsidRDefault="009542D6">
      <w:pPr>
        <w:rPr>
          <w:lang w:val="en-IN"/>
        </w:rPr>
      </w:pPr>
    </w:p>
    <w:sectPr w:rsidR="009542D6" w:rsidRPr="00EF32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Narrow">
    <w:altName w:val="Arial"/>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20A"/>
    <w:rsid w:val="00264C10"/>
    <w:rsid w:val="00470242"/>
    <w:rsid w:val="00726E03"/>
    <w:rsid w:val="009542D6"/>
    <w:rsid w:val="00966FBF"/>
    <w:rsid w:val="00EF320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C8DEE"/>
  <w15:chartTrackingRefBased/>
  <w15:docId w15:val="{952291CF-0E3F-4636-861C-FD519209A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20A"/>
    <w:pPr>
      <w:spacing w:line="259" w:lineRule="auto"/>
    </w:pPr>
    <w:rPr>
      <w:rFonts w:eastAsiaTheme="minorHAnsi"/>
      <w:kern w:val="0"/>
      <w:sz w:val="22"/>
      <w:szCs w:val="22"/>
      <w:lang w:eastAsia="en-US"/>
      <w14:ligatures w14:val="none"/>
    </w:rPr>
  </w:style>
  <w:style w:type="paragraph" w:styleId="Heading1">
    <w:name w:val="heading 1"/>
    <w:basedOn w:val="Normal"/>
    <w:next w:val="Normal"/>
    <w:link w:val="Heading1Char"/>
    <w:uiPriority w:val="9"/>
    <w:qFormat/>
    <w:rsid w:val="00EF32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EF32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EF320A"/>
    <w:pPr>
      <w:keepNext/>
      <w:keepLines/>
      <w:spacing w:before="160" w:after="80" w:line="278" w:lineRule="auto"/>
      <w:outlineLvl w:val="2"/>
    </w:pPr>
    <w:rPr>
      <w:rFonts w:eastAsiaTheme="majorEastAsia"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EF320A"/>
    <w:pPr>
      <w:keepNext/>
      <w:keepLines/>
      <w:spacing w:before="80" w:after="40" w:line="278" w:lineRule="auto"/>
      <w:outlineLvl w:val="3"/>
    </w:pPr>
    <w:rPr>
      <w:rFonts w:eastAsiaTheme="majorEastAsia" w:cstheme="majorBidi"/>
      <w:i/>
      <w:iCs/>
      <w:color w:val="0F4761" w:themeColor="accent1" w:themeShade="BF"/>
      <w:kern w:val="2"/>
      <w:sz w:val="24"/>
      <w:szCs w:val="24"/>
      <w:lang w:eastAsia="zh-CN"/>
      <w14:ligatures w14:val="standardContextual"/>
    </w:rPr>
  </w:style>
  <w:style w:type="paragraph" w:styleId="Heading5">
    <w:name w:val="heading 5"/>
    <w:basedOn w:val="Normal"/>
    <w:next w:val="Normal"/>
    <w:link w:val="Heading5Char"/>
    <w:uiPriority w:val="9"/>
    <w:semiHidden/>
    <w:unhideWhenUsed/>
    <w:qFormat/>
    <w:rsid w:val="00EF320A"/>
    <w:pPr>
      <w:keepNext/>
      <w:keepLines/>
      <w:spacing w:before="80" w:after="40" w:line="278" w:lineRule="auto"/>
      <w:outlineLvl w:val="4"/>
    </w:pPr>
    <w:rPr>
      <w:rFonts w:eastAsiaTheme="majorEastAsia" w:cstheme="majorBidi"/>
      <w:color w:val="0F4761" w:themeColor="accent1" w:themeShade="BF"/>
      <w:kern w:val="2"/>
      <w:sz w:val="24"/>
      <w:szCs w:val="24"/>
      <w:lang w:eastAsia="zh-CN"/>
      <w14:ligatures w14:val="standardContextual"/>
    </w:rPr>
  </w:style>
  <w:style w:type="paragraph" w:styleId="Heading6">
    <w:name w:val="heading 6"/>
    <w:basedOn w:val="Normal"/>
    <w:next w:val="Normal"/>
    <w:link w:val="Heading6Char"/>
    <w:uiPriority w:val="9"/>
    <w:semiHidden/>
    <w:unhideWhenUsed/>
    <w:qFormat/>
    <w:rsid w:val="00EF320A"/>
    <w:pPr>
      <w:keepNext/>
      <w:keepLines/>
      <w:spacing w:before="40" w:after="0" w:line="278" w:lineRule="auto"/>
      <w:outlineLvl w:val="5"/>
    </w:pPr>
    <w:rPr>
      <w:rFonts w:eastAsiaTheme="majorEastAsia" w:cstheme="majorBidi"/>
      <w:i/>
      <w:iCs/>
      <w:color w:val="595959" w:themeColor="text1" w:themeTint="A6"/>
      <w:kern w:val="2"/>
      <w:sz w:val="24"/>
      <w:szCs w:val="24"/>
      <w:lang w:eastAsia="zh-CN"/>
      <w14:ligatures w14:val="standardContextual"/>
    </w:rPr>
  </w:style>
  <w:style w:type="paragraph" w:styleId="Heading7">
    <w:name w:val="heading 7"/>
    <w:basedOn w:val="Normal"/>
    <w:next w:val="Normal"/>
    <w:link w:val="Heading7Char"/>
    <w:uiPriority w:val="9"/>
    <w:semiHidden/>
    <w:unhideWhenUsed/>
    <w:qFormat/>
    <w:rsid w:val="00EF320A"/>
    <w:pPr>
      <w:keepNext/>
      <w:keepLines/>
      <w:spacing w:before="40" w:after="0" w:line="278" w:lineRule="auto"/>
      <w:outlineLvl w:val="6"/>
    </w:pPr>
    <w:rPr>
      <w:rFonts w:eastAsiaTheme="majorEastAsia" w:cstheme="majorBidi"/>
      <w:color w:val="595959" w:themeColor="text1" w:themeTint="A6"/>
      <w:kern w:val="2"/>
      <w:sz w:val="24"/>
      <w:szCs w:val="24"/>
      <w:lang w:eastAsia="zh-CN"/>
      <w14:ligatures w14:val="standardContextual"/>
    </w:rPr>
  </w:style>
  <w:style w:type="paragraph" w:styleId="Heading8">
    <w:name w:val="heading 8"/>
    <w:basedOn w:val="Normal"/>
    <w:next w:val="Normal"/>
    <w:link w:val="Heading8Char"/>
    <w:uiPriority w:val="9"/>
    <w:semiHidden/>
    <w:unhideWhenUsed/>
    <w:qFormat/>
    <w:rsid w:val="00EF320A"/>
    <w:pPr>
      <w:keepNext/>
      <w:keepLines/>
      <w:spacing w:after="0" w:line="278" w:lineRule="auto"/>
      <w:outlineLvl w:val="7"/>
    </w:pPr>
    <w:rPr>
      <w:rFonts w:eastAsiaTheme="majorEastAsia" w:cstheme="majorBidi"/>
      <w:i/>
      <w:iCs/>
      <w:color w:val="272727" w:themeColor="text1" w:themeTint="D8"/>
      <w:kern w:val="2"/>
      <w:sz w:val="24"/>
      <w:szCs w:val="24"/>
      <w:lang w:eastAsia="zh-CN"/>
      <w14:ligatures w14:val="standardContextual"/>
    </w:rPr>
  </w:style>
  <w:style w:type="paragraph" w:styleId="Heading9">
    <w:name w:val="heading 9"/>
    <w:basedOn w:val="Normal"/>
    <w:next w:val="Normal"/>
    <w:link w:val="Heading9Char"/>
    <w:uiPriority w:val="9"/>
    <w:semiHidden/>
    <w:unhideWhenUsed/>
    <w:qFormat/>
    <w:rsid w:val="00EF320A"/>
    <w:pPr>
      <w:keepNext/>
      <w:keepLines/>
      <w:spacing w:after="0" w:line="278" w:lineRule="auto"/>
      <w:outlineLvl w:val="8"/>
    </w:pPr>
    <w:rPr>
      <w:rFonts w:eastAsiaTheme="majorEastAsia" w:cstheme="majorBidi"/>
      <w:color w:val="272727" w:themeColor="text1" w:themeTint="D8"/>
      <w:kern w:val="2"/>
      <w:sz w:val="24"/>
      <w:szCs w:val="24"/>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2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32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32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32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32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32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32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32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320A"/>
    <w:rPr>
      <w:rFonts w:eastAsiaTheme="majorEastAsia" w:cstheme="majorBidi"/>
      <w:color w:val="272727" w:themeColor="text1" w:themeTint="D8"/>
    </w:rPr>
  </w:style>
  <w:style w:type="paragraph" w:styleId="Title">
    <w:name w:val="Title"/>
    <w:basedOn w:val="Normal"/>
    <w:next w:val="Normal"/>
    <w:link w:val="TitleChar"/>
    <w:uiPriority w:val="10"/>
    <w:qFormat/>
    <w:rsid w:val="00EF320A"/>
    <w:pPr>
      <w:spacing w:after="80" w:line="240" w:lineRule="auto"/>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EF32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320A"/>
    <w:pPr>
      <w:numPr>
        <w:ilvl w:val="1"/>
      </w:numPr>
      <w:spacing w:line="278" w:lineRule="auto"/>
    </w:pPr>
    <w:rPr>
      <w:rFonts w:eastAsiaTheme="majorEastAsia"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EF32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320A"/>
    <w:pPr>
      <w:spacing w:before="160" w:line="278" w:lineRule="auto"/>
      <w:jc w:val="center"/>
    </w:pPr>
    <w:rPr>
      <w:rFonts w:eastAsiaTheme="minorEastAsia"/>
      <w:i/>
      <w:iCs/>
      <w:color w:val="404040" w:themeColor="text1" w:themeTint="BF"/>
      <w:kern w:val="2"/>
      <w:sz w:val="24"/>
      <w:szCs w:val="24"/>
      <w:lang w:eastAsia="zh-CN"/>
      <w14:ligatures w14:val="standardContextual"/>
    </w:rPr>
  </w:style>
  <w:style w:type="character" w:customStyle="1" w:styleId="QuoteChar">
    <w:name w:val="Quote Char"/>
    <w:basedOn w:val="DefaultParagraphFont"/>
    <w:link w:val="Quote"/>
    <w:uiPriority w:val="29"/>
    <w:rsid w:val="00EF320A"/>
    <w:rPr>
      <w:i/>
      <w:iCs/>
      <w:color w:val="404040" w:themeColor="text1" w:themeTint="BF"/>
    </w:rPr>
  </w:style>
  <w:style w:type="paragraph" w:styleId="ListParagraph">
    <w:name w:val="List Paragraph"/>
    <w:basedOn w:val="Normal"/>
    <w:uiPriority w:val="34"/>
    <w:qFormat/>
    <w:rsid w:val="00EF320A"/>
    <w:pPr>
      <w:spacing w:line="278" w:lineRule="auto"/>
      <w:ind w:left="720"/>
      <w:contextualSpacing/>
    </w:pPr>
    <w:rPr>
      <w:rFonts w:eastAsiaTheme="minorEastAsia"/>
      <w:kern w:val="2"/>
      <w:sz w:val="24"/>
      <w:szCs w:val="24"/>
      <w:lang w:eastAsia="zh-CN"/>
      <w14:ligatures w14:val="standardContextual"/>
    </w:rPr>
  </w:style>
  <w:style w:type="character" w:styleId="IntenseEmphasis">
    <w:name w:val="Intense Emphasis"/>
    <w:basedOn w:val="DefaultParagraphFont"/>
    <w:uiPriority w:val="21"/>
    <w:qFormat/>
    <w:rsid w:val="00EF320A"/>
    <w:rPr>
      <w:i/>
      <w:iCs/>
      <w:color w:val="0F4761" w:themeColor="accent1" w:themeShade="BF"/>
    </w:rPr>
  </w:style>
  <w:style w:type="paragraph" w:styleId="IntenseQuote">
    <w:name w:val="Intense Quote"/>
    <w:basedOn w:val="Normal"/>
    <w:next w:val="Normal"/>
    <w:link w:val="IntenseQuoteChar"/>
    <w:uiPriority w:val="30"/>
    <w:qFormat/>
    <w:rsid w:val="00EF32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EastAsia"/>
      <w:i/>
      <w:iCs/>
      <w:color w:val="0F4761" w:themeColor="accent1" w:themeShade="BF"/>
      <w:kern w:val="2"/>
      <w:sz w:val="24"/>
      <w:szCs w:val="24"/>
      <w:lang w:eastAsia="zh-CN"/>
      <w14:ligatures w14:val="standardContextual"/>
    </w:rPr>
  </w:style>
  <w:style w:type="character" w:customStyle="1" w:styleId="IntenseQuoteChar">
    <w:name w:val="Intense Quote Char"/>
    <w:basedOn w:val="DefaultParagraphFont"/>
    <w:link w:val="IntenseQuote"/>
    <w:uiPriority w:val="30"/>
    <w:rsid w:val="00EF320A"/>
    <w:rPr>
      <w:i/>
      <w:iCs/>
      <w:color w:val="0F4761" w:themeColor="accent1" w:themeShade="BF"/>
    </w:rPr>
  </w:style>
  <w:style w:type="character" w:styleId="IntenseReference">
    <w:name w:val="Intense Reference"/>
    <w:basedOn w:val="DefaultParagraphFont"/>
    <w:uiPriority w:val="32"/>
    <w:qFormat/>
    <w:rsid w:val="00EF32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647</Words>
  <Characters>3789</Characters>
  <Application>Microsoft Office Word</Application>
  <DocSecurity>0</DocSecurity>
  <Lines>97</Lines>
  <Paragraphs>56</Paragraphs>
  <ScaleCrop>false</ScaleCrop>
  <Company/>
  <LinksUpToDate>false</LinksUpToDate>
  <CharactersWithSpaces>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2025-10-15T18:32:00Z</dcterms:created>
  <dcterms:modified xsi:type="dcterms:W3CDTF">2025-10-15T18:32:00Z</dcterms:modified>
</cp:coreProperties>
</file>