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131593" w14:textId="77777777" w:rsidR="00862558" w:rsidRDefault="00862558" w:rsidP="00196986">
      <w:pPr>
        <w:bidi w:val="0"/>
        <w:jc w:val="center"/>
        <w:rPr>
          <w:noProof/>
        </w:rPr>
      </w:pPr>
    </w:p>
    <w:p w14:paraId="6467F948" w14:textId="4326FF0B" w:rsidR="00196986" w:rsidRDefault="00196986" w:rsidP="00862558">
      <w:pPr>
        <w:bidi w:val="0"/>
        <w:jc w:val="center"/>
        <w:rPr>
          <w:noProof/>
        </w:rPr>
      </w:pPr>
      <w:r w:rsidRPr="00196986">
        <w:rPr>
          <w:noProof/>
        </w:rPr>
        <w:t>Supplementary Information for</w:t>
      </w:r>
    </w:p>
    <w:p w14:paraId="6CECB768" w14:textId="77777777" w:rsidR="007735AB" w:rsidRPr="002D23E3" w:rsidRDefault="007735AB" w:rsidP="007735AB">
      <w:pPr>
        <w:jc w:val="center"/>
        <w:rPr>
          <w:noProof/>
          <w:sz w:val="28"/>
          <w:szCs w:val="28"/>
        </w:rPr>
      </w:pPr>
      <w:r w:rsidRPr="0019648F">
        <w:rPr>
          <w:b/>
          <w:bCs/>
          <w:noProof/>
          <w:sz w:val="28"/>
          <w:szCs w:val="28"/>
        </w:rPr>
        <w:t>Joint Brittle-Ductile Control on Orogen Collapse Rates</w:t>
      </w:r>
    </w:p>
    <w:p w14:paraId="6BD43349" w14:textId="4862F3D7" w:rsidR="00196986" w:rsidRPr="002D23E3" w:rsidRDefault="002D23E3" w:rsidP="00196986">
      <w:pPr>
        <w:bidi w:val="0"/>
        <w:jc w:val="center"/>
        <w:rPr>
          <w:noProof/>
          <w:vertAlign w:val="superscript"/>
        </w:rPr>
      </w:pPr>
      <w:r>
        <w:rPr>
          <w:noProof/>
        </w:rPr>
        <w:t>Rawi Dawood</w:t>
      </w:r>
      <w:r>
        <w:rPr>
          <w:noProof/>
          <w:vertAlign w:val="superscript"/>
        </w:rPr>
        <w:t>1,2*</w:t>
      </w:r>
      <w:r>
        <w:rPr>
          <w:noProof/>
        </w:rPr>
        <w:t>, J</w:t>
      </w:r>
      <w:r w:rsidRPr="002D23E3">
        <w:rPr>
          <w:noProof/>
        </w:rPr>
        <w:t>ean‐</w:t>
      </w:r>
      <w:r>
        <w:rPr>
          <w:noProof/>
        </w:rPr>
        <w:t>A</w:t>
      </w:r>
      <w:r w:rsidRPr="002D23E3">
        <w:rPr>
          <w:noProof/>
        </w:rPr>
        <w:t xml:space="preserve">rthur </w:t>
      </w:r>
      <w:r>
        <w:rPr>
          <w:noProof/>
        </w:rPr>
        <w:t>O</w:t>
      </w:r>
      <w:r w:rsidRPr="002D23E3">
        <w:rPr>
          <w:noProof/>
        </w:rPr>
        <w:t>live</w:t>
      </w:r>
      <w:r>
        <w:rPr>
          <w:noProof/>
          <w:vertAlign w:val="superscript"/>
        </w:rPr>
        <w:t>3</w:t>
      </w:r>
      <w:r>
        <w:rPr>
          <w:noProof/>
        </w:rPr>
        <w:t>, E</w:t>
      </w:r>
      <w:r w:rsidRPr="002D23E3">
        <w:rPr>
          <w:noProof/>
        </w:rPr>
        <w:t xml:space="preserve">inat </w:t>
      </w:r>
      <w:r>
        <w:rPr>
          <w:noProof/>
        </w:rPr>
        <w:t>A</w:t>
      </w:r>
      <w:r w:rsidRPr="002D23E3">
        <w:rPr>
          <w:noProof/>
        </w:rPr>
        <w:t>haronov</w:t>
      </w:r>
      <w:r>
        <w:rPr>
          <w:noProof/>
          <w:vertAlign w:val="superscript"/>
        </w:rPr>
        <w:t>1</w:t>
      </w:r>
    </w:p>
    <w:p w14:paraId="6165A91E" w14:textId="44307736" w:rsidR="002D23E3" w:rsidRDefault="002D23E3" w:rsidP="002D23E3">
      <w:pPr>
        <w:shd w:val="clear" w:color="auto" w:fill="FFFFFF"/>
        <w:bidi w:val="0"/>
        <w:spacing w:before="100" w:beforeAutospacing="1" w:after="120" w:line="240" w:lineRule="auto"/>
        <w:ind w:left="720"/>
        <w:jc w:val="both"/>
        <w:rPr>
          <w:rFonts w:ascii="Segoe UI" w:eastAsia="Times New Roman" w:hAnsi="Segoe UI" w:cs="Segoe UI"/>
          <w:color w:val="222222"/>
          <w:sz w:val="20"/>
          <w:szCs w:val="20"/>
          <w:lang w:bidi="ar-SA"/>
        </w:rPr>
      </w:pPr>
      <w:r w:rsidRPr="002D23E3">
        <w:rPr>
          <w:rFonts w:ascii="Segoe UI" w:eastAsia="Times New Roman" w:hAnsi="Segoe UI" w:cs="Segoe UI"/>
          <w:color w:val="222222"/>
          <w:sz w:val="20"/>
          <w:szCs w:val="20"/>
          <w:vertAlign w:val="superscript"/>
          <w:lang w:bidi="ar-SA"/>
        </w:rPr>
        <w:t xml:space="preserve">1 </w:t>
      </w:r>
      <w:r w:rsidRPr="002D23E3">
        <w:rPr>
          <w:rFonts w:ascii="Segoe UI" w:eastAsia="Times New Roman" w:hAnsi="Segoe UI" w:cs="Segoe UI"/>
          <w:color w:val="222222"/>
          <w:sz w:val="20"/>
          <w:szCs w:val="20"/>
          <w:lang w:bidi="ar-SA"/>
        </w:rPr>
        <w:t>Institute of Earth Sciences, The Hebrew University, Jerusalem, Israel</w:t>
      </w:r>
      <w:r>
        <w:rPr>
          <w:rFonts w:ascii="Segoe UI" w:eastAsia="Times New Roman" w:hAnsi="Segoe UI" w:cs="Segoe UI"/>
          <w:color w:val="222222"/>
          <w:sz w:val="20"/>
          <w:szCs w:val="20"/>
          <w:lang w:bidi="ar-SA"/>
        </w:rPr>
        <w:t>.</w:t>
      </w:r>
      <w:r>
        <w:rPr>
          <w:rFonts w:ascii="Segoe UI" w:eastAsia="Times New Roman" w:hAnsi="Segoe UI" w:cs="Segoe UI"/>
          <w:color w:val="222222"/>
          <w:sz w:val="20"/>
          <w:szCs w:val="20"/>
          <w:vertAlign w:val="superscript"/>
          <w:lang w:bidi="ar-SA"/>
        </w:rPr>
        <w:t>2</w:t>
      </w:r>
      <w:r>
        <w:rPr>
          <w:rFonts w:ascii="Segoe UI" w:eastAsia="Times New Roman" w:hAnsi="Segoe UI" w:cs="Segoe UI"/>
          <w:color w:val="222222"/>
          <w:sz w:val="20"/>
          <w:szCs w:val="20"/>
          <w:lang w:bidi="ar-SA"/>
        </w:rPr>
        <w:t xml:space="preserve"> </w:t>
      </w:r>
      <w:r w:rsidRPr="002D23E3">
        <w:rPr>
          <w:rFonts w:ascii="Segoe UI" w:eastAsia="Times New Roman" w:hAnsi="Segoe UI" w:cs="Segoe UI"/>
          <w:color w:val="222222"/>
          <w:sz w:val="20"/>
          <w:szCs w:val="20"/>
          <w:lang w:bidi="ar-SA"/>
        </w:rPr>
        <w:t>Geological Survey of Israel, Yesha'yahu Leibowitz 32, Jerusalem, Israel</w:t>
      </w:r>
      <w:r>
        <w:rPr>
          <w:rFonts w:ascii="Segoe UI" w:eastAsia="Times New Roman" w:hAnsi="Segoe UI" w:cs="Segoe UI"/>
          <w:color w:val="222222"/>
          <w:sz w:val="20"/>
          <w:szCs w:val="20"/>
          <w:lang w:bidi="ar-SA"/>
        </w:rPr>
        <w:t xml:space="preserve">. </w:t>
      </w:r>
      <w:r>
        <w:rPr>
          <w:rFonts w:ascii="Segoe UI" w:eastAsia="Times New Roman" w:hAnsi="Segoe UI" w:cs="Segoe UI"/>
          <w:color w:val="222222"/>
          <w:sz w:val="20"/>
          <w:szCs w:val="20"/>
          <w:vertAlign w:val="superscript"/>
          <w:lang w:bidi="ar-SA"/>
        </w:rPr>
        <w:t>3</w:t>
      </w:r>
      <w:r>
        <w:rPr>
          <w:rFonts w:ascii="Segoe UI" w:eastAsia="Times New Roman" w:hAnsi="Segoe UI" w:cs="Segoe UI"/>
          <w:color w:val="222222"/>
          <w:sz w:val="20"/>
          <w:szCs w:val="20"/>
          <w:vertAlign w:val="subscript"/>
          <w:lang w:bidi="ar-SA"/>
        </w:rPr>
        <w:t xml:space="preserve"> </w:t>
      </w:r>
      <w:proofErr w:type="spellStart"/>
      <w:r w:rsidRPr="002D23E3">
        <w:rPr>
          <w:rFonts w:ascii="Segoe UI" w:eastAsia="Times New Roman" w:hAnsi="Segoe UI" w:cs="Segoe UI"/>
          <w:color w:val="222222"/>
          <w:sz w:val="20"/>
          <w:szCs w:val="20"/>
          <w:lang w:bidi="ar-SA"/>
        </w:rPr>
        <w:t>Laboratoire</w:t>
      </w:r>
      <w:proofErr w:type="spellEnd"/>
      <w:r w:rsidRPr="002D23E3">
        <w:rPr>
          <w:rFonts w:ascii="Segoe UI" w:eastAsia="Times New Roman" w:hAnsi="Segoe UI" w:cs="Segoe UI"/>
          <w:color w:val="222222"/>
          <w:sz w:val="20"/>
          <w:szCs w:val="20"/>
          <w:lang w:bidi="ar-SA"/>
        </w:rPr>
        <w:t xml:space="preserve"> de </w:t>
      </w:r>
      <w:proofErr w:type="spellStart"/>
      <w:r w:rsidRPr="002D23E3">
        <w:rPr>
          <w:rFonts w:ascii="Segoe UI" w:eastAsia="Times New Roman" w:hAnsi="Segoe UI" w:cs="Segoe UI"/>
          <w:color w:val="222222"/>
          <w:sz w:val="20"/>
          <w:szCs w:val="20"/>
          <w:lang w:bidi="ar-SA"/>
        </w:rPr>
        <w:t>Géologie</w:t>
      </w:r>
      <w:proofErr w:type="spellEnd"/>
      <w:r w:rsidRPr="002D23E3">
        <w:rPr>
          <w:rFonts w:ascii="Segoe UI" w:eastAsia="Times New Roman" w:hAnsi="Segoe UI" w:cs="Segoe UI"/>
          <w:color w:val="222222"/>
          <w:sz w:val="20"/>
          <w:szCs w:val="20"/>
          <w:lang w:bidi="ar-SA"/>
        </w:rPr>
        <w:t>, CNRS - École Normale Supérieure - PSL University, Paris, France</w:t>
      </w:r>
      <w:r>
        <w:rPr>
          <w:rFonts w:ascii="Segoe UI" w:eastAsia="Times New Roman" w:hAnsi="Segoe UI" w:cs="Segoe UI"/>
          <w:color w:val="222222"/>
          <w:sz w:val="20"/>
          <w:szCs w:val="20"/>
          <w:lang w:bidi="ar-SA"/>
        </w:rPr>
        <w:t xml:space="preserve">. </w:t>
      </w:r>
    </w:p>
    <w:p w14:paraId="07A86252" w14:textId="6E01EF72" w:rsidR="002D23E3" w:rsidRDefault="002D23E3" w:rsidP="002D23E3">
      <w:pPr>
        <w:shd w:val="clear" w:color="auto" w:fill="FFFFFF"/>
        <w:bidi w:val="0"/>
        <w:spacing w:before="100" w:beforeAutospacing="1" w:after="120" w:line="240" w:lineRule="auto"/>
        <w:ind w:left="720"/>
        <w:jc w:val="both"/>
        <w:rPr>
          <w:rFonts w:ascii="Segoe UI" w:eastAsia="Times New Roman" w:hAnsi="Segoe UI" w:cs="Segoe UI"/>
          <w:color w:val="222222"/>
          <w:sz w:val="20"/>
          <w:szCs w:val="20"/>
          <w:lang w:bidi="ar-SA"/>
        </w:rPr>
      </w:pPr>
      <w:r w:rsidRPr="002D23E3">
        <w:rPr>
          <w:rFonts w:ascii="Segoe UI" w:eastAsia="Times New Roman" w:hAnsi="Segoe UI" w:cs="Segoe UI"/>
          <w:color w:val="222222"/>
          <w:sz w:val="20"/>
          <w:szCs w:val="20"/>
          <w:lang w:bidi="ar-SA"/>
        </w:rPr>
        <w:t xml:space="preserve">*Corresponding author. e-mail: </w:t>
      </w:r>
      <w:hyperlink r:id="rId9" w:history="1">
        <w:r w:rsidR="001D47D5" w:rsidRPr="00C15ED4">
          <w:rPr>
            <w:rStyle w:val="Hyperlink"/>
            <w:rFonts w:ascii="Segoe UI" w:eastAsia="Times New Roman" w:hAnsi="Segoe UI" w:cs="Segoe UI"/>
            <w:sz w:val="20"/>
            <w:szCs w:val="20"/>
            <w:lang w:bidi="ar-SA"/>
          </w:rPr>
          <w:t>rawi.dawood@mail.huji.ac.il</w:t>
        </w:r>
      </w:hyperlink>
    </w:p>
    <w:p w14:paraId="2DA3ED5C" w14:textId="7FCFAE39" w:rsidR="00B828DB" w:rsidRPr="000543D6" w:rsidRDefault="00B828DB" w:rsidP="00384AFC">
      <w:pPr>
        <w:shd w:val="clear" w:color="auto" w:fill="FFFFFF"/>
        <w:tabs>
          <w:tab w:val="left" w:pos="6480"/>
        </w:tabs>
        <w:bidi w:val="0"/>
        <w:spacing w:before="100" w:beforeAutospacing="1" w:after="120" w:line="240" w:lineRule="auto"/>
        <w:jc w:val="both"/>
        <w:rPr>
          <w:rFonts w:ascii="Segoe UI" w:eastAsia="Times New Roman" w:hAnsi="Segoe UI" w:cs="Segoe UI"/>
          <w:color w:val="222222"/>
          <w:sz w:val="20"/>
          <w:szCs w:val="20"/>
          <w:lang w:bidi="ar-SA"/>
        </w:rPr>
      </w:pPr>
      <w:r>
        <w:rPr>
          <w:rFonts w:ascii="Segoe UI" w:eastAsia="Times New Roman" w:hAnsi="Segoe UI" w:cs="Segoe UI"/>
          <w:color w:val="222222"/>
          <w:sz w:val="20"/>
          <w:szCs w:val="20"/>
          <w:lang w:bidi="ar-SA"/>
        </w:rPr>
        <w:tab/>
      </w:r>
    </w:p>
    <w:p w14:paraId="04D5BC0A" w14:textId="77777777" w:rsidR="00B828DB" w:rsidRPr="00AE584D" w:rsidRDefault="00B828DB" w:rsidP="00B828DB">
      <w:pPr>
        <w:bidi w:val="0"/>
        <w:rPr>
          <w:b/>
          <w:bCs/>
          <w:noProof/>
        </w:rPr>
      </w:pPr>
      <w:r w:rsidRPr="00AE584D">
        <w:rPr>
          <w:b/>
          <w:bCs/>
          <w:noProof/>
        </w:rPr>
        <w:t>The Supplementary Information Sections:</w:t>
      </w:r>
    </w:p>
    <w:p w14:paraId="076F915A" w14:textId="07A2BE1F" w:rsidR="00966D16" w:rsidRPr="00AE584D" w:rsidRDefault="00966D16" w:rsidP="00966D16">
      <w:pPr>
        <w:bidi w:val="0"/>
      </w:pPr>
      <w:r w:rsidRPr="00AE584D">
        <w:t>Further Information on Modeling Strain Rates in Tibet and the Apennines</w:t>
      </w:r>
    </w:p>
    <w:p w14:paraId="7494BE1D" w14:textId="77777777" w:rsidR="00B11731" w:rsidRPr="00AE584D" w:rsidRDefault="00B11731" w:rsidP="00B11731">
      <w:pPr>
        <w:bidi w:val="0"/>
      </w:pPr>
      <w:r w:rsidRPr="00AE584D">
        <w:t xml:space="preserve">Further Information on Partial Melt Channel </w:t>
      </w:r>
    </w:p>
    <w:p w14:paraId="3B092AE6" w14:textId="7685582D" w:rsidR="00966D16" w:rsidRDefault="00966D16" w:rsidP="00B11731">
      <w:pPr>
        <w:bidi w:val="0"/>
        <w:rPr>
          <w:b/>
          <w:bCs/>
          <w:noProof/>
        </w:rPr>
      </w:pPr>
      <w:r w:rsidRPr="00AE584D">
        <w:rPr>
          <w:b/>
          <w:bCs/>
          <w:noProof/>
        </w:rPr>
        <w:t>Supplementary figures and tabels</w:t>
      </w:r>
    </w:p>
    <w:p w14:paraId="6E0D90CF" w14:textId="77777777" w:rsidR="00894C45" w:rsidRPr="00AE584D" w:rsidRDefault="00894C45" w:rsidP="00894C45">
      <w:pPr>
        <w:bidi w:val="0"/>
      </w:pPr>
      <w:r w:rsidRPr="00AE584D">
        <w:rPr>
          <w:b/>
          <w:bCs/>
          <w:noProof/>
        </w:rPr>
        <w:t xml:space="preserve">Supplementary figure </w:t>
      </w:r>
      <w:r>
        <w:rPr>
          <w:b/>
          <w:bCs/>
          <w:noProof/>
        </w:rPr>
        <w:t>1</w:t>
      </w:r>
      <w:r w:rsidRPr="00AE584D">
        <w:rPr>
          <w:b/>
          <w:bCs/>
          <w:noProof/>
        </w:rPr>
        <w:t>:</w:t>
      </w:r>
      <w:r w:rsidRPr="00AE584D">
        <w:t xml:space="preserve"> Weak crust and extension strain rates in the Tibetan Plateau.</w:t>
      </w:r>
    </w:p>
    <w:p w14:paraId="5357E589" w14:textId="61C6FE0C" w:rsidR="00894C45" w:rsidRDefault="00894C45" w:rsidP="00894C45">
      <w:pPr>
        <w:bidi w:val="0"/>
        <w:rPr>
          <w:b/>
          <w:bCs/>
        </w:rPr>
      </w:pPr>
      <w:r w:rsidRPr="00AE584D">
        <w:rPr>
          <w:b/>
          <w:bCs/>
          <w:noProof/>
        </w:rPr>
        <w:t xml:space="preserve">Supplementary figure </w:t>
      </w:r>
      <w:r>
        <w:rPr>
          <w:b/>
          <w:bCs/>
          <w:noProof/>
        </w:rPr>
        <w:t>2</w:t>
      </w:r>
      <w:r w:rsidRPr="00AE584D">
        <w:rPr>
          <w:b/>
          <w:bCs/>
          <w:noProof/>
        </w:rPr>
        <w:t>:</w:t>
      </w:r>
      <w:r w:rsidRPr="00AE584D">
        <w:t xml:space="preserve"> </w:t>
      </w:r>
      <w:r>
        <w:rPr>
          <w:rFonts w:eastAsiaTheme="minorEastAsia"/>
        </w:rPr>
        <w:t>Fault strength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m:rPr>
            <m:sty m:val="bi"/>
          </m:rPr>
          <w:rPr>
            <w:rFonts w:ascii="Cambria Math" w:hAnsi="Cambria Math"/>
          </w:rPr>
          <m:t>=</m:t>
        </m:r>
        <m:d>
          <m:dPr>
            <m:ctrlPr>
              <w:rPr>
                <w:rFonts w:ascii="Cambria Math" w:hAnsi="Cambria Math"/>
                <w:b/>
                <w:bCs/>
              </w:rPr>
            </m:ctrlPr>
          </m:dPr>
          <m:e>
            <m:r>
              <m:rPr>
                <m:sty m:val="b"/>
              </m:rPr>
              <w:rPr>
                <w:rFonts w:ascii="Cambria Math" w:hAnsi="Cambria Math"/>
              </w:rPr>
              <m:t>1-λ</m:t>
            </m:r>
          </m:e>
        </m:d>
        <m:sSup>
          <m:sSupPr>
            <m:ctrlPr>
              <w:rPr>
                <w:rFonts w:ascii="Cambria Math" w:hAnsi="Cambria Math"/>
              </w:rPr>
            </m:ctrlPr>
          </m:sSupPr>
          <m:e>
            <m:r>
              <m:rPr>
                <m:sty m:val="p"/>
              </m:rPr>
              <w:rPr>
                <w:rFonts w:ascii="Cambria Math" w:hAnsi="Cambria Math"/>
              </w:rPr>
              <m:t>μ</m:t>
            </m:r>
          </m:e>
          <m:sup>
            <m:r>
              <m:rPr>
                <m:sty m:val="p"/>
              </m:rPr>
              <w:rPr>
                <w:rFonts w:ascii="Cambria Math" w:hAnsi="Cambria Math"/>
              </w:rPr>
              <m:t>*</m:t>
            </m:r>
          </m:sup>
        </m:sSup>
      </m:oMath>
      <w:r w:rsidRPr="00894C45">
        <w:rPr>
          <w:rFonts w:eastAsiaTheme="minorEastAsia"/>
        </w:rPr>
        <w:t>)</w:t>
      </w:r>
      <w:r w:rsidRPr="00894C45">
        <w:t xml:space="preserve"> </w:t>
      </w:r>
    </w:p>
    <w:p w14:paraId="5711FB1E" w14:textId="77777777" w:rsidR="00894C45" w:rsidRPr="00AE584D" w:rsidRDefault="00894C45" w:rsidP="00894C45">
      <w:pPr>
        <w:bidi w:val="0"/>
      </w:pPr>
      <w:r w:rsidRPr="00AE584D">
        <w:rPr>
          <w:b/>
          <w:bCs/>
          <w:noProof/>
        </w:rPr>
        <w:t>Supplementary figure 3</w:t>
      </w:r>
      <w:r>
        <w:rPr>
          <w:b/>
          <w:bCs/>
          <w:noProof/>
        </w:rPr>
        <w:t>:</w:t>
      </w:r>
      <w:r w:rsidRPr="00AE584D">
        <w:t xml:space="preserve"> </w:t>
      </w:r>
      <w:r w:rsidRPr="00AE584D">
        <w:rPr>
          <w:noProof/>
        </w:rPr>
        <w:t>Seismic Velocity Cross-Sections Along the Apennines and Southeastern Tibetan Plateau</w:t>
      </w:r>
    </w:p>
    <w:p w14:paraId="1FDDBCF5" w14:textId="77777777" w:rsidR="00894C45" w:rsidRPr="00AE584D" w:rsidRDefault="00894C45" w:rsidP="00894C45">
      <w:pPr>
        <w:bidi w:val="0"/>
        <w:rPr>
          <w:b/>
          <w:bCs/>
          <w:noProof/>
        </w:rPr>
      </w:pPr>
      <w:r w:rsidRPr="00AE584D">
        <w:rPr>
          <w:b/>
          <w:bCs/>
          <w:noProof/>
        </w:rPr>
        <w:t xml:space="preserve">Supplementary figure </w:t>
      </w:r>
      <w:r>
        <w:rPr>
          <w:b/>
          <w:bCs/>
          <w:noProof/>
        </w:rPr>
        <w:t>4</w:t>
      </w:r>
      <w:r w:rsidRPr="00AE584D">
        <w:t>: The impact of plagioclase partial melt on channel thickness and fault strength</w:t>
      </w:r>
    </w:p>
    <w:p w14:paraId="444CF2F8" w14:textId="5170BECD" w:rsidR="00894C45" w:rsidRPr="00894C45" w:rsidRDefault="00894C45" w:rsidP="00894C45">
      <w:pPr>
        <w:bidi w:val="0"/>
      </w:pPr>
      <w:r w:rsidRPr="00AE584D">
        <w:rPr>
          <w:b/>
          <w:bCs/>
          <w:noProof/>
        </w:rPr>
        <w:t xml:space="preserve">Supplementary figure </w:t>
      </w:r>
      <w:r>
        <w:rPr>
          <w:b/>
          <w:bCs/>
          <w:noProof/>
        </w:rPr>
        <w:t>5</w:t>
      </w:r>
      <w:r w:rsidRPr="00AE584D">
        <w:rPr>
          <w:b/>
          <w:bCs/>
          <w:noProof/>
        </w:rPr>
        <w:t xml:space="preserve">: </w:t>
      </w:r>
      <w:r w:rsidRPr="00AE584D">
        <w:t xml:space="preserve">The impact of wet quartzite partial melt on channel thickness and fault strength </w:t>
      </w:r>
    </w:p>
    <w:p w14:paraId="6CD3AA4F" w14:textId="50A418F9" w:rsidR="00B828DB" w:rsidRPr="00AE584D" w:rsidRDefault="00B828DB" w:rsidP="00966D16">
      <w:pPr>
        <w:bidi w:val="0"/>
        <w:rPr>
          <w:b/>
          <w:bCs/>
          <w:noProof/>
        </w:rPr>
      </w:pPr>
      <w:r w:rsidRPr="00AE584D">
        <w:rPr>
          <w:b/>
          <w:bCs/>
          <w:noProof/>
        </w:rPr>
        <w:t xml:space="preserve">Supplementary figure </w:t>
      </w:r>
      <w:r w:rsidR="00894C45">
        <w:rPr>
          <w:b/>
          <w:bCs/>
          <w:noProof/>
        </w:rPr>
        <w:t>6</w:t>
      </w:r>
      <w:r w:rsidRPr="00AE584D">
        <w:rPr>
          <w:b/>
          <w:bCs/>
          <w:noProof/>
        </w:rPr>
        <w:t>:</w:t>
      </w:r>
      <w:r w:rsidRPr="00AE584D">
        <w:t xml:space="preserve"> Schematic drawing of the frictional–viscous fault system model.</w:t>
      </w:r>
    </w:p>
    <w:p w14:paraId="7154D4F2" w14:textId="77777777" w:rsidR="0043659B" w:rsidRPr="00AE584D" w:rsidRDefault="0043659B" w:rsidP="0043659B">
      <w:pPr>
        <w:bidi w:val="0"/>
        <w:spacing w:line="360" w:lineRule="auto"/>
        <w:jc w:val="both"/>
      </w:pPr>
      <w:r w:rsidRPr="00AE584D">
        <w:rPr>
          <w:b/>
          <w:bCs/>
          <w:noProof/>
        </w:rPr>
        <w:t>Supplementary Table 1:</w:t>
      </w:r>
      <w:r w:rsidRPr="00AE584D">
        <w:t xml:space="preserve"> Rheological flow laws used in modeling the weak crustal layer. </w:t>
      </w:r>
    </w:p>
    <w:p w14:paraId="1071EF7B" w14:textId="29BE302B" w:rsidR="0043659B" w:rsidRPr="00AE584D" w:rsidRDefault="0043659B" w:rsidP="0043659B">
      <w:pPr>
        <w:bidi w:val="0"/>
        <w:spacing w:line="360" w:lineRule="auto"/>
        <w:jc w:val="both"/>
      </w:pPr>
      <w:r w:rsidRPr="00AE584D">
        <w:rPr>
          <w:b/>
          <w:bCs/>
          <w:noProof/>
        </w:rPr>
        <w:t>Supplementary Table 2:</w:t>
      </w:r>
      <w:r w:rsidRPr="00AE584D">
        <w:t xml:space="preserve"> </w:t>
      </w:r>
      <w:r w:rsidRPr="00AE584D">
        <w:rPr>
          <w:rFonts w:ascii="Times-Roman" w:hAnsi="Times-Roman" w:cs="Times-Roman"/>
          <w:lang w:bidi="ar-SA"/>
        </w:rPr>
        <w:t>Tibetan plateau best-fit model parameters</w:t>
      </w:r>
      <w:r w:rsidRPr="00AE584D">
        <w:t>.</w:t>
      </w:r>
    </w:p>
    <w:p w14:paraId="73E1D2A4" w14:textId="2654F35A" w:rsidR="0043659B" w:rsidRPr="00AE584D" w:rsidRDefault="0043659B" w:rsidP="0043659B">
      <w:pPr>
        <w:bidi w:val="0"/>
        <w:spacing w:line="360" w:lineRule="auto"/>
        <w:jc w:val="both"/>
      </w:pPr>
      <w:r w:rsidRPr="00AE584D">
        <w:rPr>
          <w:b/>
          <w:bCs/>
          <w:noProof/>
        </w:rPr>
        <w:t>Supplementary Table 3:</w:t>
      </w:r>
      <w:r w:rsidRPr="00AE584D">
        <w:t xml:space="preserve"> </w:t>
      </w:r>
      <w:r w:rsidRPr="00AE584D">
        <w:rPr>
          <w:rFonts w:ascii="Times-Roman" w:hAnsi="Times-Roman" w:cs="Times-Roman"/>
          <w:lang w:bidi="ar-SA"/>
        </w:rPr>
        <w:t>Apennines best-fit model parameters</w:t>
      </w:r>
      <w:r w:rsidRPr="00AE584D">
        <w:t>.</w:t>
      </w:r>
    </w:p>
    <w:p w14:paraId="586430A6" w14:textId="77777777" w:rsidR="00213570" w:rsidRPr="00AE584D" w:rsidRDefault="00213570" w:rsidP="00213570">
      <w:pPr>
        <w:bidi w:val="0"/>
        <w:spacing w:line="360" w:lineRule="auto"/>
        <w:jc w:val="both"/>
        <w:rPr>
          <w:rFonts w:ascii="Times-Roman" w:hAnsi="Times-Roman" w:cs="Times-Roman"/>
          <w:lang w:bidi="ar-SA"/>
        </w:rPr>
      </w:pPr>
      <w:r w:rsidRPr="00AE584D">
        <w:rPr>
          <w:b/>
          <w:bCs/>
        </w:rPr>
        <w:t>Supplementary Table 4:</w:t>
      </w:r>
      <w:r w:rsidRPr="00AE584D">
        <w:rPr>
          <w:rFonts w:ascii="Times-Roman" w:hAnsi="Times-Roman" w:cs="Times-Roman"/>
          <w:lang w:bidi="ar-SA"/>
        </w:rPr>
        <w:t xml:space="preserve"> parameters used for modeling the strain vs. topography in fig. 4. </w:t>
      </w:r>
    </w:p>
    <w:p w14:paraId="45152CCB" w14:textId="7DD99446" w:rsidR="00213570" w:rsidRPr="00AE584D" w:rsidRDefault="000543D6" w:rsidP="008806BD">
      <w:pPr>
        <w:bidi w:val="0"/>
        <w:spacing w:line="360" w:lineRule="auto"/>
        <w:jc w:val="both"/>
        <w:rPr>
          <w:b/>
          <w:bCs/>
        </w:rPr>
      </w:pPr>
      <w:r w:rsidRPr="00AE584D">
        <w:rPr>
          <w:b/>
          <w:bCs/>
        </w:rPr>
        <w:t xml:space="preserve">Supplementary Table 5: </w:t>
      </w:r>
      <w:r w:rsidR="008806BD" w:rsidRPr="00AE584D">
        <w:rPr>
          <w:rFonts w:ascii="Times-Roman" w:hAnsi="Times-Roman" w:cs="Times-Roman"/>
          <w:lang w:bidi="ar-SA"/>
        </w:rPr>
        <w:t>plagioclase partial melt model parameters</w:t>
      </w:r>
    </w:p>
    <w:p w14:paraId="2BDA01A4" w14:textId="5E875B41" w:rsidR="000543D6" w:rsidRDefault="000543D6" w:rsidP="000543D6">
      <w:pPr>
        <w:bidi w:val="0"/>
        <w:spacing w:line="360" w:lineRule="auto"/>
        <w:jc w:val="both"/>
        <w:rPr>
          <w:rFonts w:ascii="Times-Roman" w:hAnsi="Times-Roman" w:cs="Times-Roman"/>
          <w:lang w:bidi="ar-SA"/>
        </w:rPr>
      </w:pPr>
      <w:r w:rsidRPr="00AE584D">
        <w:rPr>
          <w:b/>
          <w:bCs/>
        </w:rPr>
        <w:t>Supplementary Table 6</w:t>
      </w:r>
      <w:r w:rsidR="008806BD" w:rsidRPr="00AE584D">
        <w:rPr>
          <w:b/>
          <w:bCs/>
        </w:rPr>
        <w:t>:</w:t>
      </w:r>
      <w:r w:rsidRPr="00AE584D">
        <w:rPr>
          <w:rFonts w:ascii="Times-Roman" w:hAnsi="Times-Roman" w:cs="Times-Roman"/>
          <w:lang w:bidi="ar-SA"/>
        </w:rPr>
        <w:t xml:space="preserve"> </w:t>
      </w:r>
      <w:r w:rsidRPr="00AE584D">
        <w:t>wet quartzite partial melt</w:t>
      </w:r>
      <w:r w:rsidR="008806BD" w:rsidRPr="00AE584D">
        <w:t xml:space="preserve"> </w:t>
      </w:r>
      <w:r w:rsidR="008806BD" w:rsidRPr="00AE584D">
        <w:rPr>
          <w:rFonts w:ascii="Times-Roman" w:hAnsi="Times-Roman" w:cs="Times-Roman"/>
          <w:lang w:bidi="ar-SA"/>
        </w:rPr>
        <w:t>model parameters</w:t>
      </w:r>
    </w:p>
    <w:p w14:paraId="67F9A5B5" w14:textId="77777777" w:rsidR="002E0EED" w:rsidRDefault="002E0EED" w:rsidP="002E0EED">
      <w:pPr>
        <w:bidi w:val="0"/>
        <w:spacing w:line="360" w:lineRule="auto"/>
        <w:jc w:val="both"/>
      </w:pPr>
    </w:p>
    <w:p w14:paraId="754AE60F" w14:textId="77777777" w:rsidR="00924532" w:rsidRDefault="00924532" w:rsidP="00924532">
      <w:pPr>
        <w:bidi w:val="0"/>
      </w:pPr>
    </w:p>
    <w:p w14:paraId="29141BC6" w14:textId="6E96252C" w:rsidR="00924532" w:rsidRDefault="00924532" w:rsidP="00924532">
      <w:pPr>
        <w:pStyle w:val="Heading7"/>
        <w:jc w:val="left"/>
        <w:rPr>
          <w:b/>
          <w:bCs/>
        </w:rPr>
      </w:pPr>
      <w:bookmarkStart w:id="0" w:name="_Hlk171236626"/>
      <w:r>
        <w:rPr>
          <w:b/>
          <w:bCs/>
        </w:rPr>
        <w:lastRenderedPageBreak/>
        <w:t xml:space="preserve">Modeling the strain rate </w:t>
      </w:r>
    </w:p>
    <w:bookmarkEnd w:id="0"/>
    <w:p w14:paraId="720F1C50" w14:textId="1B3B694C" w:rsidR="009565AE" w:rsidRPr="00F56B80" w:rsidRDefault="00BC39EA" w:rsidP="00F56B80">
      <w:pPr>
        <w:autoSpaceDE w:val="0"/>
        <w:autoSpaceDN w:val="0"/>
        <w:bidi w:val="0"/>
        <w:adjustRightInd w:val="0"/>
        <w:spacing w:after="0" w:line="360" w:lineRule="auto"/>
        <w:rPr>
          <w:sz w:val="24"/>
          <w:szCs w:val="24"/>
        </w:rPr>
      </w:pPr>
      <w:r>
        <w:rPr>
          <w:sz w:val="24"/>
          <w:szCs w:val="24"/>
        </w:rPr>
        <w:t>T</w:t>
      </w:r>
      <w:r w:rsidR="004649B8" w:rsidRPr="00813366">
        <w:rPr>
          <w:sz w:val="24"/>
          <w:szCs w:val="24"/>
        </w:rPr>
        <w:t>his section</w:t>
      </w:r>
      <w:r>
        <w:rPr>
          <w:sz w:val="24"/>
          <w:szCs w:val="24"/>
        </w:rPr>
        <w:t xml:space="preserve"> </w:t>
      </w:r>
      <w:r w:rsidR="004649B8" w:rsidRPr="00813366">
        <w:rPr>
          <w:sz w:val="24"/>
          <w:szCs w:val="24"/>
        </w:rPr>
        <w:t>describe</w:t>
      </w:r>
      <w:r>
        <w:rPr>
          <w:sz w:val="24"/>
          <w:szCs w:val="24"/>
        </w:rPr>
        <w:t>s</w:t>
      </w:r>
      <w:r w:rsidR="004649B8" w:rsidRPr="00813366">
        <w:rPr>
          <w:sz w:val="24"/>
          <w:szCs w:val="24"/>
        </w:rPr>
        <w:t xml:space="preserve"> </w:t>
      </w:r>
      <w:r>
        <w:rPr>
          <w:sz w:val="24"/>
          <w:szCs w:val="24"/>
        </w:rPr>
        <w:t xml:space="preserve">the methods for measuring </w:t>
      </w:r>
      <w:r w:rsidR="004649B8" w:rsidRPr="00813366">
        <w:rPr>
          <w:sz w:val="24"/>
          <w:szCs w:val="24"/>
        </w:rPr>
        <w:t>strain rates and</w:t>
      </w:r>
      <w:r w:rsidR="007476AD">
        <w:rPr>
          <w:sz w:val="24"/>
          <w:szCs w:val="24"/>
        </w:rPr>
        <w:t xml:space="preserve"> </w:t>
      </w:r>
      <w:r w:rsidR="004649B8" w:rsidRPr="00813366">
        <w:rPr>
          <w:sz w:val="24"/>
          <w:szCs w:val="24"/>
        </w:rPr>
        <w:t>elevation data from the Apennines and Tibet</w:t>
      </w:r>
      <w:r>
        <w:rPr>
          <w:sz w:val="24"/>
          <w:szCs w:val="24"/>
        </w:rPr>
        <w:t xml:space="preserve">, and </w:t>
      </w:r>
      <w:r w:rsidRPr="00813366">
        <w:rPr>
          <w:sz w:val="24"/>
          <w:szCs w:val="24"/>
        </w:rPr>
        <w:t>how we compared the</w:t>
      </w:r>
      <w:r>
        <w:rPr>
          <w:sz w:val="24"/>
          <w:szCs w:val="24"/>
        </w:rPr>
        <w:t xml:space="preserve">m </w:t>
      </w:r>
      <w:r w:rsidR="004649B8" w:rsidRPr="00813366">
        <w:rPr>
          <w:sz w:val="24"/>
          <w:szCs w:val="24"/>
        </w:rPr>
        <w:t>with our model results.</w:t>
      </w:r>
    </w:p>
    <w:p w14:paraId="3C68049B" w14:textId="428CEE19" w:rsidR="004649B8" w:rsidRDefault="004649B8" w:rsidP="004649B8">
      <w:pPr>
        <w:pStyle w:val="Heading8"/>
        <w:bidi w:val="0"/>
        <w:rPr>
          <w:rFonts w:ascii="Calibri" w:eastAsia="Calibri" w:hAnsi="Calibri" w:cs="Calibri"/>
          <w:b/>
          <w:bCs/>
          <w:color w:val="auto"/>
          <w:sz w:val="28"/>
          <w:szCs w:val="28"/>
        </w:rPr>
      </w:pPr>
      <w:r w:rsidRPr="004649B8">
        <w:rPr>
          <w:rFonts w:ascii="Calibri" w:eastAsia="Calibri" w:hAnsi="Calibri" w:cs="Calibri"/>
          <w:b/>
          <w:bCs/>
          <w:color w:val="auto"/>
          <w:sz w:val="28"/>
          <w:szCs w:val="28"/>
        </w:rPr>
        <w:t xml:space="preserve">2.1. </w:t>
      </w:r>
      <w:r>
        <w:rPr>
          <w:rFonts w:ascii="Calibri" w:eastAsia="Calibri" w:hAnsi="Calibri" w:cs="Calibri"/>
          <w:b/>
          <w:bCs/>
          <w:color w:val="auto"/>
          <w:sz w:val="28"/>
          <w:szCs w:val="28"/>
        </w:rPr>
        <w:t>T</w:t>
      </w:r>
      <w:r w:rsidRPr="004649B8">
        <w:rPr>
          <w:rFonts w:ascii="Calibri" w:eastAsia="Calibri" w:hAnsi="Calibri" w:cs="Calibri"/>
          <w:b/>
          <w:bCs/>
          <w:color w:val="auto"/>
          <w:sz w:val="28"/>
          <w:szCs w:val="28"/>
        </w:rPr>
        <w:t>he Apennines</w:t>
      </w:r>
    </w:p>
    <w:p w14:paraId="2F82AD50" w14:textId="2851BF35" w:rsidR="00102C4E" w:rsidRDefault="00623644" w:rsidP="00877572">
      <w:pPr>
        <w:bidi w:val="0"/>
        <w:spacing w:line="360" w:lineRule="auto"/>
        <w:jc w:val="both"/>
        <w:rPr>
          <w:sz w:val="24"/>
          <w:szCs w:val="24"/>
        </w:rPr>
      </w:pPr>
      <w:r w:rsidRPr="00623644">
        <w:rPr>
          <w:sz w:val="24"/>
          <w:szCs w:val="24"/>
        </w:rPr>
        <w:t>Extensional strain rates in the Apennines were measured along approximately 90 km long and 30 km wide transects. These transects were oriented perpendicular to the mountain chain's strike</w:t>
      </w:r>
      <w:r>
        <w:rPr>
          <w:sz w:val="24"/>
          <w:szCs w:val="24"/>
        </w:rPr>
        <w:fldChar w:fldCharType="begin" w:fldLock="1"/>
      </w:r>
      <w:r>
        <w:rPr>
          <w:sz w:val="24"/>
          <w:szCs w:val="24"/>
        </w:rPr>
        <w:instrText>ADDIN CSL_CITATION {"citationItems":[{"id":"ITEM-1","itemData":{"DOI":"10.1038/ngeo1991","ISSN":"17520894","abstract":"Viscous flow in the deep crust and uppermost mantle can contribute to the accumulation of strain along seismogenic faults in the shallower crust. It is difficult to evaluate this contribution to fault loading because it is unclear whether the viscous deformation occurs in localized shear zones or is more broadly distributed. Furthermore, the rate of strain accumulation by viscous flow has a power law dependence on the stress applied, yet there are few direct estimates of what the power law exponent is, over the long term, for active faults. Here we measure topography and the offset along fault surfaces created during successive episodes of slip on seismically active extensional faults in the Italian Apennines during the Holocene epoch. We show that these data can be used to derive a relationship between the stress driving deformation and the fault strain rate, averaged over about 15 thousand years (kyr). We find that this relationship follows a well-defined power law with an exponent in the range of 3.0-3.3 (1σ). This exponent is consistent with nonlinear viscous deformation in the deep crust and, crucially, strain localization promoted by seismogenic faulting at shallower depths. Although we cannot rule out some distributed deformation, we suggest that fault strain and thus earthquake recurrence in the Apennines is largely controlled by viscous flow in deep, localized shear zones, over many earthquake cycles. © 2013 Macmillan Publishers Limited.","author":[{"dropping-particle":"","family":"Cowie","given":"P. A.","non-dropping-particle":"","parse-names":false,"suffix":""},{"dropping-particle":"","family":"Scholz","given":"C. H.","non-dropping-particle":"","parse-names":false,"suffix":""},{"dropping-particle":"","family":"Roberts","given":"G. P.","non-dropping-particle":"","parse-names":false,"suffix":""},{"dropping-particle":"","family":"Faure Walker","given":"J. P.","non-dropping-particle":"","parse-names":false,"suffix":""},{"dropping-particle":"","family":"Steer","given":"P.","non-dropping-particle":"","parse-names":false,"suffix":""}],"container-title":"Nature Geoscience","id":"ITEM-1","issue":"12","issued":{"date-parts":[["2013"]]},"title":"Viscous roots of active seismogenic faults revealed by geologic slip rate variations","type":"article-journal","volume":"6"},"uris":["http://www.mendeley.com/documents/?uuid=5a1483b4-e804-370d-9c82-8ec4712eaf6a"]}],"mendeley":{"formattedCitation":"&lt;sup&gt;1&lt;/sup&gt;","plainTextFormattedCitation":"1","previouslyFormattedCitation":"&lt;sup&gt;1&lt;/sup&gt;"},"properties":{"noteIndex":0},"schema":"https://github.com/citation-style-language/schema/raw/master/csl-citation.json"}</w:instrText>
      </w:r>
      <w:r>
        <w:rPr>
          <w:sz w:val="24"/>
          <w:szCs w:val="24"/>
        </w:rPr>
        <w:fldChar w:fldCharType="separate"/>
      </w:r>
      <w:r w:rsidRPr="00623644">
        <w:rPr>
          <w:noProof/>
          <w:sz w:val="24"/>
          <w:szCs w:val="24"/>
          <w:vertAlign w:val="superscript"/>
        </w:rPr>
        <w:t>1</w:t>
      </w:r>
      <w:r>
        <w:rPr>
          <w:sz w:val="24"/>
          <w:szCs w:val="24"/>
        </w:rPr>
        <w:fldChar w:fldCharType="end"/>
      </w:r>
      <w:r w:rsidRPr="00623644">
        <w:rPr>
          <w:sz w:val="24"/>
          <w:szCs w:val="24"/>
        </w:rPr>
        <w:t xml:space="preserve">. The extension rates were derived from long-term (15 ± 3 </w:t>
      </w:r>
      <w:proofErr w:type="spellStart"/>
      <w:r w:rsidRPr="00623644">
        <w:rPr>
          <w:sz w:val="24"/>
          <w:szCs w:val="24"/>
        </w:rPr>
        <w:t>kyr</w:t>
      </w:r>
      <w:proofErr w:type="spellEnd"/>
      <w:r w:rsidRPr="00623644">
        <w:rPr>
          <w:sz w:val="24"/>
          <w:szCs w:val="24"/>
        </w:rPr>
        <w:t>) slip rate measurements across exposed fault scarps</w:t>
      </w:r>
      <w:r>
        <w:rPr>
          <w:sz w:val="24"/>
          <w:szCs w:val="24"/>
        </w:rPr>
        <w:fldChar w:fldCharType="begin" w:fldLock="1"/>
      </w:r>
      <w:r>
        <w:rPr>
          <w:sz w:val="24"/>
          <w:szCs w:val="24"/>
        </w:rPr>
        <w:instrText>ADDIN CSL_CITATION {"citationItems":[{"id":"ITEM-1","itemData":{"DOI":"10.1016/j.epsl.2012.01.028","ISSN":"0012821X","abstract":"To investigate the mechanism driving active extension in the central and southern Italian Apennines and the geography of seismic hazard, we compare spatial variations in upper crustal strain-rate measured across exposed fault scarps since 15±3. ka with data on cumulative upper-crustal strain and topographic elevation, and free-air gravity, P-wave tomography and SKS splitting delay times that are a proxy for strain in the mantle. High extensional strain-rates across the Apennines since 15±3. ka (0.4-3.1. mm/yr along 90. km transects) occur in two areas (Lazio-Abruzzo; SE Campania and Basilicata) where values for finite extensional strains that have developed since 2-3. Ma are highest (2-7. km cumulative throw), and where mean elevation in 5×90. km NE-SW boxes is &gt;600. m; the intervening area (NW Campania and Molise) with &lt;600. m mean elevation in 5×90km boxes has extension-rates. &lt;0.4. mm/yr and lower values for finite extensional strains (&lt;2. km cumulative throw). These two areas with high upper-crustal strain-rates overlie mantle that has relatively-long spatially-interpolated SKS delay times (1.2-1.8. s) indicating relatively-high mantle strains and free-air gravity values (140-160. mGals); the intervening area of lower extension-rate has shorter spatially-interpolated SKS delay times (0.8-1.2. s) and lower free-air gravity values (120. mGals). The two areas with high upper crustal strain-rates and strain, mean elevation, and mantle strain, coincide with the northern and southern edges of a slab window in the Tyrrhenian-Apennines subducting plate that has been inferred from published P-wave tomography. Together these correlations suggest that dynamic support of the topography by mantle flow through the slab window may control the present day upper crustal strain-rate field in the Apennines and the geography of seismic hazard in the region. © 2012 Elsevier B.V..","author":[{"dropping-particle":"","family":"Faure Walker","given":"J. P.","non-dropping-particle":"","parse-names":false,"suffix":""},{"dropping-particle":"","family":"Roberts","given":"G. P.","non-dropping-particle":"","parse-names":false,"suffix":""},{"dropping-particle":"","family":"Cowie","given":"P. A.","non-dropping-particle":"","parse-names":false,"suffix":""},{"dropping-particle":"","family":"Papanikolaou","given":"I.","non-dropping-particle":"","parse-names":false,"suffix":""},{"dropping-particle":"","family":"Michetti","given":"A. M.","non-dropping-particle":"","parse-names":false,"suffix":""},{"dropping-particle":"","family":"Sammonds","given":"P.","non-dropping-particle":"","parse-names":false,"suffix":""},{"dropping-particle":"","family":"Wilkinson","given":"M.","non-dropping-particle":"","parse-names":false,"suffix":""},{"dropping-particle":"","family":"McCaffrey","given":"K. J.W.","non-dropping-particle":"","parse-names":false,"suffix":""},{"dropping-particle":"","family":"Phillips","given":"R. J.","non-dropping-particle":"","parse-names":false,"suffix":""}],"container-title":"Earth and Planetary Science Letters","id":"ITEM-1","issued":{"date-parts":[["2012"]]},"title":"Relationship between topography, rates of extension and mantle dynamics in the actively-extending Italian Apennines","type":"article-journal","volume":"325-326"},"uris":["http://www.mendeley.com/documents/?uuid=30f77029-56e0-3c38-bc86-7d1ded23c7b7"]}],"mendeley":{"formattedCitation":"&lt;sup&gt;2&lt;/sup&gt;","plainTextFormattedCitation":"2","previouslyFormattedCitation":"&lt;sup&gt;2&lt;/sup&gt;"},"properties":{"noteIndex":0},"schema":"https://github.com/citation-style-language/schema/raw/master/csl-citation.json"}</w:instrText>
      </w:r>
      <w:r>
        <w:rPr>
          <w:sz w:val="24"/>
          <w:szCs w:val="24"/>
        </w:rPr>
        <w:fldChar w:fldCharType="separate"/>
      </w:r>
      <w:r w:rsidRPr="00623644">
        <w:rPr>
          <w:noProof/>
          <w:sz w:val="24"/>
          <w:szCs w:val="24"/>
          <w:vertAlign w:val="superscript"/>
        </w:rPr>
        <w:t>2</w:t>
      </w:r>
      <w:r>
        <w:rPr>
          <w:sz w:val="24"/>
          <w:szCs w:val="24"/>
        </w:rPr>
        <w:fldChar w:fldCharType="end"/>
      </w:r>
      <w:r w:rsidRPr="00623644">
        <w:rPr>
          <w:sz w:val="24"/>
          <w:szCs w:val="24"/>
        </w:rPr>
        <w:t>.</w:t>
      </w:r>
      <w:r w:rsidR="00877572">
        <w:rPr>
          <w:sz w:val="24"/>
          <w:szCs w:val="24"/>
        </w:rPr>
        <w:t xml:space="preserve"> </w:t>
      </w:r>
      <w:r w:rsidR="00D8136D" w:rsidRPr="00813366">
        <w:rPr>
          <w:sz w:val="24"/>
          <w:szCs w:val="24"/>
        </w:rPr>
        <w:t>The data</w:t>
      </w:r>
      <w:r w:rsidR="00877572">
        <w:rPr>
          <w:sz w:val="24"/>
          <w:szCs w:val="24"/>
        </w:rPr>
        <w:t xml:space="preserve"> from refs.</w:t>
      </w:r>
      <w:r>
        <w:rPr>
          <w:sz w:val="24"/>
          <w:szCs w:val="24"/>
        </w:rPr>
        <w:fldChar w:fldCharType="begin" w:fldLock="1"/>
      </w:r>
      <w:r w:rsidR="00877572">
        <w:rPr>
          <w:sz w:val="24"/>
          <w:szCs w:val="24"/>
        </w:rPr>
        <w:instrText>ADDIN CSL_CITATION {"citationItems":[{"id":"ITEM-1","itemData":{"DOI":"10.1038/ngeo1991","ISSN":"17520894","abstract":"Viscous flow in the deep crust and uppermost mantle can contribute to the accumulation of strain along seismogenic faults in the shallower crust. It is difficult to evaluate this contribution to fault loading because it is unclear whether the viscous deformation occurs in localized shear zones or is more broadly distributed. Furthermore, the rate of strain accumulation by viscous flow has a power law dependence on the stress applied, yet there are few direct estimates of what the power law exponent is, over the long term, for active faults. Here we measure topography and the offset along fault surfaces created during successive episodes of slip on seismically active extensional faults in the Italian Apennines during the Holocene epoch. We show that these data can be used to derive a relationship between the stress driving deformation and the fault strain rate, averaged over about 15 thousand years (kyr). We find that this relationship follows a well-defined power law with an exponent in the range of 3.0-3.3 (1σ). This exponent is consistent with nonlinear viscous deformation in the deep crust and, crucially, strain localization promoted by seismogenic faulting at shallower depths. Although we cannot rule out some distributed deformation, we suggest that fault strain and thus earthquake recurrence in the Apennines is largely controlled by viscous flow in deep, localized shear zones, over many earthquake cycles. © 2013 Macmillan Publishers Limited.","author":[{"dropping-particle":"","family":"Cowie","given":"P. A.","non-dropping-particle":"","parse-names":false,"suffix":""},{"dropping-particle":"","family":"Scholz","given":"C. H.","non-dropping-particle":"","parse-names":false,"suffix":""},{"dropping-particle":"","family":"Roberts","given":"G. P.","non-dropping-particle":"","parse-names":false,"suffix":""},{"dropping-particle":"","family":"Faure Walker","given":"J. P.","non-dropping-particle":"","parse-names":false,"suffix":""},{"dropping-particle":"","family":"Steer","given":"P.","non-dropping-particle":"","parse-names":false,"suffix":""}],"container-title":"Nature Geoscience","id":"ITEM-1","issue":"12","issued":{"date-parts":[["2013"]]},"title":"Viscous roots of active seismogenic faults revealed by geologic slip rate variations","type":"article-journal","volume":"6"},"uris":["http://www.mendeley.com/documents/?uuid=5a1483b4-e804-370d-9c82-8ec4712eaf6a"]},{"id":"ITEM-2","itemData":{"DOI":"10.1016/j.epsl.2012.01.028","ISSN":"0012821X","abstract":"To investigate the mechanism driving active extension in the central and southern Italian Apennines and the geography of seismic hazard, we compare spatial variations in upper crustal strain-rate measured across exposed fault scarps since 15±3. ka with data on cumulative upper-crustal strain and topographic elevation, and free-air gravity, P-wave tomography and SKS splitting delay times that are a proxy for strain in the mantle. High extensional strain-rates across the Apennines since 15±3. ka (0.4-3.1. mm/yr along 90. km transects) occur in two areas (Lazio-Abruzzo; SE Campania and Basilicata) where values for finite extensional strains that have developed since 2-3. Ma are highest (2-7. km cumulative throw), and where mean elevation in 5×90. km NE-SW boxes is &gt;600. m; the intervening area (NW Campania and Molise) with &lt;600. m mean elevation in 5×90km boxes has extension-rates. &lt;0.4. mm/yr and lower values for finite extensional strains (&lt;2. km cumulative throw). These two areas with high upper-crustal strain-rates overlie mantle that has relatively-long spatially-interpolated SKS delay times (1.2-1.8. s) indicating relatively-high mantle strains and free-air gravity values (140-160. mGals); the intervening area of lower extension-rate has shorter spatially-interpolated SKS delay times (0.8-1.2. s) and lower free-air gravity values (120. mGals). The two areas with high upper crustal strain-rates and strain, mean elevation, and mantle strain, coincide with the northern and southern edges of a slab window in the Tyrrhenian-Apennines subducting plate that has been inferred from published P-wave tomography. Together these correlations suggest that dynamic support of the topography by mantle flow through the slab window may control the present day upper crustal strain-rate field in the Apennines and the geography of seismic hazard in the region. © 2012 Elsevier B.V..","author":[{"dropping-particle":"","family":"Faure Walker","given":"J. P.","non-dropping-particle":"","parse-names":false,"suffix":""},{"dropping-particle":"","family":"Roberts","given":"G. P.","non-dropping-particle":"","parse-names":false,"suffix":""},{"dropping-particle":"","family":"Cowie","given":"P. A.","non-dropping-particle":"","parse-names":false,"suffix":""},{"dropping-particle":"","family":"Papanikolaou","given":"I.","non-dropping-particle":"","parse-names":false,"suffix":""},{"dropping-particle":"","family":"Michetti","given":"A. M.","non-dropping-particle":"","parse-names":false,"suffix":""},{"dropping-particle":"","family":"Sammonds","given":"P.","non-dropping-particle":"","parse-names":false,"suffix":""},{"dropping-particle":"","family":"Wilkinson","given":"M.","non-dropping-particle":"","parse-names":false,"suffix":""},{"dropping-particle":"","family":"McCaffrey","given":"K. J.W.","non-dropping-particle":"","parse-names":false,"suffix":""},{"dropping-particle":"","family":"Phillips","given":"R. J.","non-dropping-particle":"","parse-names":false,"suffix":""}],"container-title":"Earth and Planetary Science Letters","id":"ITEM-2","issued":{"date-parts":[["2012"]]},"title":"Relationship between topography, rates of extension and mantle dynamics in the actively-extending Italian Apennines","type":"article-journal","volume":"325-326"},"uris":["http://www.mendeley.com/documents/?uuid=30f77029-56e0-3c38-bc86-7d1ded23c7b7"]}],"mendeley":{"formattedCitation":"&lt;sup&gt;1,2&lt;/sup&gt;","plainTextFormattedCitation":"1,2","previouslyFormattedCitation":"&lt;sup&gt;1,2&lt;/sup&gt;"},"properties":{"noteIndex":0},"schema":"https://github.com/citation-style-language/schema/raw/master/csl-citation.json"}</w:instrText>
      </w:r>
      <w:r>
        <w:rPr>
          <w:sz w:val="24"/>
          <w:szCs w:val="24"/>
        </w:rPr>
        <w:fldChar w:fldCharType="separate"/>
      </w:r>
      <w:r w:rsidRPr="00623644">
        <w:rPr>
          <w:noProof/>
          <w:sz w:val="24"/>
          <w:szCs w:val="24"/>
          <w:vertAlign w:val="superscript"/>
        </w:rPr>
        <w:t>1,2</w:t>
      </w:r>
      <w:r>
        <w:rPr>
          <w:sz w:val="24"/>
          <w:szCs w:val="24"/>
        </w:rPr>
        <w:fldChar w:fldCharType="end"/>
      </w:r>
      <w:r w:rsidR="00D8136D" w:rsidRPr="00813366">
        <w:rPr>
          <w:sz w:val="24"/>
          <w:szCs w:val="24"/>
        </w:rPr>
        <w:t xml:space="preserve"> also includes the mean elevation</w:t>
      </w:r>
      <w:r w:rsidR="000B79AF">
        <w:rPr>
          <w:sz w:val="24"/>
          <w:szCs w:val="24"/>
        </w:rPr>
        <w:t xml:space="preserve"> </w:t>
      </w:r>
      <m:oMath>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mean</m:t>
            </m:r>
          </m:sub>
        </m:sSub>
        <m:r>
          <w:rPr>
            <w:rFonts w:ascii="Cambria Math" w:hAnsi="Cambria Math"/>
            <w:sz w:val="24"/>
            <w:szCs w:val="24"/>
          </w:rPr>
          <m:t>)</m:t>
        </m:r>
      </m:oMath>
      <w:r w:rsidR="00D8136D" w:rsidRPr="00813366">
        <w:rPr>
          <w:sz w:val="24"/>
          <w:szCs w:val="24"/>
        </w:rPr>
        <w:t xml:space="preserve"> along each transect</w:t>
      </w:r>
      <w:r w:rsidR="00967AC2" w:rsidRPr="00813366">
        <w:rPr>
          <w:sz w:val="24"/>
          <w:szCs w:val="24"/>
        </w:rPr>
        <w:t xml:space="preserve">. </w:t>
      </w:r>
      <w:r w:rsidR="00D8136D" w:rsidRPr="00813366">
        <w:rPr>
          <w:sz w:val="24"/>
          <w:szCs w:val="24"/>
        </w:rPr>
        <w:t xml:space="preserve">Our model uses the maximum </w:t>
      </w:r>
      <w:r w:rsidR="00D8136D" w:rsidRPr="00ED6B3D">
        <w:rPr>
          <w:sz w:val="24"/>
          <w:szCs w:val="24"/>
        </w:rPr>
        <w:t>topography (</w:t>
      </w:r>
      <m:oMath>
        <m:r>
          <w:rPr>
            <w:rFonts w:ascii="Cambria Math" w:hAnsi="Cambria Math"/>
            <w:sz w:val="24"/>
            <w:szCs w:val="24"/>
          </w:rPr>
          <m:t>h</m:t>
        </m:r>
      </m:oMath>
      <w:r w:rsidR="00D8136D" w:rsidRPr="00C359D8">
        <w:rPr>
          <w:sz w:val="24"/>
          <w:szCs w:val="24"/>
        </w:rPr>
        <w:t>)</w:t>
      </w:r>
      <w:r w:rsidR="00D8136D" w:rsidRPr="00ED6B3D">
        <w:rPr>
          <w:sz w:val="24"/>
          <w:szCs w:val="24"/>
        </w:rPr>
        <w:t xml:space="preserve"> and</w:t>
      </w:r>
      <w:r w:rsidR="00D8136D" w:rsidRPr="00813366">
        <w:rPr>
          <w:sz w:val="24"/>
          <w:szCs w:val="24"/>
        </w:rPr>
        <w:t xml:space="preserve"> mountain slope length (</w:t>
      </w:r>
      <w:r w:rsidR="001C3389">
        <w:rPr>
          <w:i/>
          <w:iCs/>
          <w:sz w:val="24"/>
          <w:szCs w:val="24"/>
        </w:rPr>
        <w:t>W</w:t>
      </w:r>
      <w:r w:rsidR="00D8136D" w:rsidRPr="00813366">
        <w:rPr>
          <w:sz w:val="24"/>
          <w:szCs w:val="24"/>
        </w:rPr>
        <w:t xml:space="preserve">) </w:t>
      </w:r>
      <w:r w:rsidR="00102C4E" w:rsidRPr="00102C4E">
        <w:rPr>
          <w:sz w:val="24"/>
          <w:szCs w:val="24"/>
        </w:rPr>
        <w:t>as inputs to compute the extensional velocity of the upper crust, or equivalently, the strain rate along the slope</w:t>
      </w:r>
      <w:r w:rsidR="00D8136D" w:rsidRPr="00813366">
        <w:rPr>
          <w:sz w:val="24"/>
          <w:szCs w:val="24"/>
        </w:rPr>
        <w:t xml:space="preserve"> (Fig</w:t>
      </w:r>
      <w:r w:rsidR="00894C45">
        <w:rPr>
          <w:sz w:val="24"/>
          <w:szCs w:val="24"/>
        </w:rPr>
        <w:t>.</w:t>
      </w:r>
      <w:r w:rsidR="00D8136D" w:rsidRPr="00813366">
        <w:rPr>
          <w:sz w:val="24"/>
          <w:szCs w:val="24"/>
        </w:rPr>
        <w:t xml:space="preserve"> 2</w:t>
      </w:r>
      <w:r w:rsidR="004A1803">
        <w:rPr>
          <w:sz w:val="24"/>
          <w:szCs w:val="24"/>
        </w:rPr>
        <w:t xml:space="preserve"> and </w:t>
      </w:r>
      <w:r w:rsidR="004A1803" w:rsidRPr="00A261C6">
        <w:rPr>
          <w:sz w:val="24"/>
          <w:szCs w:val="24"/>
        </w:rPr>
        <w:t>Supplementary Fig</w:t>
      </w:r>
      <w:r w:rsidR="00894C45">
        <w:rPr>
          <w:sz w:val="24"/>
          <w:szCs w:val="24"/>
        </w:rPr>
        <w:t>. 6</w:t>
      </w:r>
      <w:r w:rsidR="00D8136D" w:rsidRPr="00813366">
        <w:rPr>
          <w:sz w:val="24"/>
          <w:szCs w:val="24"/>
        </w:rPr>
        <w:t>).</w:t>
      </w:r>
      <w:r w:rsidR="000B79AF">
        <w:rPr>
          <w:sz w:val="24"/>
          <w:szCs w:val="24"/>
        </w:rPr>
        <w:t xml:space="preserve"> </w:t>
      </w:r>
      <w:r w:rsidR="00877572">
        <w:rPr>
          <w:sz w:val="24"/>
          <w:szCs w:val="24"/>
        </w:rPr>
        <w:t xml:space="preserve"> </w:t>
      </w:r>
    </w:p>
    <w:p w14:paraId="4E9E8DE6" w14:textId="33595393" w:rsidR="00102C4E" w:rsidRPr="00661B47" w:rsidRDefault="00BF3DAC" w:rsidP="0012354C">
      <w:pPr>
        <w:bidi w:val="0"/>
        <w:spacing w:line="360" w:lineRule="auto"/>
        <w:jc w:val="both"/>
        <w:rPr>
          <w:b/>
          <w:bCs/>
          <w:sz w:val="24"/>
          <w:szCs w:val="24"/>
        </w:rPr>
      </w:pPr>
      <w:r>
        <w:rPr>
          <w:sz w:val="24"/>
          <w:szCs w:val="24"/>
        </w:rPr>
        <w:t>We assume t</w:t>
      </w:r>
      <w:r w:rsidR="000B79AF" w:rsidRPr="000B79AF">
        <w:rPr>
          <w:sz w:val="24"/>
          <w:szCs w:val="24"/>
        </w:rPr>
        <w:t>he maximum topography</w:t>
      </w:r>
      <w:r w:rsidR="000B79AF">
        <w:rPr>
          <w:sz w:val="24"/>
          <w:szCs w:val="24"/>
        </w:rPr>
        <w:t xml:space="preserve"> </w:t>
      </w:r>
      <w:r w:rsidR="000B79AF" w:rsidRPr="00813366">
        <w:rPr>
          <w:sz w:val="24"/>
          <w:szCs w:val="24"/>
        </w:rPr>
        <w:t>(</w:t>
      </w:r>
      <m:oMath>
        <m:r>
          <w:rPr>
            <w:rFonts w:ascii="Cambria Math" w:hAnsi="Cambria Math"/>
            <w:sz w:val="24"/>
            <w:szCs w:val="24"/>
          </w:rPr>
          <m:t>h</m:t>
        </m:r>
      </m:oMath>
      <w:r w:rsidR="000B79AF" w:rsidRPr="00813366">
        <w:rPr>
          <w:sz w:val="24"/>
          <w:szCs w:val="24"/>
        </w:rPr>
        <w:t>)</w:t>
      </w:r>
      <w:r w:rsidR="000B79AF">
        <w:rPr>
          <w:sz w:val="24"/>
          <w:szCs w:val="24"/>
        </w:rPr>
        <w:t xml:space="preserve"> </w:t>
      </w:r>
      <w:r w:rsidR="000B79AF" w:rsidRPr="000B79AF">
        <w:rPr>
          <w:sz w:val="24"/>
          <w:szCs w:val="24"/>
        </w:rPr>
        <w:t>at each transect is approximately twice the mean elevation</w:t>
      </w:r>
      <w:r w:rsidR="000B79AF">
        <w:rPr>
          <w:sz w:val="24"/>
          <w:szCs w:val="24"/>
        </w:rPr>
        <w:t xml:space="preserve"> (</w:t>
      </w: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mean</m:t>
            </m:r>
          </m:sub>
        </m:sSub>
        <m:r>
          <w:rPr>
            <w:rFonts w:ascii="Cambria Math" w:hAnsi="Cambria Math"/>
            <w:sz w:val="24"/>
            <w:szCs w:val="24"/>
          </w:rPr>
          <m:t>)</m:t>
        </m:r>
      </m:oMath>
      <w:r w:rsidR="000B79AF">
        <w:rPr>
          <w:sz w:val="24"/>
          <w:szCs w:val="24"/>
        </w:rPr>
        <w:t xml:space="preserve"> </w:t>
      </w:r>
      <w:r w:rsidR="000B79AF" w:rsidRPr="000B79AF">
        <w:rPr>
          <w:sz w:val="24"/>
          <w:szCs w:val="24"/>
        </w:rPr>
        <w:t xml:space="preserve"> of the transect</w:t>
      </w:r>
      <w:r w:rsidR="0012354C">
        <w:rPr>
          <w:sz w:val="24"/>
          <w:szCs w:val="24"/>
        </w:rPr>
        <w:t>,</w:t>
      </w:r>
      <w:r w:rsidR="000B79AF" w:rsidRPr="000B79AF">
        <w:rPr>
          <w:sz w:val="24"/>
          <w:szCs w:val="24"/>
        </w:rPr>
        <w:t xml:space="preserve"> </w:t>
      </w:r>
      <w:r w:rsidR="0012354C" w:rsidRPr="0012354C">
        <w:rPr>
          <w:sz w:val="24"/>
          <w:szCs w:val="24"/>
        </w:rPr>
        <w:t>as illustrated by the red and blue topographic profiles in Fig. 1a, c.</w:t>
      </w:r>
      <w:r>
        <w:rPr>
          <w:sz w:val="24"/>
          <w:szCs w:val="24"/>
        </w:rPr>
        <w:t xml:space="preserve"> </w:t>
      </w:r>
      <w:r w:rsidR="00E7162F" w:rsidRPr="00102C4E">
        <w:rPr>
          <w:sz w:val="24"/>
          <w:szCs w:val="24"/>
        </w:rPr>
        <w:t>The</w:t>
      </w:r>
      <w:r w:rsidR="00102C4E" w:rsidRPr="00102C4E">
        <w:rPr>
          <w:sz w:val="24"/>
          <w:szCs w:val="24"/>
        </w:rPr>
        <w:t xml:space="preserve"> mountain slope length</w:t>
      </w:r>
      <w:r w:rsidR="00102C4E">
        <w:rPr>
          <w:sz w:val="24"/>
          <w:szCs w:val="24"/>
        </w:rPr>
        <w:t xml:space="preserve"> </w:t>
      </w:r>
      <w:r w:rsidR="00102C4E" w:rsidRPr="00813366">
        <w:rPr>
          <w:sz w:val="24"/>
          <w:szCs w:val="24"/>
        </w:rPr>
        <w:t>(</w:t>
      </w:r>
      <w:r w:rsidR="001C3389">
        <w:rPr>
          <w:i/>
          <w:iCs/>
          <w:sz w:val="24"/>
          <w:szCs w:val="24"/>
        </w:rPr>
        <w:t>W</w:t>
      </w:r>
      <w:r w:rsidR="00102C4E" w:rsidRPr="00813366">
        <w:rPr>
          <w:sz w:val="24"/>
          <w:szCs w:val="24"/>
        </w:rPr>
        <w:t>)</w:t>
      </w:r>
      <w:r w:rsidR="00102C4E">
        <w:rPr>
          <w:sz w:val="24"/>
          <w:szCs w:val="24"/>
        </w:rPr>
        <w:t xml:space="preserve"> </w:t>
      </w:r>
      <w:r w:rsidR="00102C4E" w:rsidRPr="00102C4E">
        <w:rPr>
          <w:sz w:val="24"/>
          <w:szCs w:val="24"/>
        </w:rPr>
        <w:t xml:space="preserve">was measured for each transect and ranges between 40–60 </w:t>
      </w:r>
      <w:r w:rsidR="0012354C" w:rsidRPr="00102C4E">
        <w:rPr>
          <w:sz w:val="24"/>
          <w:szCs w:val="24"/>
        </w:rPr>
        <w:t>km</w:t>
      </w:r>
      <w:r w:rsidR="0012354C">
        <w:rPr>
          <w:sz w:val="24"/>
          <w:szCs w:val="24"/>
        </w:rPr>
        <w:t>, as</w:t>
      </w:r>
      <w:r w:rsidR="0012354C" w:rsidRPr="0012354C">
        <w:rPr>
          <w:sz w:val="24"/>
          <w:szCs w:val="24"/>
        </w:rPr>
        <w:t xml:space="preserve"> exemplified by the red and blue profiles.</w:t>
      </w:r>
      <w:r w:rsidR="0012354C">
        <w:rPr>
          <w:sz w:val="24"/>
          <w:szCs w:val="24"/>
        </w:rPr>
        <w:t xml:space="preserve"> </w:t>
      </w:r>
      <w:r w:rsidR="00102C4E" w:rsidRPr="00102C4E">
        <w:rPr>
          <w:sz w:val="24"/>
          <w:szCs w:val="24"/>
        </w:rPr>
        <w:t>Using these values, we calculated the extensional velocity of the upper crust</w:t>
      </w:r>
      <w:r w:rsidR="00661B47">
        <w:rPr>
          <w:sz w:val="24"/>
          <w:szCs w:val="24"/>
        </w:rPr>
        <w:t xml:space="preserve"> </w:t>
      </w:r>
      <w:r w:rsidR="00661B47" w:rsidRPr="00813366">
        <w:rPr>
          <w:sz w:val="24"/>
          <w:szCs w:val="24"/>
        </w:rPr>
        <w:t>(</w:t>
      </w:r>
      <w:r w:rsidR="00661B47">
        <w:rPr>
          <w:sz w:val="24"/>
          <w:szCs w:val="24"/>
        </w:rPr>
        <w:t xml:space="preserve">equation </w:t>
      </w:r>
      <w:r w:rsidR="00894C45">
        <w:rPr>
          <w:sz w:val="24"/>
          <w:szCs w:val="24"/>
        </w:rPr>
        <w:t>(</w:t>
      </w:r>
      <w:r w:rsidR="00661B47">
        <w:rPr>
          <w:sz w:val="24"/>
          <w:szCs w:val="24"/>
        </w:rPr>
        <w:t>2</w:t>
      </w:r>
      <w:r w:rsidR="00197DAD">
        <w:rPr>
          <w:sz w:val="24"/>
          <w:szCs w:val="24"/>
        </w:rPr>
        <w:t>2</w:t>
      </w:r>
      <w:r w:rsidR="00894C45">
        <w:rPr>
          <w:sz w:val="24"/>
          <w:szCs w:val="24"/>
        </w:rPr>
        <w:t>)</w:t>
      </w:r>
      <w:r w:rsidR="00661B47">
        <w:rPr>
          <w:sz w:val="24"/>
          <w:szCs w:val="24"/>
        </w:rPr>
        <w:t xml:space="preserve">, </w:t>
      </w:r>
      <w:r w:rsidR="00661B47" w:rsidRPr="000B79AF">
        <w:rPr>
          <w:i/>
          <w:iCs/>
          <w:sz w:val="24"/>
          <w:szCs w:val="24"/>
        </w:rPr>
        <w:t>u</w:t>
      </w:r>
      <w:r w:rsidR="00661B47" w:rsidRPr="000B79AF">
        <w:rPr>
          <w:i/>
          <w:iCs/>
          <w:sz w:val="24"/>
          <w:szCs w:val="24"/>
          <w:vertAlign w:val="subscript"/>
        </w:rPr>
        <w:t>1</w:t>
      </w:r>
      <w:r w:rsidR="00661B47" w:rsidRPr="00813366">
        <w:rPr>
          <w:sz w:val="24"/>
          <w:szCs w:val="24"/>
        </w:rPr>
        <w:t xml:space="preserve"> in Figure 2)</w:t>
      </w:r>
      <w:r w:rsidR="00661B47">
        <w:rPr>
          <w:sz w:val="24"/>
          <w:szCs w:val="24"/>
        </w:rPr>
        <w:t xml:space="preserve">. </w:t>
      </w:r>
      <w:r w:rsidR="00661B47" w:rsidRPr="00661B47">
        <w:rPr>
          <w:sz w:val="24"/>
          <w:szCs w:val="24"/>
        </w:rPr>
        <w:t>Since strain is calculated for a 90 km transect, we divide the modeled extensional velocity (</w:t>
      </w:r>
      <w:r w:rsidR="00661B47" w:rsidRPr="000B79AF">
        <w:rPr>
          <w:i/>
          <w:iCs/>
          <w:sz w:val="24"/>
          <w:szCs w:val="24"/>
        </w:rPr>
        <w:t>u</w:t>
      </w:r>
      <w:r w:rsidR="00661B47" w:rsidRPr="000B79AF">
        <w:rPr>
          <w:i/>
          <w:iCs/>
          <w:sz w:val="24"/>
          <w:szCs w:val="24"/>
          <w:vertAlign w:val="subscript"/>
        </w:rPr>
        <w:t>1</w:t>
      </w:r>
      <w:r w:rsidR="00661B47" w:rsidRPr="00661B47">
        <w:rPr>
          <w:sz w:val="24"/>
          <w:szCs w:val="24"/>
        </w:rPr>
        <w:t>​) by 90 km to compare the modeled and measured strain rates for each transect.</w:t>
      </w:r>
    </w:p>
    <w:p w14:paraId="1A6744C0" w14:textId="7A9A8AE4" w:rsidR="0043659B" w:rsidRPr="00661B47" w:rsidRDefault="006F5DC0" w:rsidP="000B79AF">
      <w:pPr>
        <w:bidi w:val="0"/>
        <w:spacing w:line="360" w:lineRule="auto"/>
        <w:jc w:val="both"/>
        <w:rPr>
          <w:sz w:val="28"/>
          <w:szCs w:val="28"/>
          <w:rtl/>
          <w:lang w:bidi="ar-SY"/>
        </w:rPr>
      </w:pPr>
      <w:r w:rsidRPr="00661B47">
        <w:rPr>
          <w:sz w:val="24"/>
          <w:szCs w:val="24"/>
        </w:rPr>
        <w:t>The thickness of the brittle upper crust in the Apennines is 13-16 km</w:t>
      </w:r>
      <w:r w:rsidRPr="00661B47">
        <w:rPr>
          <w:sz w:val="24"/>
          <w:szCs w:val="24"/>
        </w:rPr>
        <w:fldChar w:fldCharType="begin" w:fldLock="1"/>
      </w:r>
      <w:r w:rsidR="00623644">
        <w:rPr>
          <w:sz w:val="24"/>
          <w:szCs w:val="24"/>
        </w:rPr>
        <w:instrText>ADDIN CSL_CITATION {"citationItems":[{"id":"ITEM-1","itemData":{"DOI":"10.1111/ter.12233","ISSN":"13653121","abstract":"The thickness of the seismogenic layer is a key parameter for seismic hazard, since it can be used to constrain the maximum depth of faulting and the potential magnitude. In this study, we compute the seismogenic thickness in the Italian region by defining the lower seismicity cut-off, using high-quality hypocentral locations of earthquakes that occurred in the past decade. Along the eastern Alps, the seismogenic thickness is about 12–14 km, laterally homogeneous along the entire south-verging thrust front. In the Apennines extensional belt, lateral changes in seismogenic thickness are evident, and correlate with changes in the seismic energy released by past earthquakes. The potential magnitude is larger in the southern Apennines where the seismogenic thickness is greater (16–18 km) than in the northern Apennines where it is less (6–10 km) and seismic energy is partially released by the creeping of faults.","author":[{"dropping-particle":"","family":"Chiarabba","given":"Claudio","non-dropping-particle":"","parse-names":false,"suffix":""},{"dropping-particle":"","family":"Gori","given":"Pasquale","non-dropping-particle":"De","parse-names":false,"suffix":""}],"container-title":"Terra Nova","id":"ITEM-1","issue":"6","issued":{"date-parts":[["2016"]]},"title":"The seismogenic thickness in Italy: constraints on potential magnitude and seismic hazard","type":"article-journal","volume":"28"},"uris":["http://www.mendeley.com/documents/?uuid=945217fc-ac77-3ffa-915f-6c58b45af9ba"]},{"id":"ITEM-2","itemData":{"DOI":"10.3301/IJG.2009.128.2.367","ISSN":"00378763","abstract":"We analyse the instrumental seismicity of the Abruzzo region in the period 1981-2003 in order to obtain a catalogue as homogeneous as possible in terms of location procedure and quality of the results. We analyse four temporal dataseis: 1981-1991; 1992-1996; 19971999 and 2000-2003. The 1981-1991 dataset is taken from the CSTI catalogue, opportunely selected by using quality criteria. The datasets from 1992 to 2003 are relocated by integrating the recordings of the national seismic network with the recordings of the local Abruzzo seismic network (operating from 1992 to 1999). Particular attention is paid to the velocity models, in order to account for the different stratigraphic/tectonic domains which characterize the Abruzzo region. In particular, we used 8 velocity models, applied to stations or groups of stations lying within relatively homogeneous areas. We obtained a database, selected for RMS s0.5s and hypocentral errors ≤5 km, of 985 events with 0.5≤M≤4.4 plus two events of moderate magnitude (Mw=5.9, Mw=5.5) corresponding to the largest shocks of the May 1984 Sangro Valley seismic sequence. We also computed 17 new focal mechanisms. The seismotectonic implications mainly concern the thickness of the seismogenic layer. A robust statistical estimate of the base of the seismogenic layer is given by the depth above which the 90% of seismicity occurs (D 90). The maximum thickness (15-17 km) is found in the eastern Abruzzo Apennines (surface heat flow ≤40 mW/m2). A thickness of 12-14 km is found in the western Abruzzo Apennines (40&lt; surface heat flow s60 mW/m2). The observed depths are consistent with independent rheological data (B-D transition). The connection between the background seismicity and the geometry at depth of the active faults is Feasible only rarely (e.g. M. Gorzano normal fault in northern Abruzzo). More often the seismicity is spread within the seismogenic volume. Locally, it concentrates close to structural complexities or defines small seismic sequences activating inherited structures. The active faults south of L'Aquila are almost free from microseismic activity. The new focal mechanisms computed from the 1992-1999 database confirm and reinforce the existence of a dominating extensional regime across the Abruzzo Apennines.","author":[{"dropping-particle":"","family":"Boncio","given":"Paolo","non-dropping-particle":"","parse-names":false,"suffix":""},{"dropping-particle":"","family":"Tinari","given":"Debora Paola","non-dropping-particle":"","parse-names":false,"suffix":""},{"dropping-particle":"","family":"Lavecchia","given":"Giusy","non-dropping-particle":"","parse-names":false,"suffix":""},{"dropping-particle":"","family":"Visini","given":"Francesco","non-dropping-particle":"","parse-names":false,"suffix":""},{"dropping-particle":"","family":"Milana","given":"Giuliano","non-dropping-particle":"","parse-names":false,"suffix":""}],"container-title":"Bollettino della Societa Geologica Italiana","id":"ITEM-2","issue":"2","issued":{"date-parts":[["2009"]]},"title":"The instrumental seismicity of the Abruzzo Region in Central Italy (1981-2003): Seismotectonic implications","type":"article-journal","volume":"128"},"uris":["http://www.mendeley.com/documents/?uuid=efc6d588-0d56-37bd-a243-f0a6dea13b86"]},{"id":"ITEM-3","itemData":{"DOI":"10.1038/s43247-024-01230-z","ISSN":"26624435","abstract":"Physical properties and structure of the lithosphere are the first step to constrain the evolution of mountain belts. Here we show detailed shear wave velocity profiles of the lithosphere in the Apennines that clarify a controversial aspect of continental subduction: the intricate mechanism of crust delamination from the downgoing plate. From the analysis of complete and dense teleseismic Receiver Function data set, we find that the delamination of the continental lithosphere is favored by the development of a low seismic shear wave velocity zone in the middle-lower crust. We observe a double Moho below the external portions of the present mountain range, suggesting the progressive formation of the shallow interface. The delamination edge is located in the forearc, far eastward than expected, implying that the re-equilibration of the thermal unbalance, generated by the mantle substitution, may last 10-7 Myr.","author":[{"dropping-particle":"","family":"Menichelli","given":"Irene","non-dropping-particle":"","parse-names":false,"suffix":""},{"dropping-particle":"","family":"Bianchi","given":"Irene","non-dropping-particle":"","parse-names":false,"suffix":""},{"dropping-particle":"","family":"Chiarabba","given":"Claudio","non-dropping-particle":"","parse-names":false,"suffix":""}],"container-title":"Communications Earth and Environment","id":"ITEM-3","issue":"1","issued":{"date-parts":[["2024"]]},"title":"A lower crust shear zone facilitates delamination and continental subduction under the Apennines","type":"article-journal","volume":"5"},"uris":["http://www.mendeley.com/documents/?uuid=5f4bc93a-6f53-3a05-b57f-a358db903f46"]}],"mendeley":{"formattedCitation":"&lt;sup&gt;3–5&lt;/sup&gt;","plainTextFormattedCitation":"3–5","previouslyFormattedCitation":"&lt;sup&gt;3–5&lt;/sup&gt;"},"properties":{"noteIndex":0},"schema":"https://github.com/citation-style-language/schema/raw/master/csl-citation.json"}</w:instrText>
      </w:r>
      <w:r w:rsidRPr="00661B47">
        <w:rPr>
          <w:sz w:val="24"/>
          <w:szCs w:val="24"/>
        </w:rPr>
        <w:fldChar w:fldCharType="separate"/>
      </w:r>
      <w:r w:rsidR="00623644" w:rsidRPr="00623644">
        <w:rPr>
          <w:noProof/>
          <w:sz w:val="24"/>
          <w:szCs w:val="24"/>
          <w:vertAlign w:val="superscript"/>
        </w:rPr>
        <w:t>3–5</w:t>
      </w:r>
      <w:r w:rsidRPr="00661B47">
        <w:rPr>
          <w:sz w:val="24"/>
          <w:szCs w:val="24"/>
        </w:rPr>
        <w:fldChar w:fldCharType="end"/>
      </w:r>
      <w:r w:rsidRPr="00661B47">
        <w:rPr>
          <w:sz w:val="24"/>
          <w:szCs w:val="24"/>
        </w:rPr>
        <w:t>. In our model, we use 1</w:t>
      </w:r>
      <w:r w:rsidR="009C3651">
        <w:rPr>
          <w:sz w:val="24"/>
          <w:szCs w:val="24"/>
        </w:rPr>
        <w:t>3</w:t>
      </w:r>
      <w:r w:rsidRPr="00661B47">
        <w:rPr>
          <w:sz w:val="24"/>
          <w:szCs w:val="24"/>
        </w:rPr>
        <w:t xml:space="preserve"> km as the thickness of the brittle upper crust (</w:t>
      </w: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BUC</m:t>
            </m:r>
          </m:sub>
        </m:sSub>
      </m:oMath>
      <w:r w:rsidRPr="00661B47">
        <w:rPr>
          <w:sz w:val="24"/>
          <w:szCs w:val="24"/>
        </w:rPr>
        <w:t>).</w:t>
      </w:r>
      <w:r w:rsidR="00A5591A" w:rsidRPr="00661B47">
        <w:rPr>
          <w:sz w:val="24"/>
          <w:szCs w:val="24"/>
        </w:rPr>
        <w:t xml:space="preserve"> </w:t>
      </w:r>
      <w:r w:rsidRPr="00661B47">
        <w:rPr>
          <w:sz w:val="24"/>
          <w:szCs w:val="24"/>
        </w:rPr>
        <w:t>For the temperature of the weak crustal layer</w:t>
      </w:r>
      <w:r w:rsidR="00661B47">
        <w:rPr>
          <w:sz w:val="24"/>
          <w:szCs w:val="24"/>
        </w:rPr>
        <w:t xml:space="preserve"> (equation </w:t>
      </w:r>
      <w:r w:rsidR="00894C45">
        <w:rPr>
          <w:sz w:val="24"/>
          <w:szCs w:val="24"/>
        </w:rPr>
        <w:t>(</w:t>
      </w:r>
      <w:r w:rsidR="00661B47">
        <w:rPr>
          <w:sz w:val="24"/>
          <w:szCs w:val="24"/>
        </w:rPr>
        <w:t>24</w:t>
      </w:r>
      <w:r w:rsidR="00894C45">
        <w:rPr>
          <w:sz w:val="24"/>
          <w:szCs w:val="24"/>
        </w:rPr>
        <w:t>)</w:t>
      </w:r>
      <w:r w:rsidR="00661B47">
        <w:rPr>
          <w:sz w:val="24"/>
          <w:szCs w:val="24"/>
        </w:rPr>
        <w:t>)</w:t>
      </w:r>
      <w:r w:rsidRPr="00661B47">
        <w:rPr>
          <w:sz w:val="24"/>
          <w:szCs w:val="24"/>
        </w:rPr>
        <w:t xml:space="preserve">, we </w:t>
      </w:r>
      <w:r w:rsidR="00661B47">
        <w:rPr>
          <w:sz w:val="24"/>
          <w:szCs w:val="24"/>
        </w:rPr>
        <w:t>assume</w:t>
      </w:r>
      <w:r w:rsidRPr="00661B47">
        <w:rPr>
          <w:sz w:val="24"/>
          <w:szCs w:val="24"/>
        </w:rPr>
        <w:t xml:space="preserve">: an average surface heat flow of 50 </w:t>
      </w:r>
      <w:proofErr w:type="spellStart"/>
      <w:r w:rsidRPr="00661B47">
        <w:rPr>
          <w:sz w:val="24"/>
          <w:szCs w:val="24"/>
        </w:rPr>
        <w:t>m</w:t>
      </w:r>
      <w:r w:rsidR="00A5591A" w:rsidRPr="00661B47">
        <w:rPr>
          <w:sz w:val="24"/>
          <w:szCs w:val="24"/>
        </w:rPr>
        <w:t>·</w:t>
      </w:r>
      <w:r w:rsidRPr="00661B47">
        <w:rPr>
          <w:sz w:val="24"/>
          <w:szCs w:val="24"/>
        </w:rPr>
        <w:t>W</w:t>
      </w:r>
      <w:proofErr w:type="spellEnd"/>
      <w:r w:rsidRPr="00661B47">
        <w:rPr>
          <w:sz w:val="24"/>
          <w:szCs w:val="24"/>
        </w:rPr>
        <w:t>/m², typical for this area</w:t>
      </w:r>
      <w:r w:rsidR="00A5591A" w:rsidRPr="00661B47">
        <w:rPr>
          <w:sz w:val="24"/>
          <w:szCs w:val="24"/>
        </w:rPr>
        <w:fldChar w:fldCharType="begin" w:fldLock="1"/>
      </w:r>
      <w:r w:rsidR="00623644">
        <w:rPr>
          <w:sz w:val="24"/>
          <w:szCs w:val="24"/>
        </w:rPr>
        <w:instrText>ADDIN CSL_CITATION {"citationItems":[{"id":"ITEM-1","itemData":{"DOI":"10.1007/978-94-015-9829-3","abstract":"Figure 3.3 Synthetic structural-kinematic map of Italy -- Fig. 4.3. Maps showing a P-wave velocity model for the upper mantle structure beneath Italy -- Fig. 4.5. Cross sections through the Apennines -- Fig. 7.2. Heat flow map of Italy and surrounding seas -- Fig. 7.4. Upper crust thermal sections across the Northern and Southern Apennines -- Fig. 11.1. Map showing a tectonic scheme of Liguride units of the Northern Apennines -- Fig. 27.3. Moment release from large historical earthquakes, 1000 to 1990 and Moment release from instrumental earthquakes, 1985 to 1996 -- Fig. 27.8. [Seismogenic faulting, moment release patterns, and transverse lineaments along the central and southern Apennines].","container-title":"Anatomy of an Orogen: the Apennines and Adjacent Mediterranean Basins","id":"ITEM-1","issued":{"date-parts":[["2001"]]},"title":"Anatomy of an Orogen: the Apennines and Adjacent Mediterranean Basins","type":"book"},"uris":["http://www.mendeley.com/documents/?uuid=9742f478-6313-3b5d-8162-0b90a16f67c6"]}],"mendeley":{"formattedCitation":"&lt;sup&gt;6&lt;/sup&gt;","plainTextFormattedCitation":"6","previouslyFormattedCitation":"&lt;sup&gt;6&lt;/sup&gt;"},"properties":{"noteIndex":0},"schema":"https://github.com/citation-style-language/schema/raw/master/csl-citation.json"}</w:instrText>
      </w:r>
      <w:r w:rsidR="00A5591A" w:rsidRPr="00661B47">
        <w:rPr>
          <w:sz w:val="24"/>
          <w:szCs w:val="24"/>
        </w:rPr>
        <w:fldChar w:fldCharType="separate"/>
      </w:r>
      <w:r w:rsidR="00623644" w:rsidRPr="00623644">
        <w:rPr>
          <w:noProof/>
          <w:sz w:val="24"/>
          <w:szCs w:val="24"/>
          <w:vertAlign w:val="superscript"/>
        </w:rPr>
        <w:t>6</w:t>
      </w:r>
      <w:r w:rsidR="00A5591A" w:rsidRPr="00661B47">
        <w:rPr>
          <w:sz w:val="24"/>
          <w:szCs w:val="24"/>
        </w:rPr>
        <w:fldChar w:fldCharType="end"/>
      </w:r>
      <w:r w:rsidRPr="00661B47">
        <w:rPr>
          <w:sz w:val="24"/>
          <w:szCs w:val="24"/>
        </w:rPr>
        <w:t>, to derive the temperature versus depth through the upper crust, assuming a surface temperature of 10°C, crustal heat production of 1×10⁻⁶ W/m³, and thermal conductivity of 2.5 J/</w:t>
      </w:r>
      <w:proofErr w:type="spellStart"/>
      <w:r w:rsidRPr="00661B47">
        <w:rPr>
          <w:sz w:val="24"/>
          <w:szCs w:val="24"/>
        </w:rPr>
        <w:t>s·m·K</w:t>
      </w:r>
      <w:proofErr w:type="spellEnd"/>
      <w:r w:rsidRPr="00661B47">
        <w:rPr>
          <w:sz w:val="24"/>
          <w:szCs w:val="24"/>
        </w:rPr>
        <w:t>.</w:t>
      </w:r>
    </w:p>
    <w:p w14:paraId="20742688" w14:textId="32D8A89B" w:rsidR="00214604" w:rsidRDefault="00214604" w:rsidP="00214604">
      <w:pPr>
        <w:pStyle w:val="Heading8"/>
        <w:bidi w:val="0"/>
        <w:rPr>
          <w:rFonts w:ascii="Calibri" w:eastAsia="Calibri" w:hAnsi="Calibri" w:cs="Calibri"/>
          <w:b/>
          <w:bCs/>
          <w:color w:val="auto"/>
          <w:sz w:val="28"/>
          <w:szCs w:val="28"/>
        </w:rPr>
      </w:pPr>
      <w:r w:rsidRPr="004649B8">
        <w:rPr>
          <w:rFonts w:ascii="Calibri" w:eastAsia="Calibri" w:hAnsi="Calibri" w:cs="Calibri"/>
          <w:b/>
          <w:bCs/>
          <w:color w:val="auto"/>
          <w:sz w:val="28"/>
          <w:szCs w:val="28"/>
        </w:rPr>
        <w:t xml:space="preserve">2.1. </w:t>
      </w:r>
      <w:r>
        <w:rPr>
          <w:rFonts w:ascii="Calibri" w:eastAsia="Calibri" w:hAnsi="Calibri" w:cs="Calibri"/>
          <w:b/>
          <w:bCs/>
          <w:color w:val="auto"/>
          <w:sz w:val="28"/>
          <w:szCs w:val="28"/>
        </w:rPr>
        <w:t xml:space="preserve">The </w:t>
      </w:r>
      <w:bookmarkStart w:id="1" w:name="_Hlk171150624"/>
      <w:r w:rsidRPr="00214604">
        <w:rPr>
          <w:rFonts w:ascii="Calibri" w:eastAsia="Calibri" w:hAnsi="Calibri" w:cs="Calibri"/>
          <w:b/>
          <w:bCs/>
          <w:color w:val="auto"/>
          <w:sz w:val="28"/>
          <w:szCs w:val="28"/>
        </w:rPr>
        <w:t>Tibetan plateau</w:t>
      </w:r>
      <w:bookmarkEnd w:id="1"/>
      <w:r w:rsidR="00877572">
        <w:rPr>
          <w:rFonts w:ascii="Calibri" w:eastAsia="Calibri" w:hAnsi="Calibri" w:cs="Calibri"/>
          <w:b/>
          <w:bCs/>
          <w:color w:val="auto"/>
          <w:sz w:val="28"/>
          <w:szCs w:val="28"/>
        </w:rPr>
        <w:t xml:space="preserve"> </w:t>
      </w:r>
    </w:p>
    <w:p w14:paraId="7B2A199D" w14:textId="2EF54818" w:rsidR="000B744E" w:rsidRDefault="00E7162F" w:rsidP="00CD6C7B">
      <w:pPr>
        <w:bidi w:val="0"/>
        <w:spacing w:line="360" w:lineRule="auto"/>
        <w:jc w:val="both"/>
        <w:rPr>
          <w:b/>
          <w:bCs/>
          <w:sz w:val="24"/>
          <w:szCs w:val="24"/>
        </w:rPr>
      </w:pPr>
      <w:r w:rsidRPr="00E7162F">
        <w:rPr>
          <w:sz w:val="24"/>
          <w:szCs w:val="24"/>
        </w:rPr>
        <w:t xml:space="preserve">Extensional </w:t>
      </w:r>
      <w:r w:rsidR="00813366" w:rsidRPr="00813366">
        <w:rPr>
          <w:sz w:val="24"/>
          <w:szCs w:val="24"/>
        </w:rPr>
        <w:t xml:space="preserve">strain rates in the Tibetan Plateau were measured using GPS velocity along transects oriented parallel to the extension direction. </w:t>
      </w:r>
      <w:r w:rsidR="008B22AE">
        <w:rPr>
          <w:sz w:val="24"/>
          <w:szCs w:val="24"/>
        </w:rPr>
        <w:t>Ref</w:t>
      </w:r>
      <w:r w:rsidR="006A1887">
        <w:rPr>
          <w:sz w:val="24"/>
          <w:szCs w:val="24"/>
        </w:rPr>
        <w:t>.</w:t>
      </w:r>
      <w:r w:rsidR="008B22AE">
        <w:rPr>
          <w:sz w:val="24"/>
          <w:szCs w:val="24"/>
        </w:rPr>
        <w:t xml:space="preserve">7 reports data from </w:t>
      </w:r>
      <w:r w:rsidR="006A1887">
        <w:rPr>
          <w:sz w:val="24"/>
          <w:szCs w:val="24"/>
        </w:rPr>
        <w:t>1</w:t>
      </w:r>
      <w:r w:rsidR="006A1887">
        <w:rPr>
          <w:sz w:val="24"/>
          <w:szCs w:val="24"/>
        </w:rPr>
        <w:t>9</w:t>
      </w:r>
      <w:r w:rsidR="006A1887">
        <w:rPr>
          <w:sz w:val="24"/>
          <w:szCs w:val="24"/>
        </w:rPr>
        <w:t xml:space="preserve"> </w:t>
      </w:r>
      <w:r w:rsidR="008B22AE">
        <w:rPr>
          <w:sz w:val="24"/>
          <w:szCs w:val="24"/>
        </w:rPr>
        <w:t>transacts, e</w:t>
      </w:r>
      <w:r w:rsidR="00813366" w:rsidRPr="00813366">
        <w:rPr>
          <w:sz w:val="24"/>
          <w:szCs w:val="24"/>
        </w:rPr>
        <w:t xml:space="preserve">ach transect </w:t>
      </w:r>
      <w:r w:rsidR="00CD6C7B" w:rsidRPr="00CD6C7B">
        <w:rPr>
          <w:sz w:val="24"/>
          <w:szCs w:val="24"/>
        </w:rPr>
        <w:t>span</w:t>
      </w:r>
      <w:r w:rsidR="008B22AE">
        <w:rPr>
          <w:sz w:val="24"/>
          <w:szCs w:val="24"/>
        </w:rPr>
        <w:t>ning</w:t>
      </w:r>
      <w:r w:rsidR="00CD6C7B" w:rsidRPr="00CD6C7B">
        <w:rPr>
          <w:sz w:val="24"/>
          <w:szCs w:val="24"/>
        </w:rPr>
        <w:t xml:space="preserve"> </w:t>
      </w:r>
      <w:r w:rsidR="00813366" w:rsidRPr="00813366">
        <w:rPr>
          <w:sz w:val="24"/>
          <w:szCs w:val="24"/>
        </w:rPr>
        <w:t xml:space="preserve">700 km </w:t>
      </w:r>
      <w:r w:rsidR="00CD6C7B">
        <w:rPr>
          <w:sz w:val="24"/>
          <w:szCs w:val="24"/>
        </w:rPr>
        <w:t xml:space="preserve">in length </w:t>
      </w:r>
      <w:r w:rsidR="00813366" w:rsidRPr="00813366">
        <w:rPr>
          <w:sz w:val="24"/>
          <w:szCs w:val="24"/>
        </w:rPr>
        <w:t xml:space="preserve">and approximately 50 km </w:t>
      </w:r>
      <w:r w:rsidR="00CD6C7B" w:rsidRPr="00CD6C7B">
        <w:rPr>
          <w:sz w:val="24"/>
          <w:szCs w:val="24"/>
        </w:rPr>
        <w:t>width</w:t>
      </w:r>
      <w:r w:rsidR="0012354C">
        <w:rPr>
          <w:sz w:val="24"/>
          <w:szCs w:val="24"/>
        </w:rPr>
        <w:fldChar w:fldCharType="begin" w:fldLock="1"/>
      </w:r>
      <w:r w:rsidR="00623644">
        <w:rPr>
          <w:sz w:val="24"/>
          <w:szCs w:val="24"/>
        </w:rPr>
        <w:instrText xml:space="preserve">ADDIN CSL_CITATION {"citationItems":[{"id":"ITEM-1","itemData":{"DOI":"10.1016/j.jseaes.2019.03.021","ISSN":"13679120","abstract":"We propose that topography can be used as a proxy for the eastward lateral “glacier-like flow” of the Tibetan crust in the Himalayan-Tibetan orogenic system. Geodetic observations across the Tibetan plateau indicate </w:instrText>
      </w:r>
      <w:r w:rsidR="00623644">
        <w:rPr>
          <w:rFonts w:ascii="Cambria Math" w:hAnsi="Cambria Math" w:cs="Cambria Math"/>
          <w:sz w:val="24"/>
          <w:szCs w:val="24"/>
        </w:rPr>
        <w:instrText>∼</w:instrText>
      </w:r>
      <w:r w:rsidR="00623644">
        <w:rPr>
          <w:sz w:val="24"/>
          <w:szCs w:val="24"/>
        </w:rPr>
        <w:instrText>22 mm/yr of crustal motion with respect to stable Eurasia by considering Newtonian channel flow model. Further, correlation between regional strain rate (ė) and topographic elevation (h) is found to be statistically robust, with stress exponent (n) of 3.03 ± 0.1. Therefore, we suggest that the Tibetan crust follows well defined power-law relation that is consistent with the nonlinear deformation associated with dislocation-creep. Moreover, the predicted viscosity range of the Tibetan crust is consistent with the channel flow model proposed by previous investigators using different approaches in different time scales.","author":[{"dropping-particle":"","family":"Panda","given":"Dibyashakti","non-dropping-particle":"","parse-names":false,"suffix":""},{"dropping-particle":"","family":"Mondal","given":"Amit","non-dropping-particle":"","parse-names":false,"suffix":""},{"dropping-particle":"","family":"Kundu","given":"Bhaskar","non-dropping-particle":"","parse-names":false,"suffix":""}],"container-title":"Journal of Asian Earth Sciences","id":"ITEM-1","issued":{"date-parts":[["2019"]]},"title":"Eastward “glacier-like flow” of the Tibetan crust constrained from power-law rheology","type":"article-journal","volume":"177"},"uris":["http://www.mendeley.com/documents/?uuid=867890b9-ae42-3312-b782-c4325b2f87b8"]}],"mendeley":{"formattedCitation":"&lt;sup&gt;7&lt;/sup&gt;","plainTextFormattedCitation":"7","previouslyFormattedCitation":"&lt;sup&gt;7&lt;/sup&gt;"},"properties":{"noteIndex":0},"schema":"https://github.com/citation-style-language/schema/raw/master/csl-citation.json"}</w:instrText>
      </w:r>
      <w:r w:rsidR="0012354C">
        <w:rPr>
          <w:sz w:val="24"/>
          <w:szCs w:val="24"/>
        </w:rPr>
        <w:fldChar w:fldCharType="separate"/>
      </w:r>
      <w:r w:rsidR="00623644" w:rsidRPr="00623644">
        <w:rPr>
          <w:noProof/>
          <w:sz w:val="24"/>
          <w:szCs w:val="24"/>
          <w:vertAlign w:val="superscript"/>
        </w:rPr>
        <w:t>7</w:t>
      </w:r>
      <w:r w:rsidR="0012354C">
        <w:rPr>
          <w:sz w:val="24"/>
          <w:szCs w:val="24"/>
        </w:rPr>
        <w:fldChar w:fldCharType="end"/>
      </w:r>
      <w:r w:rsidR="00C92B8B">
        <w:rPr>
          <w:sz w:val="24"/>
          <w:szCs w:val="24"/>
        </w:rPr>
        <w:t xml:space="preserve"> </w:t>
      </w:r>
      <w:r w:rsidR="00C92B8B" w:rsidRPr="00A261C6">
        <w:rPr>
          <w:sz w:val="24"/>
          <w:szCs w:val="24"/>
        </w:rPr>
        <w:t>(</w:t>
      </w:r>
      <w:r w:rsidR="00C92B8B" w:rsidRPr="00C92B8B">
        <w:rPr>
          <w:sz w:val="24"/>
          <w:szCs w:val="24"/>
        </w:rPr>
        <w:t>Supplementary Fig</w:t>
      </w:r>
      <w:r w:rsidR="00894C45">
        <w:rPr>
          <w:sz w:val="24"/>
          <w:szCs w:val="24"/>
        </w:rPr>
        <w:t>.</w:t>
      </w:r>
      <w:r w:rsidR="00C92B8B" w:rsidRPr="00C92B8B">
        <w:rPr>
          <w:sz w:val="24"/>
          <w:szCs w:val="24"/>
        </w:rPr>
        <w:t xml:space="preserve"> </w:t>
      </w:r>
      <w:r w:rsidR="00894C45">
        <w:rPr>
          <w:sz w:val="24"/>
          <w:szCs w:val="24"/>
        </w:rPr>
        <w:t>1</w:t>
      </w:r>
      <w:r w:rsidR="00C92B8B" w:rsidRPr="00A261C6">
        <w:rPr>
          <w:sz w:val="24"/>
          <w:szCs w:val="24"/>
        </w:rPr>
        <w:t>)</w:t>
      </w:r>
      <w:r w:rsidR="0012354C">
        <w:rPr>
          <w:sz w:val="24"/>
          <w:szCs w:val="24"/>
        </w:rPr>
        <w:t>.</w:t>
      </w:r>
      <w:r w:rsidR="00813366" w:rsidRPr="00813366">
        <w:rPr>
          <w:sz w:val="24"/>
          <w:szCs w:val="24"/>
        </w:rPr>
        <w:t xml:space="preserve"> </w:t>
      </w:r>
      <w:r w:rsidR="00CD6C7B" w:rsidRPr="00CD6C7B">
        <w:rPr>
          <w:sz w:val="24"/>
          <w:szCs w:val="24"/>
        </w:rPr>
        <w:t xml:space="preserve">The dataset </w:t>
      </w:r>
      <w:r w:rsidR="00BF3DAC">
        <w:rPr>
          <w:sz w:val="24"/>
          <w:szCs w:val="24"/>
        </w:rPr>
        <w:t>from Ref</w:t>
      </w:r>
      <w:r w:rsidR="00877572">
        <w:rPr>
          <w:sz w:val="24"/>
          <w:szCs w:val="24"/>
        </w:rPr>
        <w:t>.</w:t>
      </w:r>
      <w:r w:rsidR="00877572">
        <w:rPr>
          <w:sz w:val="24"/>
          <w:szCs w:val="24"/>
        </w:rPr>
        <w:fldChar w:fldCharType="begin" w:fldLock="1"/>
      </w:r>
      <w:r w:rsidR="00E852C1">
        <w:rPr>
          <w:sz w:val="24"/>
          <w:szCs w:val="24"/>
        </w:rPr>
        <w:instrText xml:space="preserve">ADDIN CSL_CITATION {"citationItems":[{"id":"ITEM-1","itemData":{"DOI":"10.1016/j.jseaes.2019.03.021","ISSN":"13679120","abstract":"We propose that topography can be used as a proxy for the eastward lateral “glacier-like flow” of the Tibetan crust in the Himalayan-Tibetan orogenic system. Geodetic observations across the Tibetan plateau indicate </w:instrText>
      </w:r>
      <w:r w:rsidR="00E852C1">
        <w:rPr>
          <w:rFonts w:ascii="Cambria Math" w:hAnsi="Cambria Math" w:cs="Cambria Math"/>
          <w:sz w:val="24"/>
          <w:szCs w:val="24"/>
        </w:rPr>
        <w:instrText>∼</w:instrText>
      </w:r>
      <w:r w:rsidR="00E852C1">
        <w:rPr>
          <w:sz w:val="24"/>
          <w:szCs w:val="24"/>
        </w:rPr>
        <w:instrText>22 mm/yr of crustal motion with respect to stable Eurasia by considering Newtonian channel flow model. Further, correlation between regional strain rate (ė) and topographic elevation (h) is found to be statistically robust, with stress exponent (n) of 3.03 ± 0.1. Therefore, we suggest that the Tibetan crust follows well defined power-law relation that is consistent with the nonlinear deformation associated with dislocation-creep. Moreover, the predicted viscosity range of the Tibetan crust is consistent with the channel flow model proposed by previous investigators using different approaches in different time scales.","author":[{"dropping-particle":"","family":"Panda","given":"Dibyashakti","non-dropping-particle":"","parse-names":false,"suffix":""},{"dropping-particle":"","family":"Mondal","given":"Amit","non-dropping-particle":"","parse-names":false,"suffix":""},{"dropping-particle":"","family":"Kundu","given":"Bhaskar","non-dropping-particle":"","parse-names":false,"suffix":""}],"container-title":"Journal of Asian Earth Sciences","id":"ITEM-1","issued":{"date-parts":[["2019"]]},"title":"Eastward “glacier-like flow” of the Tibetan crust constrained from power-law rheology","type":"article-journal","volume":"177"},"uris":["http://www.mendeley.com/documents/?uuid=867890b9-ae42-3312-b782-c4325b2f87b8"]}],"mendeley":{"formattedCitation":"&lt;sup&gt;7&lt;/sup&gt;","plainTextFormattedCitation":"7","previouslyFormattedCitation":"&lt;sup&gt;7&lt;/sup&gt;"},"properties":{"noteIndex":0},"schema":"https://github.com/citation-style-language/schema/raw/master/csl-citation.json"}</w:instrText>
      </w:r>
      <w:r w:rsidR="00877572">
        <w:rPr>
          <w:sz w:val="24"/>
          <w:szCs w:val="24"/>
        </w:rPr>
        <w:fldChar w:fldCharType="separate"/>
      </w:r>
      <w:r w:rsidR="00877572" w:rsidRPr="00877572">
        <w:rPr>
          <w:noProof/>
          <w:sz w:val="24"/>
          <w:szCs w:val="24"/>
          <w:vertAlign w:val="superscript"/>
        </w:rPr>
        <w:t>7</w:t>
      </w:r>
      <w:r w:rsidR="00877572">
        <w:rPr>
          <w:sz w:val="24"/>
          <w:szCs w:val="24"/>
        </w:rPr>
        <w:fldChar w:fldCharType="end"/>
      </w:r>
      <w:r w:rsidR="00BF3DAC">
        <w:rPr>
          <w:sz w:val="24"/>
          <w:szCs w:val="24"/>
        </w:rPr>
        <w:t xml:space="preserve"> </w:t>
      </w:r>
      <w:r w:rsidR="00CD6C7B" w:rsidRPr="00CD6C7B">
        <w:rPr>
          <w:sz w:val="24"/>
          <w:szCs w:val="24"/>
        </w:rPr>
        <w:t xml:space="preserve">also includes the mean elevation </w:t>
      </w:r>
      <m:oMath>
        <m:r>
          <w:rPr>
            <w:rFonts w:ascii="Cambria Math" w:hAnsi="Cambria Math"/>
            <w:sz w:val="24"/>
            <w:szCs w:val="24"/>
          </w:rPr>
          <w:lastRenderedPageBreak/>
          <m:t>(</m:t>
        </m:r>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mean</m:t>
            </m:r>
          </m:sub>
        </m:sSub>
        <m:r>
          <w:rPr>
            <w:rFonts w:ascii="Cambria Math" w:hAnsi="Cambria Math"/>
            <w:sz w:val="24"/>
            <w:szCs w:val="24"/>
          </w:rPr>
          <m:t>)</m:t>
        </m:r>
      </m:oMath>
      <w:r w:rsidRPr="00813366">
        <w:rPr>
          <w:sz w:val="24"/>
          <w:szCs w:val="24"/>
        </w:rPr>
        <w:t xml:space="preserve"> along each transect</w:t>
      </w:r>
      <w:r w:rsidRPr="00813366">
        <w:rPr>
          <w:sz w:val="24"/>
          <w:szCs w:val="24"/>
        </w:rPr>
        <w:fldChar w:fldCharType="begin" w:fldLock="1"/>
      </w:r>
      <w:r w:rsidR="00623644">
        <w:rPr>
          <w:sz w:val="24"/>
          <w:szCs w:val="24"/>
        </w:rPr>
        <w:instrText xml:space="preserve">ADDIN CSL_CITATION {"citationItems":[{"id":"ITEM-1","itemData":{"DOI":"10.1016/j.jseaes.2019.03.021","ISSN":"13679120","abstract":"We propose that topography can be used as a proxy for the eastward lateral “glacier-like flow” of the Tibetan crust in the Himalayan-Tibetan orogenic system. Geodetic observations across the Tibetan plateau indicate </w:instrText>
      </w:r>
      <w:r w:rsidR="00623644">
        <w:rPr>
          <w:rFonts w:ascii="Cambria Math" w:hAnsi="Cambria Math" w:cs="Cambria Math"/>
          <w:sz w:val="24"/>
          <w:szCs w:val="24"/>
        </w:rPr>
        <w:instrText>∼</w:instrText>
      </w:r>
      <w:r w:rsidR="00623644">
        <w:rPr>
          <w:sz w:val="24"/>
          <w:szCs w:val="24"/>
        </w:rPr>
        <w:instrText>22 mm/yr of crustal motion with respect to stable Eurasia by considering Newtonian channel flow model. Further, correlation between regional strain rate (ė) and topographic elevation (h) is found to be statistically robust, with stress exponent (n) of 3.03 ± 0.1. Therefore, we suggest that the Tibetan crust follows well defined power-law relation that is consistent with the nonlinear deformation associated with dislocation-creep. Moreover, the predicted viscosity range of the Tibetan crust is consistent with the channel flow model proposed by previous investigators using different approaches in different time scales.","author":[{"dropping-particle":"","family":"Panda","given":"Dibyashakti","non-dropping-particle":"","parse-names":false,"suffix":""},{"dropping-particle":"","family":"Mondal","given":"Amit","non-dropping-particle":"","parse-names":false,"suffix":""},{"dropping-particle":"","family":"Kundu","given":"Bhaskar","non-dropping-particle":"","parse-names":false,"suffix":""}],"container-title":"Journal of Asian Earth Sciences","id":"ITEM-1","issued":{"date-parts":[["2019"]]},"title":"Eastward “glacier-like flow” of the Tibetan crust constrained from power-law rheology","type":"article-journal","volume":"177"},"uris":["http://www.mendeley.com/documents/?uuid=867890b9-ae42-3312-b782-c4325b2f87b8"]}],"mendeley":{"formattedCitation":"&lt;sup&gt;7&lt;/sup&gt;","plainTextFormattedCitation":"7","previouslyFormattedCitation":"&lt;sup&gt;7&lt;/sup&gt;"},"properties":{"noteIndex":0},"schema":"https://github.com/citation-style-language/schema/raw/master/csl-citation.json"}</w:instrText>
      </w:r>
      <w:r w:rsidRPr="00813366">
        <w:rPr>
          <w:sz w:val="24"/>
          <w:szCs w:val="24"/>
        </w:rPr>
        <w:fldChar w:fldCharType="separate"/>
      </w:r>
      <w:r w:rsidR="00623644" w:rsidRPr="00623644">
        <w:rPr>
          <w:noProof/>
          <w:sz w:val="24"/>
          <w:szCs w:val="24"/>
          <w:vertAlign w:val="superscript"/>
        </w:rPr>
        <w:t>7</w:t>
      </w:r>
      <w:r w:rsidRPr="00813366">
        <w:rPr>
          <w:sz w:val="24"/>
          <w:szCs w:val="24"/>
        </w:rPr>
        <w:fldChar w:fldCharType="end"/>
      </w:r>
      <w:r>
        <w:rPr>
          <w:sz w:val="24"/>
          <w:szCs w:val="24"/>
        </w:rPr>
        <w:t xml:space="preserve">. </w:t>
      </w:r>
      <w:r w:rsidR="00CD6C7B" w:rsidRPr="00CD6C7B">
        <w:rPr>
          <w:sz w:val="24"/>
          <w:szCs w:val="24"/>
        </w:rPr>
        <w:t>Since the transects are situated on the plateau, their mean elevation approximates the model's maximum topography input</w:t>
      </w:r>
      <w:r w:rsidR="00813366" w:rsidRPr="00A261C6">
        <w:rPr>
          <w:sz w:val="24"/>
          <w:szCs w:val="24"/>
        </w:rPr>
        <w:t xml:space="preserve"> </w:t>
      </w:r>
      <w:r w:rsidR="00ED6B3D" w:rsidRPr="00ED6B3D">
        <w:rPr>
          <w:sz w:val="24"/>
          <w:szCs w:val="24"/>
        </w:rPr>
        <w:t>(</w:t>
      </w:r>
      <m:oMath>
        <m:r>
          <w:rPr>
            <w:rFonts w:ascii="Cambria Math" w:hAnsi="Cambria Math"/>
            <w:sz w:val="24"/>
            <w:szCs w:val="24"/>
          </w:rPr>
          <m:t>h</m:t>
        </m:r>
      </m:oMath>
      <w:r w:rsidR="00813366" w:rsidRPr="00A261C6">
        <w:rPr>
          <w:sz w:val="24"/>
          <w:szCs w:val="24"/>
        </w:rPr>
        <w:t xml:space="preserve">). The </w:t>
      </w:r>
      <w:r w:rsidR="000B744E">
        <w:rPr>
          <w:sz w:val="24"/>
          <w:szCs w:val="24"/>
        </w:rPr>
        <w:t xml:space="preserve">characteristic </w:t>
      </w:r>
      <w:r w:rsidR="000B744E" w:rsidRPr="00A261C6">
        <w:rPr>
          <w:sz w:val="24"/>
          <w:szCs w:val="24"/>
        </w:rPr>
        <w:t>slope</w:t>
      </w:r>
      <w:r w:rsidR="000B744E">
        <w:rPr>
          <w:sz w:val="24"/>
          <w:szCs w:val="24"/>
        </w:rPr>
        <w:t xml:space="preserve"> </w:t>
      </w:r>
      <w:r w:rsidR="00813366" w:rsidRPr="00A261C6">
        <w:rPr>
          <w:sz w:val="24"/>
          <w:szCs w:val="24"/>
        </w:rPr>
        <w:t>length</w:t>
      </w:r>
      <w:r w:rsidR="000B744E">
        <w:rPr>
          <w:sz w:val="24"/>
          <w:szCs w:val="24"/>
        </w:rPr>
        <w:t xml:space="preserve"> </w:t>
      </w:r>
      <w:r w:rsidR="00813366" w:rsidRPr="00A261C6">
        <w:rPr>
          <w:sz w:val="24"/>
          <w:szCs w:val="24"/>
        </w:rPr>
        <w:t xml:space="preserve">, beneath which the weak crustal flow is present, is </w:t>
      </w:r>
      <w:r w:rsidR="00CD6C7B">
        <w:rPr>
          <w:sz w:val="24"/>
          <w:szCs w:val="24"/>
        </w:rPr>
        <w:t>about</w:t>
      </w:r>
      <w:r w:rsidR="00813366" w:rsidRPr="00A261C6">
        <w:rPr>
          <w:sz w:val="24"/>
          <w:szCs w:val="24"/>
        </w:rPr>
        <w:t xml:space="preserve"> 1500 km</w:t>
      </w:r>
      <w:r w:rsidR="00813366" w:rsidRPr="00A261C6">
        <w:rPr>
          <w:sz w:val="24"/>
          <w:szCs w:val="24"/>
        </w:rPr>
        <w:fldChar w:fldCharType="begin" w:fldLock="1"/>
      </w:r>
      <w:r w:rsidR="00623644">
        <w:rPr>
          <w:sz w:val="24"/>
          <w:szCs w:val="24"/>
        </w:rPr>
        <w:instrText>ADDIN CSL_CITATION {"citationItems":[{"id":"ITEM-1","itemData":{"DOI":"10.1130/0091-7613(2000)28&lt;703:TOBTEM&gt;2.0.CO;2","ISSN":"00917613","abstract":"Topography extracted from swath profiles along the northern, southern, and eastern margins of the Tibetan Plateau show two end-member morphologies: steep, abrupt margins and long-wavelength, low-gradient margins. Because the lack of significant upper crustal shortening across much of the eastern plateau margin implies that the crustal thickening occurs mainly in the deep crust, we compare regional topographic gradients surrounding the plateau to model results for flux of a Newtonian fluid through a lower crustal channel of uniform thickness. For an assumed 15-km-thick channel, we estimate a viscosity for the lower crust of 10 18 Pa·s beneath the low-gradient margins, 10 21 Pa·s beneath the steep margins, and an upper bound of 10 16 Pa·s beneath the plateau. These results indicate that the large-scale morphology of the eastern plateau reflects fluid flow within the underlying crust; crustal material flows around the strong crust of the Sichuan and Tarim Basins, creating broad, gentle margins, and \"piles up\" behind the basins creating narrow, steep margins. These results imply that this portion of the Eurasian crust was heterogeneous, but largely weak, even prior to construction of the Tibetan Plateau.","author":[{"dropping-particle":"","family":"Clark","given":"M. K.","non-dropping-particle":"","parse-names":false,"suffix":""},{"dropping-particle":"","family":"Royden","given":"L. H.","non-dropping-particle":"","parse-names":false,"suffix":""}],"container-title":"Geology","id":"ITEM-1","issue":"8","issued":{"date-parts":[["2000"]]},"title":"Topographic ooze: Building the eastern margin of Tibet by lower crustal flow","type":"article-journal","volume":"28"},"uris":["http://www.mendeley.com/documents/?uuid=e2d035f1-c09e-3ec8-8313-429366696c77"]}],"mendeley":{"formattedCitation":"&lt;sup&gt;8&lt;/sup&gt;","plainTextFormattedCitation":"8","previouslyFormattedCitation":"&lt;sup&gt;8&lt;/sup&gt;"},"properties":{"noteIndex":0},"schema":"https://github.com/citation-style-language/schema/raw/master/csl-citation.json"}</w:instrText>
      </w:r>
      <w:r w:rsidR="00813366" w:rsidRPr="00A261C6">
        <w:rPr>
          <w:sz w:val="24"/>
          <w:szCs w:val="24"/>
        </w:rPr>
        <w:fldChar w:fldCharType="separate"/>
      </w:r>
      <w:r w:rsidR="00623644" w:rsidRPr="00623644">
        <w:rPr>
          <w:noProof/>
          <w:sz w:val="24"/>
          <w:szCs w:val="24"/>
          <w:vertAlign w:val="superscript"/>
        </w:rPr>
        <w:t>8</w:t>
      </w:r>
      <w:r w:rsidR="00813366" w:rsidRPr="00A261C6">
        <w:rPr>
          <w:sz w:val="24"/>
          <w:szCs w:val="24"/>
        </w:rPr>
        <w:fldChar w:fldCharType="end"/>
      </w:r>
      <w:r w:rsidR="00813366" w:rsidRPr="00A261C6">
        <w:rPr>
          <w:sz w:val="24"/>
          <w:szCs w:val="24"/>
        </w:rPr>
        <w:t xml:space="preserve"> (</w:t>
      </w:r>
      <w:r w:rsidR="000B744E" w:rsidRPr="00C92B8B">
        <w:rPr>
          <w:sz w:val="24"/>
          <w:szCs w:val="24"/>
        </w:rPr>
        <w:t>Supplementary Fig</w:t>
      </w:r>
      <w:r w:rsidR="00894C45">
        <w:rPr>
          <w:sz w:val="24"/>
          <w:szCs w:val="24"/>
        </w:rPr>
        <w:t>. 1</w:t>
      </w:r>
      <w:r w:rsidR="00813366" w:rsidRPr="00A261C6">
        <w:rPr>
          <w:sz w:val="24"/>
          <w:szCs w:val="24"/>
        </w:rPr>
        <w:t xml:space="preserve">). </w:t>
      </w:r>
      <w:r w:rsidR="00CD6C7B">
        <w:rPr>
          <w:sz w:val="24"/>
          <w:szCs w:val="24"/>
        </w:rPr>
        <w:t>We</w:t>
      </w:r>
      <w:r w:rsidR="00813366" w:rsidRPr="00A261C6">
        <w:rPr>
          <w:sz w:val="24"/>
          <w:szCs w:val="24"/>
        </w:rPr>
        <w:t xml:space="preserve"> use this </w:t>
      </w:r>
      <w:r w:rsidR="000B744E">
        <w:rPr>
          <w:sz w:val="24"/>
          <w:szCs w:val="24"/>
        </w:rPr>
        <w:t xml:space="preserve">characteristic </w:t>
      </w:r>
      <w:r w:rsidR="00813366" w:rsidRPr="00A261C6">
        <w:rPr>
          <w:sz w:val="24"/>
          <w:szCs w:val="24"/>
        </w:rPr>
        <w:t>length as the slope length (</w:t>
      </w:r>
      <w:r w:rsidR="00A90883">
        <w:rPr>
          <w:i/>
          <w:iCs/>
          <w:sz w:val="24"/>
          <w:szCs w:val="24"/>
        </w:rPr>
        <w:t>W</w:t>
      </w:r>
      <w:r w:rsidR="00813366" w:rsidRPr="00A261C6">
        <w:rPr>
          <w:sz w:val="24"/>
          <w:szCs w:val="24"/>
        </w:rPr>
        <w:t>)</w:t>
      </w:r>
      <w:r w:rsidR="000B744E">
        <w:rPr>
          <w:sz w:val="24"/>
          <w:szCs w:val="24"/>
        </w:rPr>
        <w:t xml:space="preserve"> and </w:t>
      </w:r>
      <m:oMath>
        <m:r>
          <w:rPr>
            <w:rFonts w:ascii="Cambria Math" w:hAnsi="Cambria Math"/>
            <w:sz w:val="24"/>
            <w:szCs w:val="24"/>
          </w:rPr>
          <m:t>h</m:t>
        </m:r>
      </m:oMath>
      <w:r w:rsidR="000B744E">
        <w:rPr>
          <w:sz w:val="24"/>
          <w:szCs w:val="24"/>
        </w:rPr>
        <w:t xml:space="preserve"> </w:t>
      </w:r>
      <w:r w:rsidR="00813366" w:rsidRPr="00A261C6">
        <w:rPr>
          <w:sz w:val="24"/>
          <w:szCs w:val="24"/>
        </w:rPr>
        <w:t xml:space="preserve"> </w:t>
      </w:r>
      <w:r w:rsidR="00CD6C7B">
        <w:rPr>
          <w:sz w:val="24"/>
          <w:szCs w:val="24"/>
        </w:rPr>
        <w:t xml:space="preserve">for each </w:t>
      </w:r>
      <w:r w:rsidR="00CD6C7B" w:rsidRPr="00813366">
        <w:rPr>
          <w:sz w:val="24"/>
          <w:szCs w:val="24"/>
        </w:rPr>
        <w:t>transect</w:t>
      </w:r>
      <w:r w:rsidR="00CD6C7B">
        <w:rPr>
          <w:sz w:val="24"/>
          <w:szCs w:val="24"/>
        </w:rPr>
        <w:t xml:space="preserve"> </w:t>
      </w:r>
      <w:r w:rsidR="00813366" w:rsidRPr="00A261C6">
        <w:rPr>
          <w:sz w:val="24"/>
          <w:szCs w:val="24"/>
        </w:rPr>
        <w:t>to calculate the</w:t>
      </w:r>
      <w:r w:rsidR="00813366" w:rsidRPr="00813366">
        <w:rPr>
          <w:sz w:val="24"/>
          <w:szCs w:val="24"/>
        </w:rPr>
        <w:t xml:space="preserve"> extensional velocity </w:t>
      </w:r>
      <w:r w:rsidR="000B744E" w:rsidRPr="00813366">
        <w:rPr>
          <w:sz w:val="24"/>
          <w:szCs w:val="24"/>
        </w:rPr>
        <w:t>(</w:t>
      </w:r>
      <w:r w:rsidR="000B744E">
        <w:rPr>
          <w:sz w:val="24"/>
          <w:szCs w:val="24"/>
        </w:rPr>
        <w:t>equation 2</w:t>
      </w:r>
      <w:r w:rsidR="00197DAD">
        <w:rPr>
          <w:sz w:val="24"/>
          <w:szCs w:val="24"/>
        </w:rPr>
        <w:t>2</w:t>
      </w:r>
      <w:r w:rsidR="000B744E">
        <w:rPr>
          <w:sz w:val="24"/>
          <w:szCs w:val="24"/>
        </w:rPr>
        <w:t xml:space="preserve"> (</w:t>
      </w:r>
      <w:r w:rsidR="000B744E" w:rsidRPr="000B79AF">
        <w:rPr>
          <w:i/>
          <w:iCs/>
          <w:sz w:val="24"/>
          <w:szCs w:val="24"/>
        </w:rPr>
        <w:t>u</w:t>
      </w:r>
      <w:r w:rsidR="000B744E" w:rsidRPr="000B79AF">
        <w:rPr>
          <w:i/>
          <w:iCs/>
          <w:sz w:val="24"/>
          <w:szCs w:val="24"/>
          <w:vertAlign w:val="subscript"/>
        </w:rPr>
        <w:t>1</w:t>
      </w:r>
      <w:r w:rsidR="000B744E" w:rsidRPr="00813366">
        <w:rPr>
          <w:sz w:val="24"/>
          <w:szCs w:val="24"/>
        </w:rPr>
        <w:t xml:space="preserve"> in Figure 2</w:t>
      </w:r>
      <w:r w:rsidR="000B744E">
        <w:rPr>
          <w:sz w:val="24"/>
          <w:szCs w:val="24"/>
        </w:rPr>
        <w:t>)</w:t>
      </w:r>
      <w:r w:rsidR="000B744E" w:rsidRPr="00813366">
        <w:rPr>
          <w:sz w:val="24"/>
          <w:szCs w:val="24"/>
        </w:rPr>
        <w:t>)</w:t>
      </w:r>
      <w:r w:rsidR="000B744E">
        <w:rPr>
          <w:sz w:val="24"/>
          <w:szCs w:val="24"/>
        </w:rPr>
        <w:t xml:space="preserve">. </w:t>
      </w:r>
      <w:r w:rsidR="000B744E" w:rsidRPr="00661B47">
        <w:rPr>
          <w:sz w:val="24"/>
          <w:szCs w:val="24"/>
        </w:rPr>
        <w:t xml:space="preserve">Since strain is calculated for a </w:t>
      </w:r>
      <w:r w:rsidR="000B744E">
        <w:rPr>
          <w:sz w:val="24"/>
          <w:szCs w:val="24"/>
        </w:rPr>
        <w:t>70</w:t>
      </w:r>
      <w:r w:rsidR="000B744E" w:rsidRPr="00661B47">
        <w:rPr>
          <w:sz w:val="24"/>
          <w:szCs w:val="24"/>
        </w:rPr>
        <w:t>0 km transect, we divide the modeled extensional velocity (</w:t>
      </w:r>
      <w:r w:rsidR="000B744E" w:rsidRPr="000B79AF">
        <w:rPr>
          <w:i/>
          <w:iCs/>
          <w:sz w:val="24"/>
          <w:szCs w:val="24"/>
        </w:rPr>
        <w:t>u</w:t>
      </w:r>
      <w:r w:rsidR="000B744E" w:rsidRPr="000B79AF">
        <w:rPr>
          <w:i/>
          <w:iCs/>
          <w:sz w:val="24"/>
          <w:szCs w:val="24"/>
          <w:vertAlign w:val="subscript"/>
        </w:rPr>
        <w:t>1</w:t>
      </w:r>
      <w:r w:rsidR="000B744E" w:rsidRPr="00661B47">
        <w:rPr>
          <w:sz w:val="24"/>
          <w:szCs w:val="24"/>
        </w:rPr>
        <w:t xml:space="preserve">​) by </w:t>
      </w:r>
      <w:r w:rsidR="000B744E">
        <w:rPr>
          <w:sz w:val="24"/>
          <w:szCs w:val="24"/>
        </w:rPr>
        <w:t>70</w:t>
      </w:r>
      <w:r w:rsidR="000B744E" w:rsidRPr="00661B47">
        <w:rPr>
          <w:sz w:val="24"/>
          <w:szCs w:val="24"/>
        </w:rPr>
        <w:t>0 km to compare the modeled and measured strain rates.</w:t>
      </w:r>
    </w:p>
    <w:p w14:paraId="539103FC" w14:textId="05A100E8" w:rsidR="00A5591A" w:rsidRPr="009C3651" w:rsidRDefault="00A5591A" w:rsidP="000B744E">
      <w:pPr>
        <w:bidi w:val="0"/>
        <w:spacing w:line="360" w:lineRule="auto"/>
        <w:jc w:val="both"/>
        <w:rPr>
          <w:b/>
          <w:bCs/>
          <w:sz w:val="28"/>
          <w:szCs w:val="28"/>
        </w:rPr>
      </w:pPr>
      <w:r w:rsidRPr="009C3651">
        <w:rPr>
          <w:sz w:val="24"/>
          <w:szCs w:val="24"/>
        </w:rPr>
        <w:t>The thickness of the brittle upper crust in the</w:t>
      </w:r>
      <w:r w:rsidR="00735082" w:rsidRPr="009C3651">
        <w:rPr>
          <w:sz w:val="24"/>
          <w:szCs w:val="24"/>
        </w:rPr>
        <w:t xml:space="preserve"> Tibet</w:t>
      </w:r>
      <w:r w:rsidRPr="009C3651">
        <w:rPr>
          <w:sz w:val="24"/>
          <w:szCs w:val="24"/>
        </w:rPr>
        <w:t xml:space="preserve">  is 1</w:t>
      </w:r>
      <w:r w:rsidR="00F56B80" w:rsidRPr="009C3651">
        <w:rPr>
          <w:sz w:val="24"/>
          <w:szCs w:val="24"/>
        </w:rPr>
        <w:t>5</w:t>
      </w:r>
      <w:r w:rsidRPr="009C3651">
        <w:rPr>
          <w:sz w:val="24"/>
          <w:szCs w:val="24"/>
        </w:rPr>
        <w:t>-</w:t>
      </w:r>
      <w:r w:rsidR="00F56B80" w:rsidRPr="009C3651">
        <w:rPr>
          <w:sz w:val="24"/>
          <w:szCs w:val="24"/>
        </w:rPr>
        <w:t>20</w:t>
      </w:r>
      <w:r w:rsidRPr="009C3651">
        <w:rPr>
          <w:sz w:val="24"/>
          <w:szCs w:val="24"/>
        </w:rPr>
        <w:t xml:space="preserve"> km</w:t>
      </w:r>
      <w:r w:rsidR="00F56B80" w:rsidRPr="009C3651">
        <w:rPr>
          <w:rFonts w:eastAsiaTheme="minorEastAsia"/>
          <w:sz w:val="24"/>
          <w:szCs w:val="24"/>
        </w:rPr>
        <w:fldChar w:fldCharType="begin" w:fldLock="1"/>
      </w:r>
      <w:r w:rsidR="00623644">
        <w:rPr>
          <w:rFonts w:eastAsiaTheme="minorEastAsia"/>
          <w:sz w:val="24"/>
          <w:szCs w:val="24"/>
        </w:rPr>
        <w:instrText>ADDIN CSL_CITATION {"citationItems":[{"id":"ITEM-1","itemData":{"DOI":"10.1029/2011JB008810","ISSN":"21699356","abstract":"Based on 1-2 years of continuous observations of seismic ambient noise data obtained at more than 600 stations in and around Tibet, Rayleigh wave phase velocity maps are constructed from 10 s to 60 s period. A 3-D Vsv model of the crust and uppermost mantle is derived from these maps. The 3-D model exhibits significant apparently inter-connected low shear velocity features across most of the Tibetan middle crust at depths between 20 and 40 km. These low velocity zones (LVZs) do not conform to surface faults and, significantly, are most prominent near the periphery of Tibet. The observations support the internal deformation model in which strain is dispersed in the deeper crust into broad ductile shear zones, rather than being localized horizontally near the edges of rigid blocks. The prominent LVZs are coincident with strong mid-crustal radial anisotropy in western and central Tibet and probably result at least partially from anisotropic minerals aligned by deformation, which mitigates the need to invoke partial melt to explain the observations. Irrespective of their cause in partial melt or mineral alignment, mid-crustal LVZs reflect deformation and their amplification near the periphery of Tibet provides new information about the mode of deformation across Tibet.","author":[{"dropping-particle":"","family":"Yang","given":"Yingjie","non-dropping-particle":"","parse-names":false,"suffix":""},{"dropping-particle":"","family":"Ritzwoller","given":"Michael H.","non-dropping-particle":"","parse-names":false,"suffix":""},{"dropping-particle":"","family":"Zheng","given":"Yong","non-dropping-particle":"","parse-names":false,"suffix":""},{"dropping-particle":"","family":"Shen","given":"Weisen","non-dropping-particle":"","parse-names":false,"suffix":""},{"dropping-particle":"","family":"Levshin","given":"Anatoli L.","non-dropping-particle":"","parse-names":false,"suffix":""},{"dropping-particle":"","family":"Xie","given":"Zujun","non-dropping-particle":"","parse-names":false,"suffix":""}],"container-title":"Journal of Geophysical Research: Solid Earth","id":"ITEM-1","issue":"4","issued":{"date-parts":[["2012"]]},"title":"A synoptic view of the distribution and connectivity of the mid-crustal low velocity zone beneath Tibet","type":"article","volume":"117"},"uris":["http://www.mendeley.com/documents/?uuid=f24deef5-cfc6-39bb-ba2a-f16bff166632"]},{"id":"ITEM-2","itemData":{"DOI":"10.1016/j.epsl.2015.02.024","ISSN":"0012821X","abstract":"We present a new high-resolution shear-velocity model of the lithosphere (down to about 160 km) beneath China using Rayleigh-wave tomography. We combined ambient noise and earthquake data recorded at 1316 seismic stations, the largest number used for the region to date. More than 700,000 dispersion curves were measured to generate group and phase velocity maps at periods of 10-140 s. The resolution of our model is significantly improved over previous models with about 1-2° in eastern China and 2-3° in western China. We also derived models of the study region for crustal thickness and averaged S velocities for upper and mid-lower crust and uppermost mantle. These models reveal important lithospheric features beneath China and provide a fundamental data set for understanding continental dynamics and evolution. Different geological units show distinct features in the Moho depth, lithospheric thickness, and shear velocity. In particular, the North China Craton (NCC) lithosphere shows strong east-west structural variations with thin and low-velocity lithosphere in eastern NCC and thick and high-velocity lithosphere beneath western NCC and the lithosphere of the Ordos Block seems to have undergone strong erosion. The results support the progressive destruction of the NCC lithosphere from east to west at least partly caused by the thermal-chemical erosion of the cratonic lithosphere from the asthenosphere. Another pronounced feature of our model is the strong lateral variations of the mantle lithosphere beneath the Tibetan Plateau (TP). The Indian lithosphere beneath the TP shows variable northward advancement with nearly flat subduction in western and eastern TP and steep subduction in central TP with evidence for the tearing of Indian lithosphere beneath central TP, which may be important for the riftings at the surface in Himalayas and southern TP. The low-velocity zone in northern TP shows strong correlation with the region of the mid-Miocene to Quaternary potassic magmatism, suggesting that delamination of lithosphere may have played an important role in the rise of the TP.","author":[{"dropping-particle":"","family":"Bao","given":"Xuewei","non-dropping-particle":"","parse-names":false,"suffix":""},{"dropping-particle":"","family":"Song","given":"Xiaodong","non-dropping-particle":"","parse-names":false,"suffix":""},{"dropping-particle":"","family":"Li","given":"Jiangtao","non-dropping-particle":"","parse-names":false,"suffix":""}],"container-title":"Earth and Planetary Science Letters","id":"ITEM-2","issued":{"date-parts":[["2015"]]},"title":"High-resolution lithospheric structure beneath Mainland China from ambient noise and earthquake surface-wave tomography","type":"article-journal","volume":"417"},"uris":["http://www.mendeley.com/documents/?uuid=4f9ab172-d2dd-3441-a6b1-8ec5db598341"]},{"id":"ITEM-3","itemData":{"DOI":"10.1016/j.jseaes.2010.03.010","ISSN":"13679120","abstract":"Since the pioneer wide-angle seismic profile along the Yadong-Gulu rift acquired in 1974 by the ex-Institute of Geophysics, Chinese Academy of Sciences (CAS), several research programs aimed to deep geophysics, performed thanks to the participation of Chinese national and international institutions, have been developed during last 35. years, including 23 wide-angle seismic profiles with total length of about 6000. km. These profiles are unevenly distributed, most of them in eastern Tibet and few profiles in western Tibet. In this paper, we make a summarized presentation of all these wide-angle seismic profiles and provide an overall view of the seismic velocity structure of the crust beneath the broad Tibetan plateau, which is the product of the continuous convergence and collision of the Indian and Eurasian plates since about 50. Ma ago. Different patterns of crustal thickness variation related to the tectonic blocks and along suture zones of the region are displayed. The crust thickness is confirmed to be about 70-75. km under southern Tibet, and 60-65. km under northern, northeastern and southeastern Tibet. The leading edge of the subducted lithosphere reaches the northern margin of the plateau and directly contacts with Tarim Basin. Westward of the 90°E boundary, the Indian crust is moving towards the northern edge of the plateau and collides with Tarim Basin at 80°E while reach the Bangong-Nujiang suture belt at 88°E; eastward of the 90°E boundary, the northern edge of the crust should be at 50-100. km south of Bangong-Nujiang suture. The results supply helpful constrains to understand the mechanism of the continent-continent collision and its consequences in the plateau and neighbouring areas. © 2010 Elsevier Ltd.","author":[{"dropping-particle":"","family":"Zhang","given":"Zhongjie","non-dropping-particle":"","parse-names":false,"suffix":""},{"dropping-particle":"","family":"Deng","given":"Yangfan","non-dropping-particle":"","parse-names":false,"suffix":""},{"dropping-particle":"","family":"Teng","given":"Jiwen","non-dropping-particle":"","parse-names":false,"suffix":""},{"dropping-particle":"","family":"Wang","given":"Chunyong","non-dropping-particle":"","parse-names":false,"suffix":""},{"dropping-particle":"","family":"Gao","given":"Rui","non-dropping-particle":"","parse-names":false,"suffix":""},{"dropping-particle":"","family":"Chen","given":"Yun","non-dropping-particle":"","parse-names":false,"suffix":""},{"dropping-particle":"","family":"Fan","given":"Weiming","non-dropping-particle":"","parse-names":false,"suffix":""}],"container-title":"Journal of Asian Earth Sciences","id":"ITEM-3","issue":"4","issued":{"date-parts":[["2011"]]},"title":"An overview of the crustal structure of the Tibetan plateau after 35 years of deep seismic soundings","type":"article-journal","volume":"40"},"uris":["http://www.mendeley.com/documents/?uuid=1f14743d-d110-3fb5-8003-00c606fbc284"]},{"id":"ITEM-4","itemData":{"DOI":"10.1029/2010GL044800","ISSN":"00948276","abstract":"A total of 400 regional earthquakes were located in northern Tibetan Plateau from data recorded by INDEPTH-IV and PKU Eastern Kunlun arrays from May 2007 to June 2009. The distribution of these earthquakes is compatible with a continuously deforming Tibetan lithosphere. Most earthquakes occur at a depth range of 0-15 km, but no event is deeper than 30 km. This observation strongly supports the existence of a hot and weak lower crust beneath the northern Tibet. The crustal seismogenic zone appears slightly thicker beneath the northern Tibet than in the southern plateau, possibly reflecting a difference in the rheological (dry vs. wet) structure of the crust. The absence of lower crustal and uppermost mantle earthquakes in northern Tibet is consistent with a localized asthenospheric upwelling under the Qiangtang and Songpan-Ganze terranes. Finally, the lack of mantle earthquakes should be fully addressed in any models of subduction in northern Tibet. Copyright 2010 by the American Geophysical Union.","author":[{"dropping-particle":"","family":"Wei","given":"Songqiao","non-dropping-particle":"","parse-names":false,"suffix":""},{"dropping-particle":"","family":"Chen","given":"Y. John","non-dropping-particle":"","parse-names":false,"suffix":""},{"dropping-particle":"","family":"Sandvol","given":"Eric","non-dropping-particle":"","parse-names":false,"suffix":""},{"dropping-particle":"","family":"Zhou","given":"Shiyong","non-dropping-particle":"","parse-names":false,"suffix":""},{"dropping-particle":"","family":"Yue","given":"Han","non-dropping-particle":"","parse-names":false,"suffix":""},{"dropping-particle":"","family":"Jin","given":"Ge","non-dropping-particle":"","parse-names":false,"suffix":""},{"dropping-particle":"","family":"Hearn","given":"Thomas M.","non-dropping-particle":"","parse-names":false,"suffix":""},{"dropping-particle":"","family":"Jiang","given":"Mingming","non-dropping-particle":"","parse-names":false,"suffix":""},{"dropping-particle":"","family":"Wang","given":"Haiyang","non-dropping-particle":"","parse-names":false,"suffix":""},{"dropping-particle":"","family":"Fan","given":"Wenyuan","non-dropping-particle":"","parse-names":false,"suffix":""},{"dropping-particle":"","family":"Liu","given":"Zheng","non-dropping-particle":"","parse-names":false,"suffix":""},{"dropping-particle":"","family":"Ge","given":"Zengxi","non-dropping-particle":"","parse-names":false,"suffix":""},{"dropping-particle":"","family":"Wang","given":"Yanbin","non-dropping-particle":"","parse-names":false,"suffix":""},{"dropping-particle":"","family":"Feng","given":"Yongge","non-dropping-particle":"","parse-names":false,"suffix":""},{"dropping-particle":"","family":"Ni","given":"James","non-dropping-particle":"","parse-names":false,"suffix":""}],"container-title":"Geophysical Research Letters","id":"ITEM-4","issue":"19","issued":{"date-parts":[["2010"]]},"title":"Regional earthquakes in northern Tibetan Plateau: Implications for lithospheric strength in Tibet","type":"article-journal","volume":"37"},"uris":["http://www.mendeley.com/documents/?uuid=c53af106-7d00-3a8f-9730-e836c226ab99"]},{"id":"ITEM-5","itemData":{"DOI":"10.1111/j.1365-3121.2006.00714.x","ISSN":"09544879","abstract":"Analysis of earthquake focal mechanisms allows division of the India-Asia collision into kinematic domains that strongly correlate with topography. These kinematic domains indicate strain partitioning dominated by oblique slip deformation. The Kunlun and south Tibetan fault systems mark discontinuities in the strain field and bound the high, flat topography of the plateau which deforms by transtension. The northern and southern margins of Tibet deform by transpression or contraction and are topographically steep. Correlations between seismicity and topography are due to Mohr-Coulomb wedge mechanics at the northern and southern plateau margins which produce naturally steep surface slopes, whereas the flat interior and eastern margin of the Tibetan Plateau is underlain by viscous crust which supports subdued topography further muted by Cenozoic basin fill. These data indicate that the long wavelength topography of the India-Asia collision is controlled by seismically caused surface displacements which are linked to deep crustal deformation mechanics. © 2007 Blackwell Publishing Ltd.","author":[{"dropping-particle":"","family":"Andronicos","given":"Christopher L.","non-dropping-particle":"","parse-names":false,"suffix":""},{"dropping-particle":"","family":"Velasco","given":"Aaron A.","non-dropping-particle":"","parse-names":false,"suffix":""},{"dropping-particle":"","family":"Hurtado","given":"José M.","non-dropping-particle":"","parse-names":false,"suffix":""}],"container-title":"Terra Nova","id":"ITEM-5","issue":"2","issued":{"date-parts":[["2007"]]},"title":"Large-scale deformation in the India-Asia collision constrained by earthquakes and topography","type":"article-journal","volume":"19"},"uris":["http://www.mendeley.com/documents/?uuid=26149640-2535-3709-8995-00c0fb7a62b8"]},{"id":"ITEM-6","itemData":{"DOI":"10.1038/ngeo2130","ISSN":"17520908","abstract":"The lateral expansion of the southeastern Tibetan Plateau causes devastating earthquakes, but is poorly understood. In particular, the links between regional variations in surface motion and the deeper structure of the plateau are unclear. The plateau may deform either by movement of rigid crustal blocks along large strike-slip faults, by continuous deformation, or by the eastward flow of a channel of viscous crustal rocks. However, the importance of crustal channel flow was questioned in the wake of the 2008 Wenchuan earthquake. Controversies about the style of deformation have persisted, in part because geophysical probes have insufficient resolution to link structures in the deep crust to the observed surface deformation. Here we use seismic data recorded with an array of about 300 seismographs in western Sichuan, China, to image the structure of the eastern Tibetan Plateau with unprecedented clarity. We identify zones of weak rocks in the deep crust that thicken eastwards towards the Yangtze Craton, which we interpret as crustal flow channels. We also identify stark contrasts in the structure and rheology of the crust across large faults. Combined with geodetic data, the inferred crustal heterogeneity indicates that plateau expansion is accommodated by a combination of local crustal flow and strain partitioning across deep faults. We conclude that rigid block motion and crustal flow are therefore not irreconcilable modes of crustal deformation. © 2014 Macmillan Publishers Limited.","author":[{"dropping-particle":"","family":"Liu","given":"Qi Yuan","non-dropping-particle":"","parse-names":false,"suffix":""},{"dropping-particle":"","family":"Hilst","given":"Robert D.","non-dropping-particle":"Van Der","parse-names":false,"suffix":""},{"dropping-particle":"","family":"Li","given":"Yu","non-dropping-particle":"","parse-names":false,"suffix":""},{"dropping-particle":"","family":"Yao","given":"Hua Jian","non-dropping-particle":"","parse-names":false,"suffix":""},{"dropping-particle":"","family":"Chen","given":"Jiu Hui","non-dropping-particle":"","parse-names":false,"suffix":""},{"dropping-particle":"","family":"Guo","given":"Biao","non-dropping-particle":"","parse-names":false,"suffix":""},{"dropping-particle":"","family":"Qi","given":"Shao Hua","non-dropping-particle":"","parse-names":false,"suffix":""},{"dropping-particle":"","family":"Wang","given":"Jun","non-dropping-particle":"","parse-names":false,"suffix":""},{"dropping-particle":"","family":"Huang","given":"Hui","non-dropping-particle":"","parse-names":false,"suffix":""},{"dropping-particle":"","family":"Li","given":"Shun Cheng","non-dropping-particle":"","parse-names":false,"suffix":""}],"container-title":"Nature Geoscience","id":"ITEM-6","issue":"5","issued":{"date-parts":[["2014"]]},"title":"Eastward expansion of the Tibetan Plateau by crustal flow and strain partitioning across faults","type":"article-journal","volume":"7"},"uris":["http://www.mendeley.com/documents/?uuid=d9ba1c3e-d431-3234-b081-0db66c5e955e"]}],"mendeley":{"formattedCitation":"&lt;sup&gt;9–14&lt;/sup&gt;","plainTextFormattedCitation":"9–14","previouslyFormattedCitation":"&lt;sup&gt;9–14&lt;/sup&gt;"},"properties":{"noteIndex":0},"schema":"https://github.com/citation-style-language/schema/raw/master/csl-citation.json"}</w:instrText>
      </w:r>
      <w:r w:rsidR="00F56B80" w:rsidRPr="009C3651">
        <w:rPr>
          <w:rFonts w:eastAsiaTheme="minorEastAsia"/>
          <w:sz w:val="24"/>
          <w:szCs w:val="24"/>
        </w:rPr>
        <w:fldChar w:fldCharType="separate"/>
      </w:r>
      <w:r w:rsidR="00623644" w:rsidRPr="00623644">
        <w:rPr>
          <w:rFonts w:eastAsiaTheme="minorEastAsia"/>
          <w:noProof/>
          <w:sz w:val="24"/>
          <w:szCs w:val="24"/>
          <w:vertAlign w:val="superscript"/>
        </w:rPr>
        <w:t>9–14</w:t>
      </w:r>
      <w:r w:rsidR="00F56B80" w:rsidRPr="009C3651">
        <w:rPr>
          <w:rFonts w:eastAsiaTheme="minorEastAsia"/>
          <w:sz w:val="24"/>
          <w:szCs w:val="24"/>
        </w:rPr>
        <w:fldChar w:fldCharType="end"/>
      </w:r>
      <w:r w:rsidRPr="009C3651">
        <w:rPr>
          <w:sz w:val="24"/>
          <w:szCs w:val="24"/>
        </w:rPr>
        <w:t>. In our model, we use 15 km as the thickness of the brittle upper crust (</w:t>
      </w:r>
      <m:oMath>
        <m:sSub>
          <m:sSubPr>
            <m:ctrlPr>
              <w:rPr>
                <w:rFonts w:ascii="Cambria Math" w:hAnsi="Cambria Math"/>
                <w:i/>
                <w:sz w:val="24"/>
                <w:szCs w:val="24"/>
              </w:rPr>
            </m:ctrlPr>
          </m:sSubPr>
          <m:e>
            <m:r>
              <w:rPr>
                <w:rFonts w:ascii="Cambria Math" w:hAnsi="Cambria Math"/>
                <w:sz w:val="24"/>
                <w:szCs w:val="24"/>
              </w:rPr>
              <m:t>h</m:t>
            </m:r>
          </m:e>
          <m:sub>
            <m:r>
              <w:rPr>
                <w:rFonts w:ascii="Cambria Math" w:hAnsi="Cambria Math"/>
                <w:sz w:val="24"/>
                <w:szCs w:val="24"/>
              </w:rPr>
              <m:t>BUC</m:t>
            </m:r>
          </m:sub>
        </m:sSub>
      </m:oMath>
      <w:r w:rsidRPr="009C3651">
        <w:rPr>
          <w:sz w:val="24"/>
          <w:szCs w:val="24"/>
        </w:rPr>
        <w:t>). For the temperature of the weak crustal layer</w:t>
      </w:r>
      <w:r w:rsidR="009C3651">
        <w:rPr>
          <w:sz w:val="24"/>
          <w:szCs w:val="24"/>
        </w:rPr>
        <w:t xml:space="preserve"> (equation </w:t>
      </w:r>
      <w:r w:rsidR="00894C45">
        <w:rPr>
          <w:sz w:val="24"/>
          <w:szCs w:val="24"/>
        </w:rPr>
        <w:t>(</w:t>
      </w:r>
      <w:r w:rsidR="009C3651">
        <w:rPr>
          <w:sz w:val="24"/>
          <w:szCs w:val="24"/>
        </w:rPr>
        <w:t>24</w:t>
      </w:r>
      <w:r w:rsidR="00894C45">
        <w:rPr>
          <w:sz w:val="24"/>
          <w:szCs w:val="24"/>
        </w:rPr>
        <w:t>)</w:t>
      </w:r>
      <w:r w:rsidR="009C3651">
        <w:rPr>
          <w:sz w:val="24"/>
          <w:szCs w:val="24"/>
        </w:rPr>
        <w:t>)</w:t>
      </w:r>
      <w:r w:rsidRPr="009C3651">
        <w:rPr>
          <w:sz w:val="24"/>
          <w:szCs w:val="24"/>
        </w:rPr>
        <w:t xml:space="preserve">, we </w:t>
      </w:r>
      <w:r w:rsidR="009C3651">
        <w:rPr>
          <w:sz w:val="24"/>
          <w:szCs w:val="24"/>
        </w:rPr>
        <w:t>assume</w:t>
      </w:r>
      <w:r w:rsidRPr="009C3651">
        <w:rPr>
          <w:sz w:val="24"/>
          <w:szCs w:val="24"/>
        </w:rPr>
        <w:t xml:space="preserve"> an average surface heat flow of </w:t>
      </w:r>
      <w:r w:rsidR="00F56B80" w:rsidRPr="009C3651">
        <w:rPr>
          <w:sz w:val="24"/>
          <w:szCs w:val="24"/>
        </w:rPr>
        <w:t>100</w:t>
      </w:r>
      <w:r w:rsidRPr="009C3651">
        <w:rPr>
          <w:sz w:val="24"/>
          <w:szCs w:val="24"/>
        </w:rPr>
        <w:t xml:space="preserve"> </w:t>
      </w:r>
      <w:proofErr w:type="spellStart"/>
      <w:r w:rsidRPr="009C3651">
        <w:rPr>
          <w:sz w:val="24"/>
          <w:szCs w:val="24"/>
        </w:rPr>
        <w:t>m·W</w:t>
      </w:r>
      <w:proofErr w:type="spellEnd"/>
      <w:r w:rsidRPr="009C3651">
        <w:rPr>
          <w:sz w:val="24"/>
          <w:szCs w:val="24"/>
        </w:rPr>
        <w:t>/m², typical for this area</w:t>
      </w:r>
      <w:r w:rsidR="00F56B80" w:rsidRPr="009C3651">
        <w:rPr>
          <w:sz w:val="24"/>
          <w:szCs w:val="24"/>
        </w:rPr>
        <w:fldChar w:fldCharType="begin" w:fldLock="1"/>
      </w:r>
      <w:r w:rsidR="00623644">
        <w:rPr>
          <w:sz w:val="24"/>
          <w:szCs w:val="24"/>
        </w:rPr>
        <w:instrText>ADDIN CSL_CITATION {"citationItems":[{"id":"ITEM-1","itemData":{"DOI":"10.1016/j.tecto.2019.01.006","ISSN":"00401951","abstract":"Terrestrial heat flow is a crucial parameter to indicate the thermal state within the Earth, containing integrated information of the ground temperature, thermal conductivity, and crustal/mantle heat flow. We present an updated heat flow dataset and map in continental China. The data increases from 862 to 1230 observations since the year 1999 and the sites cover the major tectonic units, although their spatial distribution remains uneven. Excluding the local anomalies related to hydrothermal activities, the background heat flow values display a range from 30 to 140 mW m –2 with a mean of 60.4 ± 12.3 mW m –2 . The updated heat flow map exhibits a heat flow pattern consisted of four heat flow provinces in continental China: eastern mantle-induced high flow province, southwestern crust-induced high heat flow province, central normal heat flow province and northwestern low heat flow province. The major heat flow provinces correspond to the Cenozoic lithosphere-scale tectonic units. The heat flow shows good correlation with crustal thickness and elevation, agreeing with the thermal isostasy. The heat flow distribution also corresponds with the Meso-Cenozoic tectonic activities. The present heat flow-tectonic pattern in continental China is formed by the Meso-Cenozoic geodynamic processes, including the Cenozoic India-Eurasian collision and the Mesozoic-Cenozoic western subduction of the Pacific Plate.","author":[{"dropping-particle":"","family":"Jiang","given":"Guangzheng","non-dropping-particle":"","parse-names":false,"suffix":""},{"dropping-particle":"","family":"Hu","given":"Shengbiao","non-dropping-particle":"","parse-names":false,"suffix":""},{"dropping-particle":"","family":"Shi","given":"Yizuo","non-dropping-particle":"","parse-names":false,"suffix":""},{"dropping-particle":"","family":"Zhang","given":"Chao","non-dropping-particle":"","parse-names":false,"suffix":""},{"dropping-particle":"","family":"Wang","given":"Zhuting","non-dropping-particle":"","parse-names":false,"suffix":""},{"dropping-particle":"","family":"Hu","given":"Di","non-dropping-particle":"","parse-names":false,"suffix":""}],"container-title":"Tectonophysics","id":"ITEM-1","issued":{"date-parts":[["2019"]]},"title":"Terrestrial heat flow of continental China: Updated dataset and tectonic implications","type":"article-journal","volume":"753"},"uris":["http://www.mendeley.com/documents/?uuid=9d9698c2-a9c4-3033-96df-9dd62d307abc"]}],"mendeley":{"formattedCitation":"&lt;sup&gt;15&lt;/sup&gt;","plainTextFormattedCitation":"15","previouslyFormattedCitation":"&lt;sup&gt;15&lt;/sup&gt;"},"properties":{"noteIndex":0},"schema":"https://github.com/citation-style-language/schema/raw/master/csl-citation.json"}</w:instrText>
      </w:r>
      <w:r w:rsidR="00F56B80" w:rsidRPr="009C3651">
        <w:rPr>
          <w:sz w:val="24"/>
          <w:szCs w:val="24"/>
        </w:rPr>
        <w:fldChar w:fldCharType="separate"/>
      </w:r>
      <w:r w:rsidR="00623644" w:rsidRPr="00623644">
        <w:rPr>
          <w:noProof/>
          <w:sz w:val="24"/>
          <w:szCs w:val="24"/>
          <w:vertAlign w:val="superscript"/>
        </w:rPr>
        <w:t>15</w:t>
      </w:r>
      <w:r w:rsidR="00F56B80" w:rsidRPr="009C3651">
        <w:rPr>
          <w:sz w:val="24"/>
          <w:szCs w:val="24"/>
        </w:rPr>
        <w:fldChar w:fldCharType="end"/>
      </w:r>
      <w:r w:rsidRPr="009C3651">
        <w:rPr>
          <w:sz w:val="24"/>
          <w:szCs w:val="24"/>
        </w:rPr>
        <w:t>, to derive the temperature versus depth through the upper crust, assuming a surface temperature of 10°C, crustal heat production of 1×10⁻⁶ W/m³, and thermal conductivity of 2.5 J/</w:t>
      </w:r>
      <w:proofErr w:type="spellStart"/>
      <w:r w:rsidRPr="009C3651">
        <w:rPr>
          <w:sz w:val="24"/>
          <w:szCs w:val="24"/>
        </w:rPr>
        <w:t>s·m·K</w:t>
      </w:r>
      <w:proofErr w:type="spellEnd"/>
      <w:r w:rsidRPr="009C3651">
        <w:rPr>
          <w:sz w:val="24"/>
          <w:szCs w:val="24"/>
        </w:rPr>
        <w:t>.</w:t>
      </w:r>
    </w:p>
    <w:p w14:paraId="28FA0C14" w14:textId="6D4BB1AA" w:rsidR="00F82918" w:rsidRPr="00730BB9" w:rsidRDefault="00F82918" w:rsidP="00B11731">
      <w:pPr>
        <w:pStyle w:val="Heading7"/>
        <w:rPr>
          <w:b/>
          <w:bCs/>
        </w:rPr>
      </w:pPr>
      <w:r w:rsidRPr="00730BB9">
        <w:rPr>
          <w:b/>
          <w:bCs/>
        </w:rPr>
        <w:t>Partial melting</w:t>
      </w:r>
    </w:p>
    <w:p w14:paraId="2D66B63F" w14:textId="7B903D22" w:rsidR="001B57FE" w:rsidRPr="00AE584D" w:rsidRDefault="001B57FE" w:rsidP="00730BB9">
      <w:pPr>
        <w:bidi w:val="0"/>
        <w:spacing w:line="360" w:lineRule="auto"/>
        <w:jc w:val="both"/>
        <w:rPr>
          <w:rFonts w:eastAsiaTheme="minorEastAsia"/>
          <w:sz w:val="24"/>
          <w:szCs w:val="24"/>
        </w:rPr>
      </w:pPr>
      <w:r w:rsidRPr="00AE584D">
        <w:rPr>
          <w:rFonts w:eastAsiaTheme="minorEastAsia"/>
          <w:sz w:val="24"/>
          <w:szCs w:val="24"/>
        </w:rPr>
        <w:t xml:space="preserve">While our model assumes a </w:t>
      </w:r>
      <w:r w:rsidR="00732DBE" w:rsidRPr="00AE584D">
        <w:rPr>
          <w:rFonts w:eastAsiaTheme="minorEastAsia"/>
          <w:sz w:val="24"/>
          <w:szCs w:val="24"/>
        </w:rPr>
        <w:t xml:space="preserve">weak crustal </w:t>
      </w:r>
      <w:r w:rsidRPr="00AE584D">
        <w:rPr>
          <w:rFonts w:eastAsiaTheme="minorEastAsia"/>
          <w:sz w:val="24"/>
          <w:szCs w:val="24"/>
        </w:rPr>
        <w:t>channel</w:t>
      </w:r>
      <w:r w:rsidR="00732DBE" w:rsidRPr="00AE584D">
        <w:rPr>
          <w:rFonts w:eastAsiaTheme="minorEastAsia"/>
          <w:sz w:val="24"/>
          <w:szCs w:val="24"/>
        </w:rPr>
        <w:t xml:space="preserve"> with no melting</w:t>
      </w:r>
      <w:r w:rsidRPr="00AE584D">
        <w:rPr>
          <w:rFonts w:eastAsiaTheme="minorEastAsia"/>
          <w:sz w:val="24"/>
          <w:szCs w:val="24"/>
        </w:rPr>
        <w:t>, several studies suggest that the mid-to-lower crust of Tibet is partially molten, with estimated melt fractions ranging from 8–35%</w:t>
      </w:r>
      <w:r w:rsidRPr="00AE584D">
        <w:rPr>
          <w:sz w:val="24"/>
          <w:szCs w:val="24"/>
        </w:rPr>
        <w:fldChar w:fldCharType="begin" w:fldLock="1"/>
      </w:r>
      <w:r w:rsidR="00623644">
        <w:rPr>
          <w:sz w:val="24"/>
          <w:szCs w:val="24"/>
        </w:rPr>
        <w:instrText>ADDIN CSL_CITATION {"citationItems":[{"id":"ITEM-1","itemData":{"DOI":"10.1038/ncomms11888","ISSN":"20411723","abstract":"There is considerable controversy over the nature of geophysically recognized low-velocity-high-conductivity zones (LV-HCZs) within the Tibetan crust, and their role in models for the development of the Tibetan Plateau. Here we report petrological and geochemical data on magmas erupted 4.7-0.3 Myr ago in central and northern Tibet, demonstrating that they were generated by partial melting of crustal rocks at temperatures of 700-1,050 °C and pressures of 0.5-1.5 GPa. Thus Pliocene-Quaternary melting of crustal rocks occurred at depths of 15-50 km in areas where the LV-HCZs have been recognized. This provides new petrological evidence that the LV-HCZs are sources of partial melt. It is inferred that crustal melting played a key role in triggering crustal weakening and outward crustal flow in the expansion of the Tibetan Plateau.","author":[{"dropping-particle":"","family":"Wang","given":"Qiang","non-dropping-particle":"","parse-names":false,"suffix":""},{"dropping-particle":"","family":"Hawkesworth","given":"Chris J.","non-dropping-particle":"","parse-names":false,"suffix":""},{"dropping-particle":"","family":"Wyman","given":"Derek","non-dropping-particle":"","parse-names":false,"suffix":""},{"dropping-particle":"","family":"Chung","given":"Sun Lin","non-dropping-particle":"","parse-names":false,"suffix":""},{"dropping-particle":"","family":"Wu","given":"Fu Yuan","non-dropping-particle":"","parse-names":false,"suffix":""},{"dropping-particle":"","family":"Li","given":"Xian Hua","non-dropping-particle":"","parse-names":false,"suffix":""},{"dropping-particle":"","family":"Li","given":"Zheng Xiang","non-dropping-particle":"","parse-names":false,"suffix":""},{"dropping-particle":"","family":"Gou","given":"Guo Ning","non-dropping-particle":"","parse-names":false,"suffix":""},{"dropping-particle":"","family":"Zhang","given":"Xiu Zheng","non-dropping-particle":"","parse-names":false,"suffix":""},{"dropping-particle":"","family":"Tang","given":"Gong Jian","non-dropping-particle":"","parse-names":false,"suffix":""},{"dropping-particle":"","family":"Dan","given":"Wei","non-dropping-particle":"","parse-names":false,"suffix":""},{"dropping-particle":"","family":"Ma","given":"Lin","non-dropping-particle":"","parse-names":false,"suffix":""},{"dropping-particle":"","family":"Dong","given":"Yan Hui","non-dropping-particle":"","parse-names":false,"suffix":""}],"container-title":"Nature Communications","id":"ITEM-1","issued":{"date-parts":[["2016"]]},"title":"Pliocene-Quaternary crustal melting in central and northern Tibet and insights into crustal flow","type":"article-journal","volume":"7"},"uris":["http://www.mendeley.com/documents/?uuid=6d8f4b5d-6d4d-38d7-9ead-a9c54ab2ea3b"]},{"id":"ITEM-2","itemData":{"DOI":"10.1038/s41467-018-05934-7","ISSN":"20411723","abstract":"Abundant granitic rocks exposed in ancient mountain belts suggest that crustal melting plays a major role in orogenic processes. However, complex field relations and superposition of multiple tectonic events make it difficult to determine the role of melting in orogenesis. In contrast, geophysical measurements image present-day crustal conditions but cannot discriminate between partial melt and aqueous fluids. Here we connect pressure–temperature paths of Himalayan Miocene crustal rocks to the present-day conditions beneath the Tibetan plateau imaged with geophysical data. We use measurements of electrical conductivity to show that 4–16% water-rich melt is required to explain the crustal conductivity in the north-western Himalaya. In southern Tibet, higher melt fractions &gt;30% reflect a crust that is either fluid-enriched (+1% H2O) or hotter (+100 °C) compared to the Miocene crust. These melt fractions are high enough for the partially molten rocks to be significantly weaker than the solid crust.","author":[{"dropping-particle":"","family":"Chen","given":"Jinyu","non-dropping-particle":"","parse-names":false,"suffix":""},{"dropping-particle":"","family":"Gaillard","given":"Fabrice","non-dropping-particle":"","parse-names":false,"suffix":""},{"dropping-particle":"","family":"Villaros","given":"Arnaud","non-dropping-particle":"","parse-names":false,"suffix":""},{"dropping-particle":"","family":"Yang","given":"Xiaosong","non-dropping-particle":"","parse-names":false,"suffix":""},{"dropping-particle":"","family":"Laumonier","given":"Mickael","non-dropping-particle":"","parse-names":false,"suffix":""},{"dropping-particle":"","family":"Jolivet","given":"Laurent","non-dropping-particle":"","parse-names":false,"suffix":""},{"dropping-particle":"","family":"Unsworth","given":"Martyn","non-dropping-particle":"","parse-names":false,"suffix":""},{"dropping-particle":"","family":"Hashim","given":"Leïla","non-dropping-particle":"","parse-names":false,"suffix":""},{"dropping-particle":"","family":"Scaillet","given":"Bruno","non-dropping-particle":"","parse-names":false,"suffix":""},{"dropping-particle":"","family":"Richard","given":"Guillaume","non-dropping-particle":"","parse-names":false,"suffix":""}],"container-title":"Nature Communications","id":"ITEM-2","issue":"1","issued":{"date-parts":[["2018"]]},"title":"Melting conditions in the modern Tibetan crust since the Miocene","type":"article-journal","volume":"9"},"uris":["http://www.mendeley.com/documents/?uuid=1f7c376c-8f15-3962-a42f-89a4ae7bd726"]},{"id":"ITEM-3","itemData":{"DOI":"10.1130/G49534.1","ISSN":"19432682","abstract":"The topographic transition of central–northern Tibet since the early Miocene has created a consistently high and flat plateau similar to that of today. However, to date, the associated deep crust and/or /mantle events are poorly understood, mainly due to an early Miocene metamorphic–magmatic lull within the Qiangtang Block. To address this issue, we undertook a study of crustal xenoliths and zircon xenocrysts in 6.0–2.3 Ma lavas in the Qiangtang Block. The occurrence of 22.6–12.9 Ma high-temperature–low-pressure granulite xenoliths implies that the middle crust of the block has been very hot since that time. Zircon xenocrysts and granitic xenoliths from 6.0–2.3 Ma lavas were studied and shown to have high δ18O values, which supports Miocene crustal melting and the formation of unexposed, coeval felsic plutons. Combined with paleoelevation data from the Tibetan Plateau, our results suggest that the early Miocene cold–hot thermal transition of the middle–lower crust was near-synchronous with topographic evolution from high-relief mountains to a flat plateau, which supports crustal flow as the main topographic smoothing mechanism for central–northern Tibet","author":[{"dropping-particle":"","family":"Zhang","given":"Xiu Zheng","non-dropping-particle":"","parse-names":false,"suffix":""},{"dropping-particle":"","family":"Wang","given":"Qiang","non-dropping-particle":"","parse-names":false,"suffix":""},{"dropping-particle":"","family":"Wyman","given":"Derek","non-dropping-particle":"","parse-names":false,"suffix":""},{"dropping-particle":"","family":"Ou","given":"Quan","non-dropping-particle":"","parse-names":false,"suffix":""},{"dropping-particle":"","family":"Qi","given":"Yue","non-dropping-particle":"","parse-names":false,"suffix":""},{"dropping-particle":"","family":"Gou","given":"Guo Ning","non-dropping-particle":"","parse-names":false,"suffix":""},{"dropping-particle":"","family":"Dan","given":"Wei","non-dropping-particle":"","parse-names":false,"suffix":""},{"dropping-particle":"","family":"Yang","given":"Ya Nan","non-dropping-particle":"","parse-names":false,"suffix":""}],"container-title":"Geology","id":"ITEM-3","issue":"5","issued":{"date-parts":[["2022"]]},"title":"Tibetan Plateau growth linked to crustal thermal transitions since the Miocene","type":"article-journal","volume":"50"},"uris":["http://www.mendeley.com/documents/?uuid=8d0b6162-d051-363f-932c-59cda71d328a"]},{"id":"ITEM-4","itemData":{"DOI":"10.1038/nature04154","ISSN":"14764687","abstract":"The Cenozoic collision between the Indian and Asian continents formed the Tibetan plateau, beginning about 70 million years ago. Since this time, at least 1,400 km of convergence has been accommodated by a combination of underthrusting of Indian and Asian lithosphere, crustal shortening, horizontal extrusion and lithospheric delamination. Rocks exposed in the Himalaya show evidence of crustal melting and are thought to have been exhumed by rapid erosion and climatically forced crustal flow. Magnetotelluric data can be used to image subsurface electrical resistivity, a parameter sensitive to the presence of interconnected fluids in the host rock matrix, even at low volume fractions. Here we present magnetotelluric data from the Tibetan-Himalayan orogen from 77°E to 92°E, which show that low resistivity, interpreted as a partially molten layer, is present along at least 1,000 km of the southern margin of the Tibetan plateau. The inferred low viscosity of this layer is consistent with the development of climatically forced crustal flow in Southern Tibet. © 2005 Nature Publishing Group.","author":[{"dropping-particle":"","family":"Unsworth","given":"M. J.","non-dropping-particle":"","parse-names":false,"suffix":""},{"dropping-particle":"","family":"Jones","given":"A. G.","non-dropping-particle":"","parse-names":false,"suffix":""},{"dropping-particle":"","family":"Wei","given":"W.","non-dropping-particle":"","parse-names":false,"suffix":""},{"dropping-particle":"","family":"Marquis","given":"G.","non-dropping-particle":"","parse-names":false,"suffix":""},{"dropping-particle":"","family":"Gokarn","given":"S. G.","non-dropping-particle":"","parse-names":false,"suffix":""},{"dropping-particle":"","family":"Spratt","given":"J. E.","non-dropping-particle":"","parse-names":false,"suffix":""},{"dropping-particle":"","family":"Bedrosian","given":"Paul","non-dropping-particle":"","parse-names":false,"suffix":""},{"dropping-particle":"","family":"Booker","given":"John","non-dropping-particle":"","parse-names":false,"suffix":""},{"dropping-particle":"","family":"Leshou","given":"Chen","non-dropping-particle":"","parse-names":false,"suffix":""},{"dropping-particle":"","family":"Clarke","given":"Greg","non-dropping-particle":"","parse-names":false,"suffix":""},{"dropping-particle":"","family":"Shenghui","given":"Li","non-dropping-particle":"","parse-names":false,"suffix":""},{"dropping-particle":"","family":"Chanhong","given":"Lin","non-dropping-particle":"","parse-names":false,"suffix":""},{"dropping-particle":"","family":"Ming","given":"Deng","non-dropping-particle":"","parse-names":false,"suffix":""},{"dropping-particle":"","family":"Sheng","given":"Jin","non-dropping-particle":"","parse-names":false,"suffix":""},{"dropping-particle":"","family":"Solon","given":"Kurt","non-dropping-particle":"","parse-names":false,"suffix":""},{"dropping-particle":"","family":"Handong","given":"Tan","non-dropping-particle":"","parse-names":false,"suffix":""},{"dropping-particle":"","family":"Ledo","given":"Juanjo","non-dropping-particle":"","parse-names":false,"suffix":""},{"dropping-particle":"","family":"Roberts","given":"Brian","non-dropping-particle":"","parse-names":false,"suffix":""}],"container-title":"Nature","id":"ITEM-4","issue":"7064","issued":{"date-parts":[["2005"]]},"title":"Crustal rheology of the Himalaya and Southern Tibet inferred from magnetotelluric data","type":"article-journal","volume":"438"},"uris":["http://www.mendeley.com/documents/?uuid=b57a6368-797b-3ce5-89c6-b0aeffdb4dc7"]}],"mendeley":{"formattedCitation":"&lt;sup&gt;16–19&lt;/sup&gt;","plainTextFormattedCitation":"16–19","previouslyFormattedCitation":"&lt;sup&gt;16–19&lt;/sup&gt;"},"properties":{"noteIndex":0},"schema":"https://github.com/citation-style-language/schema/raw/master/csl-citation.json"}</w:instrText>
      </w:r>
      <w:r w:rsidRPr="00AE584D">
        <w:rPr>
          <w:sz w:val="24"/>
          <w:szCs w:val="24"/>
        </w:rPr>
        <w:fldChar w:fldCharType="separate"/>
      </w:r>
      <w:r w:rsidR="00623644" w:rsidRPr="00623644">
        <w:rPr>
          <w:noProof/>
          <w:sz w:val="24"/>
          <w:szCs w:val="24"/>
          <w:vertAlign w:val="superscript"/>
        </w:rPr>
        <w:t>16–19</w:t>
      </w:r>
      <w:r w:rsidRPr="00AE584D">
        <w:rPr>
          <w:sz w:val="24"/>
          <w:szCs w:val="24"/>
        </w:rPr>
        <w:fldChar w:fldCharType="end"/>
      </w:r>
      <w:r w:rsidRPr="00AE584D">
        <w:rPr>
          <w:sz w:val="24"/>
          <w:szCs w:val="24"/>
        </w:rPr>
        <w:t>. It is also possible that the mid-to-lower crust of the Apennines is partially molten</w:t>
      </w:r>
      <w:r w:rsidR="008E2D06">
        <w:rPr>
          <w:sz w:val="24"/>
          <w:szCs w:val="24"/>
        </w:rPr>
        <w:fldChar w:fldCharType="begin" w:fldLock="1"/>
      </w:r>
      <w:r w:rsidR="00623644">
        <w:rPr>
          <w:sz w:val="24"/>
          <w:szCs w:val="24"/>
        </w:rPr>
        <w:instrText>ADDIN CSL_CITATION {"citationItems":[{"id":"ITEM-1","itemData":{"DOI":"10.1038/s43247-024-01230-z","ISSN":"26624435","abstract":"Physical properties and structure of the lithosphere are the first step to constrain the evolution of mountain belts. Here we show detailed shear wave velocity profiles of the lithosphere in the Apennines that clarify a controversial aspect of continental subduction: the intricate mechanism of crust delamination from the downgoing plate. From the analysis of complete and dense teleseismic Receiver Function data set, we find that the delamination of the continental lithosphere is favored by the development of a low seismic shear wave velocity zone in the middle-lower crust. We observe a double Moho below the external portions of the present mountain range, suggesting the progressive formation of the shallow interface. The delamination edge is located in the forearc, far eastward than expected, implying that the re-equilibration of the thermal unbalance, generated by the mantle substitution, may last 10-7 Myr.","author":[{"dropping-particle":"","family":"Menichelli","given":"Irene","non-dropping-particle":"","parse-names":false,"suffix":""},{"dropping-particle":"","family":"Bianchi","given":"Irene","non-dropping-particle":"","parse-names":false,"suffix":""},{"dropping-particle":"","family":"Chiarabba","given":"Claudio","non-dropping-particle":"","parse-names":false,"suffix":""}],"container-title":"Communications Earth and Environment","id":"ITEM-1","issue":"1","issued":{"date-parts":[["2024"]]},"title":"A lower crust shear zone facilitates delamination and continental subduction under the Apennines","type":"article-journal","volume":"5"},"uris":["http://www.mendeley.com/documents/?uuid=5f4bc93a-6f53-3a05-b57f-a358db903f46"]}],"mendeley":{"formattedCitation":"&lt;sup&gt;5&lt;/sup&gt;","plainTextFormattedCitation":"5","previouslyFormattedCitation":"&lt;sup&gt;5&lt;/sup&gt;"},"properties":{"noteIndex":0},"schema":"https://github.com/citation-style-language/schema/raw/master/csl-citation.json"}</w:instrText>
      </w:r>
      <w:r w:rsidR="008E2D06">
        <w:rPr>
          <w:sz w:val="24"/>
          <w:szCs w:val="24"/>
        </w:rPr>
        <w:fldChar w:fldCharType="separate"/>
      </w:r>
      <w:r w:rsidR="00623644" w:rsidRPr="00623644">
        <w:rPr>
          <w:noProof/>
          <w:sz w:val="24"/>
          <w:szCs w:val="24"/>
          <w:vertAlign w:val="superscript"/>
        </w:rPr>
        <w:t>5</w:t>
      </w:r>
      <w:r w:rsidR="008E2D06">
        <w:rPr>
          <w:sz w:val="24"/>
          <w:szCs w:val="24"/>
        </w:rPr>
        <w:fldChar w:fldCharType="end"/>
      </w:r>
      <w:r w:rsidRPr="00AE584D">
        <w:rPr>
          <w:sz w:val="24"/>
          <w:szCs w:val="24"/>
        </w:rPr>
        <w:t>. Partial melting of approximately 8% is believed to lower the viscosity</w:t>
      </w:r>
      <w:r w:rsidR="00730BB9" w:rsidRPr="00AE584D">
        <w:rPr>
          <w:sz w:val="24"/>
          <w:szCs w:val="24"/>
        </w:rPr>
        <w:t>, decreasing the pre-exponential factor (I) in equations (15) and (2</w:t>
      </w:r>
      <w:r w:rsidR="00C359D8">
        <w:rPr>
          <w:sz w:val="24"/>
          <w:szCs w:val="24"/>
        </w:rPr>
        <w:t>2</w:t>
      </w:r>
      <w:r w:rsidR="00730BB9" w:rsidRPr="00AE584D">
        <w:rPr>
          <w:sz w:val="24"/>
          <w:szCs w:val="24"/>
        </w:rPr>
        <w:t xml:space="preserve">) by an order of </w:t>
      </w:r>
      <w:r w:rsidR="00730BB9" w:rsidRPr="007F7E5F">
        <w:rPr>
          <w:sz w:val="24"/>
          <w:szCs w:val="24"/>
        </w:rPr>
        <w:t>magnitude</w:t>
      </w:r>
      <w:r w:rsidR="00730BB9" w:rsidRPr="00C359D8">
        <w:rPr>
          <w:sz w:val="24"/>
          <w:szCs w:val="24"/>
        </w:rPr>
        <w:t>.</w:t>
      </w:r>
      <w:r w:rsidRPr="00C359D8">
        <w:rPr>
          <w:sz w:val="24"/>
          <w:szCs w:val="24"/>
        </w:rPr>
        <w:t xml:space="preserve"> </w:t>
      </w:r>
      <w:r w:rsidRPr="00AE584D">
        <w:rPr>
          <w:sz w:val="24"/>
          <w:szCs w:val="24"/>
        </w:rPr>
        <w:t xml:space="preserve">To assess how melting </w:t>
      </w:r>
      <w:r w:rsidR="008E72E0">
        <w:rPr>
          <w:sz w:val="24"/>
          <w:szCs w:val="24"/>
        </w:rPr>
        <w:t xml:space="preserve">may </w:t>
      </w:r>
      <w:r w:rsidRPr="00AE584D">
        <w:rPr>
          <w:sz w:val="24"/>
          <w:szCs w:val="24"/>
        </w:rPr>
        <w:t>affect both the required channel thickness and fault strength</w:t>
      </w:r>
      <w:r w:rsidR="00732DBE" w:rsidRPr="00AE584D">
        <w:rPr>
          <w:sz w:val="24"/>
          <w:szCs w:val="24"/>
        </w:rPr>
        <w:t xml:space="preserve"> </w:t>
      </w:r>
      <w:r w:rsidR="00730BB9" w:rsidRPr="00AE584D">
        <w:rPr>
          <w:sz w:val="24"/>
          <w:szCs w:val="24"/>
        </w:rPr>
        <w:t xml:space="preserve">necessary </w:t>
      </w:r>
      <w:r w:rsidRPr="00AE584D">
        <w:rPr>
          <w:sz w:val="24"/>
          <w:szCs w:val="24"/>
        </w:rPr>
        <w:t>to fit the observed strain rate-elevation correlation in Tibet</w:t>
      </w:r>
      <w:r w:rsidRPr="00AE584D">
        <w:rPr>
          <w:rFonts w:eastAsiaTheme="minorEastAsia"/>
          <w:sz w:val="24"/>
          <w:szCs w:val="24"/>
        </w:rPr>
        <w:fldChar w:fldCharType="begin" w:fldLock="1"/>
      </w:r>
      <w:r w:rsidR="00623644">
        <w:rPr>
          <w:rFonts w:eastAsiaTheme="minorEastAsia"/>
          <w:sz w:val="24"/>
          <w:szCs w:val="24"/>
        </w:rPr>
        <w:instrText xml:space="preserve">ADDIN CSL_CITATION {"citationItems":[{"id":"ITEM-1","itemData":{"DOI":"10.1016/j.jseaes.2019.03.021","ISSN":"13679120","abstract":"We propose that topography can be used as a proxy for the eastward lateral “glacier-like flow” of the Tibetan crust in the Himalayan-Tibetan orogenic system. Geodetic observations across the Tibetan plateau indicate </w:instrText>
      </w:r>
      <w:r w:rsidR="00623644">
        <w:rPr>
          <w:rFonts w:ascii="Cambria Math" w:eastAsiaTheme="minorEastAsia" w:hAnsi="Cambria Math" w:cs="Cambria Math"/>
          <w:sz w:val="24"/>
          <w:szCs w:val="24"/>
        </w:rPr>
        <w:instrText>∼</w:instrText>
      </w:r>
      <w:r w:rsidR="00623644">
        <w:rPr>
          <w:rFonts w:eastAsiaTheme="minorEastAsia"/>
          <w:sz w:val="24"/>
          <w:szCs w:val="24"/>
        </w:rPr>
        <w:instrText>22 mm/yr of crustal motion with respect to stable Eurasia by considering Newtonian channel flow model. Further, correlation between regional strain rate (ė) and topographic elevation (h) is found to be statistically robust, with stress exponent (n) of 3.03 ± 0.1. Therefore, we suggest that the Tibetan crust follows well defined power-law relation that is consistent with the nonlinear deformation associated with dislocation-creep. Moreover, the predicted viscosity range of the Tibetan crust is consistent with the channel flow model proposed by previous investigators using different approaches in different time scales.","author":[{"dropping-particle":"","family":"Panda","given":"Dibyashakti","non-dropping-particle":"","parse-names":false,"suffix":""},{"dropping-particle":"","family":"Mondal","given":"Amit","non-dropping-particle":"","parse-names":false,"suffix":""},{"dropping-particle":"","family":"Kundu","given":"Bhaskar","non-dropping-particle":"","parse-names":false,"suffix":""}],"container-title":"Journal of Asian Earth Sciences","id":"ITEM-1","issued":{"date-parts":[["2019"]]},"title":"Eastward “glacier-like flow” of the Tibetan crust constrained from power-law rheology","type":"article-journal","volume":"177"},"uris":["http://www.mendeley.com/documents/?uuid=867890b9-ae42-3312-b782-c4325b2f87b8"]}],"mendeley":{"formattedCitation":"&lt;sup&gt;7&lt;/sup&gt;","plainTextFormattedCitation":"7","previouslyFormattedCitation":"&lt;sup&gt;7&lt;/sup&gt;"},"properties":{"noteIndex":0},"schema":"https://github.com/citation-style-language/schema/raw/master/csl-citation.json"}</w:instrText>
      </w:r>
      <w:r w:rsidRPr="00AE584D">
        <w:rPr>
          <w:rFonts w:eastAsiaTheme="minorEastAsia"/>
          <w:sz w:val="24"/>
          <w:szCs w:val="24"/>
        </w:rPr>
        <w:fldChar w:fldCharType="separate"/>
      </w:r>
      <w:r w:rsidR="00623644" w:rsidRPr="00623644">
        <w:rPr>
          <w:rFonts w:eastAsiaTheme="minorEastAsia"/>
          <w:noProof/>
          <w:sz w:val="24"/>
          <w:szCs w:val="24"/>
          <w:vertAlign w:val="superscript"/>
        </w:rPr>
        <w:t>7</w:t>
      </w:r>
      <w:r w:rsidRPr="00AE584D">
        <w:rPr>
          <w:rFonts w:eastAsiaTheme="minorEastAsia"/>
          <w:sz w:val="24"/>
          <w:szCs w:val="24"/>
        </w:rPr>
        <w:fldChar w:fldCharType="end"/>
      </w:r>
      <w:r w:rsidRPr="00AE584D">
        <w:rPr>
          <w:sz w:val="24"/>
          <w:szCs w:val="24"/>
        </w:rPr>
        <w:t>, we increased the pre-exponential factor (</w:t>
      </w:r>
      <w:r w:rsidRPr="00AE584D">
        <w:rPr>
          <w:i/>
          <w:iCs/>
          <w:sz w:val="24"/>
          <w:szCs w:val="24"/>
        </w:rPr>
        <w:t>A</w:t>
      </w:r>
      <w:r w:rsidRPr="00AE584D">
        <w:rPr>
          <w:sz w:val="24"/>
          <w:szCs w:val="24"/>
        </w:rPr>
        <w:t xml:space="preserve">) </w:t>
      </w:r>
      <w:r w:rsidR="00732DBE" w:rsidRPr="00AE584D">
        <w:rPr>
          <w:sz w:val="24"/>
          <w:szCs w:val="24"/>
        </w:rPr>
        <w:t>in equation (</w:t>
      </w:r>
      <w:r w:rsidR="00197DAD">
        <w:rPr>
          <w:sz w:val="24"/>
          <w:szCs w:val="24"/>
        </w:rPr>
        <w:t xml:space="preserve">22 </w:t>
      </w:r>
      <w:r w:rsidR="00732DBE" w:rsidRPr="00AE584D">
        <w:rPr>
          <w:sz w:val="24"/>
          <w:szCs w:val="24"/>
        </w:rPr>
        <w:t xml:space="preserve">) </w:t>
      </w:r>
      <w:r w:rsidRPr="00AE584D">
        <w:rPr>
          <w:sz w:val="24"/>
          <w:szCs w:val="24"/>
        </w:rPr>
        <w:t xml:space="preserve">by orders of magnitude (10, 100, and 1000) for both plagioclase and wet quartzite (supplementary tables. </w:t>
      </w:r>
      <w:r w:rsidR="00990A08">
        <w:rPr>
          <w:sz w:val="24"/>
          <w:szCs w:val="24"/>
        </w:rPr>
        <w:t>5</w:t>
      </w:r>
      <w:r w:rsidRPr="00AE584D">
        <w:rPr>
          <w:sz w:val="24"/>
          <w:szCs w:val="24"/>
        </w:rPr>
        <w:t xml:space="preserve"> and </w:t>
      </w:r>
      <w:r w:rsidR="00990A08">
        <w:rPr>
          <w:sz w:val="24"/>
          <w:szCs w:val="24"/>
        </w:rPr>
        <w:t>6</w:t>
      </w:r>
      <w:r w:rsidRPr="00AE584D">
        <w:rPr>
          <w:sz w:val="24"/>
          <w:szCs w:val="24"/>
        </w:rPr>
        <w:t xml:space="preserve">). </w:t>
      </w:r>
    </w:p>
    <w:p w14:paraId="5D55C75C" w14:textId="56E5145D" w:rsidR="006C74A6" w:rsidRPr="00AE584D" w:rsidRDefault="001B57FE" w:rsidP="00DB0303">
      <w:pPr>
        <w:bidi w:val="0"/>
        <w:spacing w:line="360" w:lineRule="auto"/>
        <w:jc w:val="both"/>
        <w:rPr>
          <w:rFonts w:eastAsiaTheme="minorEastAsia"/>
          <w:sz w:val="24"/>
          <w:szCs w:val="24"/>
        </w:rPr>
      </w:pPr>
      <w:r w:rsidRPr="00AE584D">
        <w:rPr>
          <w:sz w:val="24"/>
          <w:szCs w:val="24"/>
        </w:rPr>
        <w:t>For both plagioclase and wet quartzite, increasing (</w:t>
      </w:r>
      <w:r w:rsidRPr="00AE584D">
        <w:rPr>
          <w:i/>
          <w:iCs/>
          <w:sz w:val="24"/>
          <w:szCs w:val="24"/>
        </w:rPr>
        <w:t>A</w:t>
      </w:r>
      <w:r w:rsidRPr="00AE584D">
        <w:rPr>
          <w:sz w:val="24"/>
          <w:szCs w:val="24"/>
        </w:rPr>
        <w:t>) reduces the width of the required channel to fit the observed strain rate-elevation correlation in Tibet</w:t>
      </w:r>
      <w:r w:rsidRPr="00AE584D">
        <w:rPr>
          <w:rFonts w:eastAsiaTheme="minorEastAsia"/>
          <w:sz w:val="24"/>
          <w:szCs w:val="24"/>
        </w:rPr>
        <w:fldChar w:fldCharType="begin" w:fldLock="1"/>
      </w:r>
      <w:r w:rsidR="00623644">
        <w:rPr>
          <w:rFonts w:eastAsiaTheme="minorEastAsia"/>
          <w:sz w:val="24"/>
          <w:szCs w:val="24"/>
        </w:rPr>
        <w:instrText xml:space="preserve">ADDIN CSL_CITATION {"citationItems":[{"id":"ITEM-1","itemData":{"DOI":"10.1016/j.jseaes.2019.03.021","ISSN":"13679120","abstract":"We propose that topography can be used as a proxy for the eastward lateral “glacier-like flow” of the Tibetan crust in the Himalayan-Tibetan orogenic system. Geodetic observations across the Tibetan plateau indicate </w:instrText>
      </w:r>
      <w:r w:rsidR="00623644">
        <w:rPr>
          <w:rFonts w:ascii="Cambria Math" w:eastAsiaTheme="minorEastAsia" w:hAnsi="Cambria Math" w:cs="Cambria Math"/>
          <w:sz w:val="24"/>
          <w:szCs w:val="24"/>
        </w:rPr>
        <w:instrText>∼</w:instrText>
      </w:r>
      <w:r w:rsidR="00623644">
        <w:rPr>
          <w:rFonts w:eastAsiaTheme="minorEastAsia"/>
          <w:sz w:val="24"/>
          <w:szCs w:val="24"/>
        </w:rPr>
        <w:instrText>22 mm/yr of crustal motion with respect to stable Eurasia by considering Newtonian channel flow model. Further, correlation between regional strain rate (ė) and topographic elevation (h) is found to be statistically robust, with stress exponent (n) of 3.03 ± 0.1. Therefore, we suggest that the Tibetan crust follows well defined power-law relation that is consistent with the nonlinear deformation associated with dislocation-creep. Moreover, the predicted viscosity range of the Tibetan crust is consistent with the channel flow model proposed by previous investigators using different approaches in different time scales.","author":[{"dropping-particle":"","family":"Panda","given":"Dibyashakti","non-dropping-particle":"","parse-names":false,"suffix":""},{"dropping-particle":"","family":"Mondal","given":"Amit","non-dropping-particle":"","parse-names":false,"suffix":""},{"dropping-particle":"","family":"Kundu","given":"Bhaskar","non-dropping-particle":"","parse-names":false,"suffix":""}],"container-title":"Journal of Asian Earth Sciences","id":"ITEM-1","issued":{"date-parts":[["2019"]]},"title":"Eastward “glacier-like flow” of the Tibetan crust constrained from power-law rheology","type":"article-journal","volume":"177"},"uris":["http://www.mendeley.com/documents/?uuid=867890b9-ae42-3312-b782-c4325b2f87b8"]}],"mendeley":{"formattedCitation":"&lt;sup&gt;7&lt;/sup&gt;","plainTextFormattedCitation":"7","previouslyFormattedCitation":"&lt;sup&gt;7&lt;/sup&gt;"},"properties":{"noteIndex":0},"schema":"https://github.com/citation-style-language/schema/raw/master/csl-citation.json"}</w:instrText>
      </w:r>
      <w:r w:rsidRPr="00AE584D">
        <w:rPr>
          <w:rFonts w:eastAsiaTheme="minorEastAsia"/>
          <w:sz w:val="24"/>
          <w:szCs w:val="24"/>
        </w:rPr>
        <w:fldChar w:fldCharType="separate"/>
      </w:r>
      <w:r w:rsidR="00623644" w:rsidRPr="00623644">
        <w:rPr>
          <w:rFonts w:eastAsiaTheme="minorEastAsia"/>
          <w:noProof/>
          <w:sz w:val="24"/>
          <w:szCs w:val="24"/>
          <w:vertAlign w:val="superscript"/>
        </w:rPr>
        <w:t>7</w:t>
      </w:r>
      <w:r w:rsidRPr="00AE584D">
        <w:rPr>
          <w:rFonts w:eastAsiaTheme="minorEastAsia"/>
          <w:sz w:val="24"/>
          <w:szCs w:val="24"/>
        </w:rPr>
        <w:fldChar w:fldCharType="end"/>
      </w:r>
      <w:r w:rsidRPr="00AE584D">
        <w:rPr>
          <w:rFonts w:eastAsiaTheme="minorEastAsia"/>
          <w:sz w:val="24"/>
          <w:szCs w:val="24"/>
        </w:rPr>
        <w:t>. In the case of plagioclase, the model indicates that extremely weak faults are necessary to fit the data, for all values of the pre-exponential factor, similar to the case</w:t>
      </w:r>
      <w:r w:rsidR="00732DBE" w:rsidRPr="00AE584D">
        <w:rPr>
          <w:rFonts w:eastAsiaTheme="minorEastAsia"/>
          <w:sz w:val="24"/>
          <w:szCs w:val="24"/>
        </w:rPr>
        <w:t xml:space="preserve"> with no </w:t>
      </w:r>
      <w:r w:rsidR="00E81289" w:rsidRPr="00AE584D">
        <w:rPr>
          <w:rFonts w:eastAsiaTheme="minorEastAsia"/>
          <w:sz w:val="24"/>
          <w:szCs w:val="24"/>
        </w:rPr>
        <w:t>melting</w:t>
      </w:r>
      <w:r w:rsidRPr="00AE584D">
        <w:rPr>
          <w:rFonts w:eastAsiaTheme="minorEastAsia"/>
          <w:sz w:val="24"/>
          <w:szCs w:val="24"/>
        </w:rPr>
        <w:t xml:space="preserve"> where </w:t>
      </w:r>
      <w:r w:rsidRPr="00AE584D">
        <w:rPr>
          <w:rFonts w:eastAsiaTheme="minorEastAsia"/>
          <w:i/>
          <w:iCs/>
          <w:sz w:val="24"/>
          <w:szCs w:val="24"/>
        </w:rPr>
        <w:t>A</w:t>
      </w:r>
      <w:r w:rsidRPr="00AE584D">
        <w:rPr>
          <w:rFonts w:eastAsiaTheme="minorEastAsia"/>
          <w:sz w:val="24"/>
          <w:szCs w:val="24"/>
        </w:rPr>
        <w:t xml:space="preserve"> is unchanged. For wet quartzite, the model suggests that as </w:t>
      </w:r>
      <w:r w:rsidRPr="00AE584D">
        <w:rPr>
          <w:rFonts w:eastAsiaTheme="minorEastAsia"/>
          <w:i/>
          <w:iCs/>
          <w:sz w:val="24"/>
          <w:szCs w:val="24"/>
        </w:rPr>
        <w:t>A</w:t>
      </w:r>
      <w:r w:rsidRPr="00AE584D">
        <w:rPr>
          <w:rFonts w:eastAsiaTheme="minorEastAsia"/>
          <w:sz w:val="24"/>
          <w:szCs w:val="24"/>
        </w:rPr>
        <w:t xml:space="preserve"> </w:t>
      </w:r>
      <w:r w:rsidRPr="00AE584D">
        <w:rPr>
          <w:rFonts w:eastAsiaTheme="minorEastAsia"/>
          <w:sz w:val="24"/>
          <w:szCs w:val="24"/>
        </w:rPr>
        <w:lastRenderedPageBreak/>
        <w:t xml:space="preserve">increases, the fault strength </w:t>
      </w:r>
      <m:oMath>
        <m:r>
          <w:rPr>
            <w:rFonts w:ascii="Cambria Math" w:hAnsi="Cambria Math"/>
            <w:sz w:val="24"/>
            <w:szCs w:val="24"/>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hAnsi="Cambria Math"/>
            <w:sz w:val="24"/>
            <w:szCs w:val="24"/>
          </w:rPr>
          <m:t>=</m:t>
        </m:r>
        <m:sSup>
          <m:sSupPr>
            <m:ctrlPr>
              <w:rPr>
                <w:rFonts w:ascii="Cambria Math" w:eastAsiaTheme="minorEastAsia" w:hAnsi="Cambria Math"/>
                <w:i/>
                <w:iCs/>
                <w:sz w:val="24"/>
                <w:szCs w:val="24"/>
              </w:rPr>
            </m:ctrlPr>
          </m:sSupPr>
          <m:e>
            <m:r>
              <w:rPr>
                <w:rFonts w:ascii="Cambria Math" w:eastAsiaTheme="minorEastAsia" w:hAnsi="Cambria Math"/>
                <w:sz w:val="24"/>
                <w:szCs w:val="24"/>
              </w:rPr>
              <m:t>μ</m:t>
            </m:r>
          </m:e>
          <m:sup>
            <m:r>
              <w:rPr>
                <w:rFonts w:ascii="Cambria Math" w:hAnsi="Cambria Math"/>
                <w:sz w:val="24"/>
                <w:szCs w:val="24"/>
              </w:rPr>
              <m:t>*</m:t>
            </m:r>
          </m:sup>
        </m:sSup>
        <m:r>
          <w:rPr>
            <w:rFonts w:ascii="Cambria Math" w:hAnsi="Cambria Math"/>
            <w:sz w:val="24"/>
            <w:szCs w:val="24"/>
          </w:rPr>
          <m:t>(1-</m:t>
        </m:r>
        <m:r>
          <w:rPr>
            <w:rFonts w:ascii="Cambria Math" w:eastAsiaTheme="minorEastAsia" w:hAnsi="Cambria Math"/>
            <w:sz w:val="24"/>
            <w:szCs w:val="24"/>
          </w:rPr>
          <m:t>λ)</m:t>
        </m:r>
      </m:oMath>
      <w:r w:rsidR="00ED6B3D">
        <w:rPr>
          <w:rFonts w:eastAsiaTheme="minorEastAsia"/>
          <w:sz w:val="24"/>
          <w:szCs w:val="24"/>
        </w:rPr>
        <w:t>)</w:t>
      </w:r>
      <w:r w:rsidRPr="00AE584D">
        <w:rPr>
          <w:rFonts w:eastAsiaTheme="minorEastAsia"/>
          <w:sz w:val="24"/>
          <w:szCs w:val="24"/>
        </w:rPr>
        <w:t xml:space="preserve"> must decrease</w:t>
      </w:r>
      <w:r w:rsidR="00732DBE" w:rsidRPr="00AE584D">
        <w:rPr>
          <w:rFonts w:eastAsiaTheme="minorEastAsia"/>
          <w:sz w:val="24"/>
          <w:szCs w:val="24"/>
        </w:rPr>
        <w:t xml:space="preserve"> </w:t>
      </w:r>
      <w:r w:rsidR="00730BB9" w:rsidRPr="00AE584D">
        <w:rPr>
          <w:rFonts w:eastAsiaTheme="minorEastAsia"/>
          <w:sz w:val="24"/>
          <w:szCs w:val="24"/>
        </w:rPr>
        <w:t xml:space="preserve">to optimally fit the data </w:t>
      </w:r>
      <w:r w:rsidRPr="00AE584D">
        <w:rPr>
          <w:rFonts w:eastAsiaTheme="minorEastAsia"/>
          <w:sz w:val="24"/>
          <w:szCs w:val="24"/>
        </w:rPr>
        <w:t xml:space="preserve">(Supplementary figures </w:t>
      </w:r>
      <w:r w:rsidR="00990A08">
        <w:rPr>
          <w:rFonts w:eastAsiaTheme="minorEastAsia"/>
          <w:sz w:val="24"/>
          <w:szCs w:val="24"/>
        </w:rPr>
        <w:t>4</w:t>
      </w:r>
      <w:r w:rsidRPr="00AE584D">
        <w:rPr>
          <w:rFonts w:eastAsiaTheme="minorEastAsia"/>
          <w:sz w:val="24"/>
          <w:szCs w:val="24"/>
        </w:rPr>
        <w:t xml:space="preserve"> and </w:t>
      </w:r>
      <w:r w:rsidR="00990A08">
        <w:rPr>
          <w:rFonts w:eastAsiaTheme="minorEastAsia"/>
          <w:sz w:val="24"/>
          <w:szCs w:val="24"/>
        </w:rPr>
        <w:t>5</w:t>
      </w:r>
      <w:r w:rsidRPr="00AE584D">
        <w:rPr>
          <w:rFonts w:eastAsiaTheme="minorEastAsia"/>
          <w:sz w:val="24"/>
          <w:szCs w:val="24"/>
        </w:rPr>
        <w:t xml:space="preserve"> and </w:t>
      </w:r>
      <w:r w:rsidRPr="00AE584D">
        <w:rPr>
          <w:sz w:val="24"/>
          <w:szCs w:val="24"/>
        </w:rPr>
        <w:t xml:space="preserve">supplementary tables. </w:t>
      </w:r>
      <w:r w:rsidR="00990A08">
        <w:rPr>
          <w:sz w:val="24"/>
          <w:szCs w:val="24"/>
        </w:rPr>
        <w:t>5</w:t>
      </w:r>
      <w:r w:rsidRPr="00AE584D">
        <w:rPr>
          <w:sz w:val="24"/>
          <w:szCs w:val="24"/>
        </w:rPr>
        <w:t xml:space="preserve"> and </w:t>
      </w:r>
      <w:r w:rsidR="00990A08">
        <w:rPr>
          <w:sz w:val="24"/>
          <w:szCs w:val="24"/>
        </w:rPr>
        <w:t>6</w:t>
      </w:r>
      <w:r w:rsidRPr="00AE584D">
        <w:rPr>
          <w:rFonts w:eastAsiaTheme="minorEastAsia"/>
          <w:sz w:val="24"/>
          <w:szCs w:val="24"/>
        </w:rPr>
        <w:t>). Given the unrealistic nature of extremely weak faults</w:t>
      </w:r>
      <w:r w:rsidR="00E81289" w:rsidRPr="00AE584D">
        <w:rPr>
          <w:rFonts w:eastAsiaTheme="minorEastAsia"/>
          <w:sz w:val="24"/>
          <w:szCs w:val="24"/>
        </w:rPr>
        <w:t xml:space="preserve"> (see </w:t>
      </w:r>
      <w:r w:rsidR="00990A08" w:rsidRPr="00AE584D">
        <w:rPr>
          <w:rFonts w:eastAsiaTheme="minorEastAsia"/>
          <w:sz w:val="24"/>
          <w:szCs w:val="24"/>
        </w:rPr>
        <w:t xml:space="preserve">Supplementary figures </w:t>
      </w:r>
      <w:r w:rsidR="00990A08">
        <w:rPr>
          <w:rFonts w:eastAsiaTheme="minorEastAsia"/>
          <w:sz w:val="24"/>
          <w:szCs w:val="24"/>
        </w:rPr>
        <w:t>2</w:t>
      </w:r>
      <w:r w:rsidR="00730BB9" w:rsidRPr="00AE584D">
        <w:rPr>
          <w:rFonts w:eastAsiaTheme="minorEastAsia"/>
          <w:sz w:val="24"/>
          <w:szCs w:val="24"/>
        </w:rPr>
        <w:t xml:space="preserve"> for the interpretation of extremely low </w:t>
      </w:r>
      <m:oMath>
        <m:r>
          <m:rPr>
            <m:sty m:val="p"/>
          </m:rP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oMath>
      <w:r w:rsidR="00E81289" w:rsidRPr="00AE584D">
        <w:rPr>
          <w:rFonts w:eastAsiaTheme="minorEastAsia"/>
          <w:sz w:val="24"/>
          <w:szCs w:val="24"/>
        </w:rPr>
        <w:t xml:space="preserve"> in term of </w:t>
      </w:r>
      <m:oMath>
        <m:r>
          <w:rPr>
            <w:rFonts w:ascii="Cambria Math" w:eastAsiaTheme="minorEastAsia" w:hAnsi="Cambria Math"/>
            <w:sz w:val="24"/>
            <w:szCs w:val="24"/>
          </w:rPr>
          <m:t>μ</m:t>
        </m:r>
      </m:oMath>
      <w:r w:rsidR="00E81289" w:rsidRPr="00AE584D">
        <w:rPr>
          <w:rFonts w:eastAsiaTheme="minorEastAsia"/>
          <w:sz w:val="24"/>
          <w:szCs w:val="24"/>
        </w:rPr>
        <w:t xml:space="preserve"> and </w:t>
      </w:r>
      <m:oMath>
        <m:r>
          <w:rPr>
            <w:rFonts w:ascii="Cambria Math" w:eastAsiaTheme="minorEastAsia" w:hAnsi="Cambria Math"/>
            <w:sz w:val="24"/>
            <w:szCs w:val="24"/>
          </w:rPr>
          <m:t>λ</m:t>
        </m:r>
      </m:oMath>
      <w:r w:rsidR="00E81289" w:rsidRPr="00AE584D">
        <w:rPr>
          <w:rFonts w:eastAsiaTheme="minorEastAsia"/>
          <w:sz w:val="24"/>
          <w:szCs w:val="24"/>
        </w:rPr>
        <w:t>)</w:t>
      </w:r>
      <w:r w:rsidRPr="00AE584D">
        <w:rPr>
          <w:rFonts w:eastAsiaTheme="minorEastAsia"/>
          <w:sz w:val="24"/>
          <w:szCs w:val="24"/>
        </w:rPr>
        <w:t>, we can rule out the possibility of plagioclase as the dominant material in the weak crustal layer. Therefore, our findings suggest that the rheology of this layer is more consistent with quartz-rich rocks, characterized by a stress exponent of approximately 2.</w:t>
      </w:r>
    </w:p>
    <w:p w14:paraId="74DA485E" w14:textId="0DCE4B29" w:rsidR="002F609A" w:rsidRDefault="00324F84" w:rsidP="002F609A">
      <w:pPr>
        <w:bidi w:val="0"/>
        <w:spacing w:line="360" w:lineRule="auto"/>
        <w:jc w:val="both"/>
        <w:rPr>
          <w:color w:val="FF0000"/>
        </w:rPr>
      </w:pPr>
      <w:r>
        <w:rPr>
          <w:noProof/>
          <w:color w:val="FF0000"/>
        </w:rPr>
        <w:drawing>
          <wp:inline distT="0" distB="0" distL="0" distR="0" wp14:anchorId="1DEF83FC" wp14:editId="1D98E678">
            <wp:extent cx="5487035" cy="4432300"/>
            <wp:effectExtent l="0" t="0" r="0" b="6350"/>
            <wp:docPr id="16045314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7035" cy="4432300"/>
                    </a:xfrm>
                    <a:prstGeom prst="rect">
                      <a:avLst/>
                    </a:prstGeom>
                    <a:noFill/>
                  </pic:spPr>
                </pic:pic>
              </a:graphicData>
            </a:graphic>
          </wp:inline>
        </w:drawing>
      </w:r>
    </w:p>
    <w:p w14:paraId="1651AC56" w14:textId="32638815" w:rsidR="00581768" w:rsidRDefault="002F609A" w:rsidP="003E0B39">
      <w:pPr>
        <w:bidi w:val="0"/>
        <w:spacing w:line="360" w:lineRule="auto"/>
        <w:jc w:val="both"/>
      </w:pPr>
      <w:r w:rsidRPr="002F609A">
        <w:rPr>
          <w:b/>
          <w:bCs/>
        </w:rPr>
        <w:t xml:space="preserve">Supplementary Figure </w:t>
      </w:r>
      <w:r w:rsidR="00D03B61">
        <w:rPr>
          <w:b/>
          <w:bCs/>
        </w:rPr>
        <w:t>1</w:t>
      </w:r>
      <w:r w:rsidRPr="002F609A">
        <w:rPr>
          <w:b/>
          <w:bCs/>
        </w:rPr>
        <w:t>: Weak crust and extension strain rates in the Tibetan Plateau. (a)</w:t>
      </w:r>
      <w:r w:rsidRPr="002F609A">
        <w:t xml:space="preserve"> Horizontal GPS velocities of crustal motion relative to stable Eurasia (red arrows). Blue shaded </w:t>
      </w:r>
      <w:r w:rsidR="00C31454">
        <w:t xml:space="preserve">rectangle </w:t>
      </w:r>
      <w:r w:rsidRPr="002F609A">
        <w:t>show</w:t>
      </w:r>
      <w:r w:rsidR="00C2133D">
        <w:t>s</w:t>
      </w:r>
      <w:r w:rsidRPr="002F609A">
        <w:t xml:space="preserve"> the location of the profiles</w:t>
      </w:r>
      <w:r w:rsidR="003E0B39">
        <w:fldChar w:fldCharType="begin" w:fldLock="1"/>
      </w:r>
      <w:r w:rsidR="003E0B39">
        <w:instrText xml:space="preserve">ADDIN CSL_CITATION {"citationItems":[{"id":"ITEM-1","itemData":{"DOI":"10.1016/j.jseaes.2019.03.021","ISSN":"13679120","abstract":"We propose that topography can be used as a proxy for the eastward lateral “glacier-like flow” of the Tibetan crust in the Himalayan-Tibetan orogenic system. Geodetic observations across the Tibetan plateau indicate </w:instrText>
      </w:r>
      <w:r w:rsidR="003E0B39">
        <w:rPr>
          <w:rFonts w:ascii="Cambria Math" w:hAnsi="Cambria Math" w:cs="Cambria Math"/>
        </w:rPr>
        <w:instrText>∼</w:instrText>
      </w:r>
      <w:r w:rsidR="003E0B39">
        <w:instrText>22 mm/yr of crustal motion with respect to stable Eurasia by considering Newtonian channel flow model. Further, correlation between regional strain rate (ė) and topographic elevation (h) is found to be statistically robust, with stress exponent (n) of 3.03 ± 0.1. Therefore, we suggest that the Tibetan crust follows well defined power-law relation that is consistent with the nonlinear deformation associated with dislocation-creep. Moreover, the predicted viscosity range of the Tibetan crust is consistent with the channel flow model proposed by previous investigators using different approaches in different time scales.","author":[{"dropping-particle":"","family":"Panda","given":"Dibyashakti","non-dropping-particle":"","parse-names":false,"suffix":""},{"dropping-particle":"","family":"Mondal","given":"Amit","non-dropping-particle":"","parse-names":false,"suffix":""},{"dropping-particle":"","family":"Kundu","given":"Bhaskar","non-dropping-particle":"","parse-names":false,"suffix":""}],"container-title":"Journal of Asian Earth Sciences","id":"ITEM-1","issued":{"date-parts":[["2019"]]},"title":"Eastward “glacier-like flow” of the Tibetan crust constrained from power-law rheology","type":"article-journal","volume":"177"},"uris":["http://www.mendeley.com/documents/?uuid=867890b9-ae42-3312-b782-c4325b2f87b8"]}],"mendeley":{"formattedCitation":"&lt;sup&gt;7&lt;/sup&gt;","plainTextFormattedCitation":"7","previouslyFormattedCitation":"&lt;sup&gt;7&lt;/sup&gt;"},"properties":{"noteIndex":0},"schema":"https://github.com/citation-style-language/schema/raw/master/csl-citation.json"}</w:instrText>
      </w:r>
      <w:r w:rsidR="003E0B39">
        <w:fldChar w:fldCharType="separate"/>
      </w:r>
      <w:r w:rsidR="003E0B39" w:rsidRPr="003E0B39">
        <w:rPr>
          <w:noProof/>
          <w:vertAlign w:val="superscript"/>
        </w:rPr>
        <w:t>7</w:t>
      </w:r>
      <w:r w:rsidR="003E0B39">
        <w:fldChar w:fldCharType="end"/>
      </w:r>
      <w:r w:rsidRPr="002F609A">
        <w:t xml:space="preserve"> for the topography verses strain rate data </w:t>
      </w:r>
      <w:r w:rsidR="003E0B39" w:rsidRPr="003E0B39">
        <w:t>(modified from ref.</w:t>
      </w:r>
      <w:r w:rsidR="003E0B39">
        <w:fldChar w:fldCharType="begin" w:fldLock="1"/>
      </w:r>
      <w:r w:rsidR="003E0B39">
        <w:instrText xml:space="preserve">ADDIN CSL_CITATION {"citationItems":[{"id":"ITEM-1","itemData":{"DOI":"10.1016/j.jseaes.2019.03.021","ISSN":"13679120","abstract":"We propose that topography can be used as a proxy for the eastward lateral “glacier-like flow” of the Tibetan crust in the Himalayan-Tibetan orogenic system. Geodetic observations across the Tibetan plateau indicate </w:instrText>
      </w:r>
      <w:r w:rsidR="003E0B39">
        <w:rPr>
          <w:rFonts w:ascii="Cambria Math" w:hAnsi="Cambria Math" w:cs="Cambria Math"/>
        </w:rPr>
        <w:instrText>∼</w:instrText>
      </w:r>
      <w:r w:rsidR="003E0B39">
        <w:instrText>22 mm/yr of crustal motion with respect to stable Eurasia by considering Newtonian channel flow model. Further, correlation between regional strain rate (ė) and topographic elevation (h) is found to be statistically robust, with stress exponent (n) of 3.03 ± 0.1. Therefore, we suggest that the Tibetan crust follows well defined power-law relation that is consistent with the nonlinear deformation associated with dislocation-creep. Moreover, the predicted viscosity range of the Tibetan crust is consistent with the channel flow model proposed by previous investigators using different approaches in different time scales.","author":[{"dropping-particle":"","family":"Panda","given":"Dibyashakti","non-dropping-particle":"","parse-names":false,"suffix":""},{"dropping-particle":"","family":"Mondal","given":"Amit","non-dropping-particle":"","parse-names":false,"suffix":""},{"dropping-particle":"","family":"Kundu","given":"Bhaskar","non-dropping-particle":"","parse-names":false,"suffix":""}],"container-title":"Journal of Asian Earth Sciences","id":"ITEM-1","issued":{"date-parts":[["2019"]]},"title":"Eastward “glacier-like flow” of the Tibetan crust constrained from power-law rheology","type":"article-journal","volume":"177"},"uris":["http://www.mendeley.com/documents/?uuid=867890b9-ae42-3312-b782-c4325b2f87b8"]}],"mendeley":{"formattedCitation":"&lt;sup&gt;7&lt;/sup&gt;","plainTextFormattedCitation":"7","previouslyFormattedCitation":"&lt;sup&gt;7&lt;/sup&gt;"},"properties":{"noteIndex":0},"schema":"https://github.com/citation-style-language/schema/raw/master/csl-citation.json"}</w:instrText>
      </w:r>
      <w:r w:rsidR="003E0B39">
        <w:fldChar w:fldCharType="separate"/>
      </w:r>
      <w:r w:rsidR="003E0B39" w:rsidRPr="003E0B39">
        <w:rPr>
          <w:noProof/>
          <w:vertAlign w:val="superscript"/>
        </w:rPr>
        <w:t>7</w:t>
      </w:r>
      <w:r w:rsidR="003E0B39">
        <w:fldChar w:fldCharType="end"/>
      </w:r>
      <w:r w:rsidR="003E0B39" w:rsidRPr="003E0B39">
        <w:t>).</w:t>
      </w:r>
      <w:r w:rsidRPr="002F609A">
        <w:t xml:space="preserve"> </w:t>
      </w:r>
      <w:r w:rsidRPr="002F609A">
        <w:rPr>
          <w:b/>
          <w:bCs/>
        </w:rPr>
        <w:t>(b)</w:t>
      </w:r>
      <w:r w:rsidRPr="002F609A">
        <w:t xml:space="preserve"> The mean GPS velocity component (red line), along with its error (shaded region), projected in the N110°E direction across the blue-shaded swath profile, which represents the mean direction of Tibetan crustal extension</w:t>
      </w:r>
      <w:r w:rsidR="00E852C1" w:rsidRPr="00E852C1">
        <w:rPr>
          <w:sz w:val="24"/>
          <w:szCs w:val="24"/>
        </w:rPr>
        <w:t xml:space="preserve"> </w:t>
      </w:r>
      <w:r w:rsidR="003E0B39" w:rsidRPr="003E0B39">
        <w:rPr>
          <w:sz w:val="24"/>
          <w:szCs w:val="24"/>
        </w:rPr>
        <w:t>(modified from ref.</w:t>
      </w:r>
      <w:r w:rsidR="003E0B39">
        <w:rPr>
          <w:sz w:val="24"/>
          <w:szCs w:val="24"/>
        </w:rPr>
        <w:fldChar w:fldCharType="begin" w:fldLock="1"/>
      </w:r>
      <w:r w:rsidR="003E0B39">
        <w:rPr>
          <w:sz w:val="24"/>
          <w:szCs w:val="24"/>
        </w:rPr>
        <w:instrText xml:space="preserve">ADDIN CSL_CITATION {"citationItems":[{"id":"ITEM-1","itemData":{"DOI":"10.1016/j.jseaes.2019.03.021","ISSN":"13679120","abstract":"We propose that topography can be used as a proxy for the eastward lateral “glacier-like flow” of the Tibetan crust in the Himalayan-Tibetan orogenic system. Geodetic observations across the Tibetan plateau indicate </w:instrText>
      </w:r>
      <w:r w:rsidR="003E0B39">
        <w:rPr>
          <w:rFonts w:ascii="Cambria Math" w:hAnsi="Cambria Math" w:cs="Cambria Math"/>
          <w:sz w:val="24"/>
          <w:szCs w:val="24"/>
        </w:rPr>
        <w:instrText>∼</w:instrText>
      </w:r>
      <w:r w:rsidR="003E0B39">
        <w:rPr>
          <w:sz w:val="24"/>
          <w:szCs w:val="24"/>
        </w:rPr>
        <w:instrText>22 mm/yr of crustal motion with respect to stable Eurasia by considering Newtonian channel flow model. Further, correlation between regional strain rate (ė) and topographic elevation (h) is found to be statistically robust, with stress exponent (n) of 3.03 ± 0.1. Therefore, we suggest that the Tibetan crust follows well defined power-law relation that is consistent with the nonlinear deformation associated with dislocation-creep. Moreover, the predicted viscosity range of the Tibetan crust is consistent with the channel flow model proposed by previous investigators using different approaches in different time scales.","author":[{"dropping-particle":"","family":"Panda","given":"Dibyashakti","non-dropping-particle":"","parse-names":false,"suffix":""},{"dropping-particle":"","family":"Mondal","given":"Amit","non-dropping-particle":"","parse-names":false,"suffix":""},{"dropping-particle":"","family":"Kundu","given":"Bhaskar","non-dropping-particle":"","parse-names":false,"suffix":""}],"container-title":"Journal of Asian Earth Sciences","id":"ITEM-1","issued":{"date-parts":[["2019"]]},"title":"Eastward “glacier-like flow” of the Tibetan crust constrained from power-law rheology","type":"article-journal","volume":"177"},"uris":["http://www.mendeley.com/documents/?uuid=867890b9-ae42-3312-b782-c4325b2f87b8"]}],"mendeley":{"formattedCitation":"&lt;sup&gt;7&lt;/sup&gt;","plainTextFormattedCitation":"7","previouslyFormattedCitation":"&lt;sup&gt;7&lt;/sup&gt;"},"properties":{"noteIndex":0},"schema":"https://github.com/citation-style-language/schema/raw/master/csl-citation.json"}</w:instrText>
      </w:r>
      <w:r w:rsidR="003E0B39">
        <w:rPr>
          <w:sz w:val="24"/>
          <w:szCs w:val="24"/>
        </w:rPr>
        <w:fldChar w:fldCharType="separate"/>
      </w:r>
      <w:r w:rsidR="003E0B39" w:rsidRPr="003E0B39">
        <w:rPr>
          <w:noProof/>
          <w:sz w:val="24"/>
          <w:szCs w:val="24"/>
          <w:vertAlign w:val="superscript"/>
        </w:rPr>
        <w:t>7</w:t>
      </w:r>
      <w:r w:rsidR="003E0B39">
        <w:rPr>
          <w:sz w:val="24"/>
          <w:szCs w:val="24"/>
        </w:rPr>
        <w:fldChar w:fldCharType="end"/>
      </w:r>
      <w:r w:rsidR="003E0B39" w:rsidRPr="003E0B39">
        <w:rPr>
          <w:sz w:val="24"/>
          <w:szCs w:val="24"/>
        </w:rPr>
        <w:t>).</w:t>
      </w:r>
      <w:r w:rsidRPr="002F609A">
        <w:rPr>
          <w:b/>
          <w:bCs/>
        </w:rPr>
        <w:t>(c)</w:t>
      </w:r>
      <w:r w:rsidRPr="002F609A">
        <w:t xml:space="preserve"> A map of the Tibetan region showing the approximate area of deep crustal flow (blue shading) with topographic contours</w:t>
      </w:r>
      <w:r w:rsidR="003E0B39">
        <w:rPr>
          <w:sz w:val="24"/>
          <w:szCs w:val="24"/>
        </w:rPr>
        <w:t xml:space="preserve">. </w:t>
      </w:r>
      <w:r w:rsidR="007F4115" w:rsidRPr="007F4115">
        <w:t xml:space="preserve">Inferred lower crustal flow directions are indicated by black </w:t>
      </w:r>
      <w:r w:rsidR="007F4115" w:rsidRPr="007F4115">
        <w:lastRenderedPageBreak/>
        <w:t>arrows, while normal faults are outlined in red</w:t>
      </w:r>
      <w:r w:rsidR="003E0B39">
        <w:t xml:space="preserve"> </w:t>
      </w:r>
      <w:r w:rsidR="003E0B39">
        <w:rPr>
          <w:sz w:val="24"/>
          <w:szCs w:val="24"/>
        </w:rPr>
        <w:t>(</w:t>
      </w:r>
      <w:r w:rsidR="003E0B39" w:rsidRPr="00B3755E">
        <w:rPr>
          <w:sz w:val="24"/>
          <w:szCs w:val="24"/>
        </w:rPr>
        <w:t>Modified from ref. </w:t>
      </w:r>
      <w:r w:rsidR="003E0B39">
        <w:rPr>
          <w:sz w:val="24"/>
          <w:szCs w:val="24"/>
        </w:rPr>
        <w:fldChar w:fldCharType="begin" w:fldLock="1"/>
      </w:r>
      <w:r w:rsidR="003E0B39">
        <w:rPr>
          <w:sz w:val="24"/>
          <w:szCs w:val="24"/>
        </w:rPr>
        <w:instrText>ADDIN CSL_CITATION {"citationItems":[{"id":"ITEM-1","itemData":{"DOI":"10.1126/science.1155371","ISSN":"00368075","abstract":"The geological evolution of the Tibetan plateau is best viewed in a context broader than the India-Eurasia collision zone. After collision about 50 million years ago, crust was shortened in western and central Tibet, while large fragments of lithosphere moved from the collision zone toward areas of trench rollback in the western Pacific and Indonesia. Cessation of rapid Pacific trench migration (</w:instrText>
      </w:r>
      <w:r w:rsidR="003E0B39">
        <w:rPr>
          <w:rFonts w:ascii="Cambria Math" w:hAnsi="Cambria Math" w:cs="Cambria Math"/>
          <w:sz w:val="24"/>
          <w:szCs w:val="24"/>
        </w:rPr>
        <w:instrText>∼</w:instrText>
      </w:r>
      <w:r w:rsidR="003E0B39">
        <w:rPr>
          <w:sz w:val="24"/>
          <w:szCs w:val="24"/>
        </w:rPr>
        <w:instrText>15 to 20 million years ago) coincided with a slowing of fragment extrusion beyond the plateau and probably contributed to the onset of rapid surface uplift and crustal thickening in eastern Tibet. The latter appear to result from rapid eastward flow of the deep crust, probably within crustal channels imaged seismically beneath eastern Tibet. These events mark a transition to the modern structural system that currently accommodates deformation within Tibet.","author":[{"dropping-particle":"","family":"Royden","given":"Leigh H.","non-dropping-particle":"","parse-names":false,"suffix":""},{"dropping-particle":"","family":"Burchfiel","given":"B. Clark","non-dropping-particle":"","parse-names":false,"suffix":""},{"dropping-particle":"","family":"Hilst","given":"Robert D.","non-dropping-particle":"Van Der","parse-names":false,"suffix":""}],"container-title":"Science","id":"ITEM-1","issue":"5892","issued":{"date-parts":[["2008"]]},"title":"The geological evolution of the Tibetan plateau","type":"article","volume":"321"},"uris":["http://www.mendeley.com/documents/?uuid=8b96fb93-3a20-3ce4-9b11-bd1ea71ce8fc"]}],"mendeley":{"formattedCitation":"&lt;sup&gt;20&lt;/sup&gt;","plainTextFormattedCitation":"20","previouslyFormattedCitation":"&lt;sup&gt;20&lt;/sup&gt;"},"properties":{"noteIndex":0},"schema":"https://github.com/citation-style-language/schema/raw/master/csl-citation.json"}</w:instrText>
      </w:r>
      <w:r w:rsidR="003E0B39">
        <w:rPr>
          <w:sz w:val="24"/>
          <w:szCs w:val="24"/>
        </w:rPr>
        <w:fldChar w:fldCharType="separate"/>
      </w:r>
      <w:r w:rsidR="003E0B39" w:rsidRPr="00E852C1">
        <w:rPr>
          <w:noProof/>
          <w:sz w:val="24"/>
          <w:szCs w:val="24"/>
          <w:vertAlign w:val="superscript"/>
        </w:rPr>
        <w:t>20</w:t>
      </w:r>
      <w:r w:rsidR="003E0B39">
        <w:rPr>
          <w:sz w:val="24"/>
          <w:szCs w:val="24"/>
        </w:rPr>
        <w:fldChar w:fldCharType="end"/>
      </w:r>
      <w:r w:rsidR="003E0B39">
        <w:rPr>
          <w:sz w:val="24"/>
          <w:szCs w:val="24"/>
        </w:rPr>
        <w:t>)</w:t>
      </w:r>
      <w:r w:rsidR="007F4115" w:rsidRPr="007F4115">
        <w:t>.</w:t>
      </w:r>
      <w:r w:rsidRPr="002F609A">
        <w:t xml:space="preserve"> </w:t>
      </w:r>
      <w:r w:rsidRPr="002F609A">
        <w:rPr>
          <w:b/>
          <w:bCs/>
        </w:rPr>
        <w:t>(d)</w:t>
      </w:r>
      <w:r w:rsidRPr="002F609A">
        <w:t xml:space="preserve"> Topographic profiles (C-C' in green and D-D' in turquoise). The corresponding strain rates along each profile are also depicted. The blue shaded area in (a) represents the shaded region, and as can be seen, their mean topography from ref</w:t>
      </w:r>
      <w:r w:rsidR="00676B7A">
        <w:t>.</w:t>
      </w:r>
      <w:r w:rsidR="00676B7A">
        <w:fldChar w:fldCharType="begin" w:fldLock="1"/>
      </w:r>
      <w:r w:rsidR="00676B7A">
        <w:instrText xml:space="preserve">ADDIN CSL_CITATION {"citationItems":[{"id":"ITEM-1","itemData":{"DOI":"10.1016/j.jseaes.2019.03.021","ISSN":"13679120","abstract":"We propose that topography can be used as a proxy for the eastward lateral “glacier-like flow” of the Tibetan crust in the Himalayan-Tibetan orogenic system. Geodetic observations across the Tibetan plateau indicate </w:instrText>
      </w:r>
      <w:r w:rsidR="00676B7A">
        <w:rPr>
          <w:rFonts w:ascii="Cambria Math" w:hAnsi="Cambria Math" w:cs="Cambria Math"/>
        </w:rPr>
        <w:instrText>∼</w:instrText>
      </w:r>
      <w:r w:rsidR="00676B7A">
        <w:instrText>22 mm/yr of crustal motion with respect to stable Eurasia by considering Newtonian channel flow model. Further, correlation between regional strain rate (ė) and topographic elevation (h) is found to be statistically robust, with stress exponent (n) of 3.03 ± 0.1. Therefore, we suggest that the Tibetan crust follows well defined power-law relation that is consistent with the nonlinear deformation associated with dislocation-creep. Moreover, the predicted viscosity range of the Tibetan crust is consistent with the channel flow model proposed by previous investigators using different approaches in different time scales.","author":[{"dropping-particle":"","family":"Panda","given":"Dibyashakti","non-dropping-particle":"","parse-names":false,"suffix":""},{"dropping-particle":"","family":"Mondal","given":"Amit","non-dropping-particle":"","parse-names":false,"suffix":""},{"dropping-particle":"","family":"Kundu","given":"Bhaskar","non-dropping-particle":"","parse-names":false,"suffix":""}],"container-title":"Journal of Asian Earth Sciences","id":"ITEM-1","issued":{"date-parts":[["2019"]]},"title":"Eastward “glacier-like flow” of the Tibetan crust constrained from power-law rheology","type":"article-journal","volume":"177"},"uris":["http://www.mendeley.com/documents/?uuid=867890b9-ae42-3312-b782-c4325b2f87b8"]}],"mendeley":{"formattedCitation":"&lt;sup&gt;7&lt;/sup&gt;","plainTextFormattedCitation":"7"},"properties":{"noteIndex":0},"schema":"https://github.com/citation-style-language/schema/raw/master/csl-citation.json"}</w:instrText>
      </w:r>
      <w:r w:rsidR="00676B7A">
        <w:fldChar w:fldCharType="separate"/>
      </w:r>
      <w:r w:rsidR="00676B7A" w:rsidRPr="00676B7A">
        <w:rPr>
          <w:noProof/>
          <w:vertAlign w:val="superscript"/>
        </w:rPr>
        <w:t>7</w:t>
      </w:r>
      <w:r w:rsidR="00676B7A">
        <w:fldChar w:fldCharType="end"/>
      </w:r>
      <w:r w:rsidRPr="002F609A">
        <w:t xml:space="preserve"> is the maximum topography in our model input.</w:t>
      </w:r>
    </w:p>
    <w:p w14:paraId="653CD90C" w14:textId="1C6EE911" w:rsidR="004178B5" w:rsidRPr="002F609A" w:rsidRDefault="004178B5" w:rsidP="004178B5">
      <w:pPr>
        <w:bidi w:val="0"/>
        <w:spacing w:line="360" w:lineRule="auto"/>
        <w:jc w:val="both"/>
      </w:pPr>
      <w:r>
        <w:rPr>
          <w:noProof/>
        </w:rPr>
        <w:drawing>
          <wp:inline distT="0" distB="0" distL="0" distR="0" wp14:anchorId="5561ACC2" wp14:editId="5BD1121A">
            <wp:extent cx="6162040" cy="2910177"/>
            <wp:effectExtent l="0" t="0" r="0" b="5080"/>
            <wp:docPr id="2945559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72371" cy="2915056"/>
                    </a:xfrm>
                    <a:prstGeom prst="rect">
                      <a:avLst/>
                    </a:prstGeom>
                    <a:noFill/>
                  </pic:spPr>
                </pic:pic>
              </a:graphicData>
            </a:graphic>
          </wp:inline>
        </w:drawing>
      </w:r>
    </w:p>
    <w:p w14:paraId="6B06135A" w14:textId="5E0BC29D" w:rsidR="004178B5" w:rsidRDefault="004178B5" w:rsidP="004178B5">
      <w:pPr>
        <w:bidi w:val="0"/>
        <w:spacing w:line="360" w:lineRule="auto"/>
        <w:jc w:val="both"/>
      </w:pPr>
      <w:r w:rsidRPr="002F609A">
        <w:rPr>
          <w:b/>
          <w:bCs/>
        </w:rPr>
        <w:t xml:space="preserve">Supplementary Figure </w:t>
      </w:r>
      <w:r w:rsidR="00D03B61">
        <w:rPr>
          <w:b/>
          <w:bCs/>
        </w:rPr>
        <w:t>2</w:t>
      </w:r>
      <w:r w:rsidRPr="002F609A">
        <w:rPr>
          <w:b/>
          <w:bCs/>
        </w:rPr>
        <w:t xml:space="preserve">: </w:t>
      </w:r>
      <w:r w:rsidRPr="00623644">
        <w:t xml:space="preserve">Contour plots </w:t>
      </w:r>
      <w:r w:rsidR="00990A08" w:rsidRPr="00623644">
        <w:t>of</w:t>
      </w:r>
      <w:r w:rsidR="00550994">
        <w:t xml:space="preserve"> fault strength,</w:t>
      </w:r>
      <w:r w:rsidR="00ED6B3D" w:rsidRPr="00550994">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hAnsi="Cambria Math"/>
          </w:rPr>
          <m:t>=</m:t>
        </m:r>
        <m:d>
          <m:dPr>
            <m:ctrlPr>
              <w:rPr>
                <w:rFonts w:ascii="Cambria Math" w:hAnsi="Cambria Math"/>
              </w:rPr>
            </m:ctrlPr>
          </m:dPr>
          <m:e>
            <m:r>
              <m:rPr>
                <m:sty m:val="p"/>
              </m:rPr>
              <w:rPr>
                <w:rFonts w:ascii="Cambria Math" w:hAnsi="Cambria Math"/>
              </w:rPr>
              <m:t>1-λ</m:t>
            </m:r>
          </m:e>
        </m:d>
        <m:sSup>
          <m:sSupPr>
            <m:ctrlPr>
              <w:rPr>
                <w:rFonts w:ascii="Cambria Math" w:hAnsi="Cambria Math"/>
              </w:rPr>
            </m:ctrlPr>
          </m:sSupPr>
          <m:e>
            <m:r>
              <m:rPr>
                <m:sty m:val="p"/>
              </m:rPr>
              <w:rPr>
                <w:rFonts w:ascii="Cambria Math" w:hAnsi="Cambria Math"/>
              </w:rPr>
              <m:t>μ</m:t>
            </m:r>
          </m:e>
          <m:sup>
            <m:r>
              <m:rPr>
                <m:sty m:val="p"/>
              </m:rPr>
              <w:rPr>
                <w:rFonts w:ascii="Cambria Math" w:hAnsi="Cambria Math"/>
              </w:rPr>
              <m:t>*</m:t>
            </m:r>
          </m:sup>
        </m:sSup>
        <m:r>
          <w:rPr>
            <w:rFonts w:ascii="Cambria Math" w:hAnsi="Cambria Math"/>
          </w:rPr>
          <m:t>,</m:t>
        </m:r>
      </m:oMath>
      <w:r w:rsidRPr="00623644">
        <w:t xml:space="preserve"> as function of λ and μ</w:t>
      </w:r>
      <w:r w:rsidR="00550994">
        <w:t xml:space="preserve"> for </w:t>
      </w:r>
      <w:r w:rsidRPr="00623644">
        <w:t>(a)</w:t>
      </w:r>
      <w:r w:rsidRPr="004178B5">
        <w:t xml:space="preserve"> Optimally oriented fault.</w:t>
      </w:r>
      <w:r w:rsidRPr="004178B5">
        <w:rPr>
          <w:b/>
          <w:bCs/>
        </w:rPr>
        <w:t xml:space="preserve"> (b)</w:t>
      </w:r>
      <w:r w:rsidRPr="004178B5">
        <w:t xml:space="preserve"> Fault dip = 60°</w:t>
      </w:r>
      <w:r w:rsidR="00545850">
        <w:t>.</w:t>
      </w:r>
    </w:p>
    <w:p w14:paraId="6747983F" w14:textId="77777777" w:rsidR="00D03B61" w:rsidRDefault="00D03B61" w:rsidP="00D03B61">
      <w:pPr>
        <w:bidi w:val="0"/>
        <w:spacing w:line="360" w:lineRule="auto"/>
        <w:jc w:val="both"/>
      </w:pPr>
    </w:p>
    <w:p w14:paraId="096BE3C8" w14:textId="77777777" w:rsidR="00D03B61" w:rsidRDefault="00D03B61" w:rsidP="00D03B61">
      <w:pPr>
        <w:bidi w:val="0"/>
        <w:spacing w:line="360" w:lineRule="auto"/>
        <w:jc w:val="both"/>
      </w:pPr>
      <w:r w:rsidRPr="00A8162B">
        <w:rPr>
          <w:noProof/>
        </w:rPr>
        <w:lastRenderedPageBreak/>
        <w:drawing>
          <wp:inline distT="0" distB="0" distL="0" distR="0" wp14:anchorId="3921789E" wp14:editId="7C4CD871">
            <wp:extent cx="6400763" cy="3641697"/>
            <wp:effectExtent l="0" t="0" r="635" b="0"/>
            <wp:docPr id="5" name="Picture 4" descr="A close-up of several maps&#10;&#10;AI-generated content may be incorrect.">
              <a:extLst xmlns:a="http://schemas.openxmlformats.org/drawingml/2006/main">
                <a:ext uri="{FF2B5EF4-FFF2-40B4-BE49-F238E27FC236}">
                  <a16:creationId xmlns:a16="http://schemas.microsoft.com/office/drawing/2014/main" id="{9A178B0B-E797-CD3C-0E36-C66505ED09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up of several maps&#10;&#10;AI-generated content may be incorrect.">
                      <a:extLst>
                        <a:ext uri="{FF2B5EF4-FFF2-40B4-BE49-F238E27FC236}">
                          <a16:creationId xmlns:a16="http://schemas.microsoft.com/office/drawing/2014/main" id="{9A178B0B-E797-CD3C-0E36-C66505ED091A}"/>
                        </a:ext>
                      </a:extLst>
                    </pic:cNvPr>
                    <pic:cNvPicPr>
                      <a:picLocks noChangeAspect="1"/>
                    </pic:cNvPicPr>
                  </pic:nvPicPr>
                  <pic:blipFill>
                    <a:blip r:embed="rId12"/>
                    <a:stretch>
                      <a:fillRect/>
                    </a:stretch>
                  </pic:blipFill>
                  <pic:spPr>
                    <a:xfrm>
                      <a:off x="0" y="0"/>
                      <a:ext cx="6407034" cy="3645265"/>
                    </a:xfrm>
                    <a:prstGeom prst="rect">
                      <a:avLst/>
                    </a:prstGeom>
                  </pic:spPr>
                </pic:pic>
              </a:graphicData>
            </a:graphic>
          </wp:inline>
        </w:drawing>
      </w:r>
    </w:p>
    <w:p w14:paraId="0B0E2802" w14:textId="2D2DC0D4" w:rsidR="00D03B61" w:rsidRPr="00B9554F" w:rsidRDefault="00D03B61" w:rsidP="00B3755E">
      <w:pPr>
        <w:bidi w:val="0"/>
        <w:spacing w:line="360" w:lineRule="auto"/>
        <w:jc w:val="both"/>
        <w:rPr>
          <w:sz w:val="24"/>
          <w:szCs w:val="24"/>
        </w:rPr>
      </w:pPr>
      <w:r w:rsidRPr="00B9554F">
        <w:rPr>
          <w:b/>
          <w:bCs/>
          <w:sz w:val="24"/>
          <w:szCs w:val="24"/>
        </w:rPr>
        <w:t xml:space="preserve">Supplementary Figure 3: (a-b) </w:t>
      </w:r>
      <w:proofErr w:type="spellStart"/>
      <w:r w:rsidRPr="00B9554F">
        <w:rPr>
          <w:sz w:val="24"/>
          <w:szCs w:val="24"/>
        </w:rPr>
        <w:t>Vp</w:t>
      </w:r>
      <w:proofErr w:type="spellEnd"/>
      <w:r w:rsidRPr="00B9554F">
        <w:rPr>
          <w:sz w:val="24"/>
          <w:szCs w:val="24"/>
        </w:rPr>
        <w:t xml:space="preserve"> cross-section along the Apennines. </w:t>
      </w:r>
      <w:r w:rsidRPr="00B9554F">
        <w:rPr>
          <w:b/>
          <w:bCs/>
          <w:sz w:val="24"/>
          <w:szCs w:val="24"/>
        </w:rPr>
        <w:t>(a)</w:t>
      </w:r>
      <w:r w:rsidRPr="00B9554F">
        <w:rPr>
          <w:sz w:val="24"/>
          <w:szCs w:val="24"/>
        </w:rPr>
        <w:t xml:space="preserve"> Map illustrating the distribution of seismic stations (triangles) utilized for the Receiver Function analysis. </w:t>
      </w:r>
      <w:r w:rsidRPr="00B9554F">
        <w:rPr>
          <w:b/>
          <w:bCs/>
          <w:sz w:val="24"/>
          <w:szCs w:val="24"/>
        </w:rPr>
        <w:t>(b)</w:t>
      </w:r>
      <w:r w:rsidRPr="00B9554F">
        <w:rPr>
          <w:sz w:val="24"/>
          <w:szCs w:val="24"/>
        </w:rPr>
        <w:t xml:space="preserve"> </w:t>
      </w:r>
      <w:proofErr w:type="spellStart"/>
      <w:r w:rsidRPr="00B9554F">
        <w:rPr>
          <w:sz w:val="24"/>
          <w:szCs w:val="24"/>
        </w:rPr>
        <w:t>Vp</w:t>
      </w:r>
      <w:proofErr w:type="spellEnd"/>
      <w:r w:rsidRPr="00B9554F">
        <w:rPr>
          <w:sz w:val="24"/>
          <w:szCs w:val="24"/>
        </w:rPr>
        <w:t xml:space="preserve"> cross-section along the A-A' profile shown in panel </w:t>
      </w:r>
      <w:r w:rsidRPr="00B9554F">
        <w:rPr>
          <w:b/>
          <w:bCs/>
          <w:sz w:val="24"/>
          <w:szCs w:val="24"/>
        </w:rPr>
        <w:t>(a)</w:t>
      </w:r>
      <w:r w:rsidRPr="00B9554F">
        <w:rPr>
          <w:sz w:val="24"/>
          <w:szCs w:val="24"/>
        </w:rPr>
        <w:t xml:space="preserve">. Black dots represent earthquake epicenters. A low-velocity zone, likely corresponding to a weak crustal layer, is discernible between the seismic discontinuity and the Moho </w:t>
      </w:r>
      <w:r w:rsidR="00B3755E" w:rsidRPr="00B9554F">
        <w:rPr>
          <w:sz w:val="24"/>
          <w:szCs w:val="24"/>
        </w:rPr>
        <w:t>(</w:t>
      </w:r>
      <w:r w:rsidR="00B3755E" w:rsidRPr="00B3755E">
        <w:rPr>
          <w:sz w:val="24"/>
          <w:szCs w:val="24"/>
        </w:rPr>
        <w:t>Modified from ref. </w:t>
      </w:r>
      <w:r w:rsidR="00B3755E">
        <w:rPr>
          <w:sz w:val="24"/>
          <w:szCs w:val="24"/>
        </w:rPr>
        <w:fldChar w:fldCharType="begin" w:fldLock="1"/>
      </w:r>
      <w:r w:rsidR="00623644">
        <w:rPr>
          <w:sz w:val="24"/>
          <w:szCs w:val="24"/>
        </w:rPr>
        <w:instrText>ADDIN CSL_CITATION {"citationItems":[{"id":"ITEM-1","itemData":{"DOI":"10.1038/s43247-024-01230-z","ISSN":"26624435","abstract":"Physical properties and structure of the lithosphere are the first step to constrain the evolution of mountain belts. Here we show detailed shear wave velocity profiles of the lithosphere in the Apennines that clarify a controversial aspect of continental subduction: the intricate mechanism of crust delamination from the downgoing plate. From the analysis of complete and dense teleseismic Receiver Function data set, we find that the delamination of the continental lithosphere is favored by the development of a low seismic shear wave velocity zone in the middle-lower crust. We observe a double Moho below the external portions of the present mountain range, suggesting the progressive formation of the shallow interface. The delamination edge is located in the forearc, far eastward than expected, implying that the re-equilibration of the thermal unbalance, generated by the mantle substitution, may last 10-7 Myr.","author":[{"dropping-particle":"","family":"Menichelli","given":"Irene","non-dropping-particle":"","parse-names":false,"suffix":""},{"dropping-particle":"","family":"Bianchi","given":"Irene","non-dropping-particle":"","parse-names":false,"suffix":""},{"dropping-particle":"","family":"Chiarabba","given":"Claudio","non-dropping-particle":"","parse-names":false,"suffix":""}],"container-title":"Communications Earth and Environment","id":"ITEM-1","issue":"1","issued":{"date-parts":[["2024"]]},"title":"A lower crust shear zone facilitates delamination and continental subduction under the Apennines","type":"article-journal","volume":"5"},"uris":["http://www.mendeley.com/documents/?uuid=5f4bc93a-6f53-3a05-b57f-a358db903f46"]}],"mendeley":{"formattedCitation":"&lt;sup&gt;5&lt;/sup&gt;","plainTextFormattedCitation":"5","previouslyFormattedCitation":"&lt;sup&gt;5&lt;/sup&gt;"},"properties":{"noteIndex":0},"schema":"https://github.com/citation-style-language/schema/raw/master/csl-citation.json"}</w:instrText>
      </w:r>
      <w:r w:rsidR="00B3755E">
        <w:rPr>
          <w:sz w:val="24"/>
          <w:szCs w:val="24"/>
        </w:rPr>
        <w:fldChar w:fldCharType="separate"/>
      </w:r>
      <w:r w:rsidR="00623644" w:rsidRPr="00623644">
        <w:rPr>
          <w:noProof/>
          <w:sz w:val="24"/>
          <w:szCs w:val="24"/>
          <w:vertAlign w:val="superscript"/>
        </w:rPr>
        <w:t>5</w:t>
      </w:r>
      <w:r w:rsidR="00B3755E">
        <w:rPr>
          <w:sz w:val="24"/>
          <w:szCs w:val="24"/>
        </w:rPr>
        <w:fldChar w:fldCharType="end"/>
      </w:r>
      <w:r w:rsidR="00B3755E">
        <w:rPr>
          <w:sz w:val="24"/>
          <w:szCs w:val="24"/>
        </w:rPr>
        <w:t>)</w:t>
      </w:r>
      <w:r w:rsidRPr="00B9554F">
        <w:rPr>
          <w:sz w:val="24"/>
          <w:szCs w:val="24"/>
        </w:rPr>
        <w:t>.</w:t>
      </w:r>
      <w:r w:rsidRPr="00B9554F">
        <w:rPr>
          <w:b/>
          <w:bCs/>
          <w:sz w:val="24"/>
          <w:szCs w:val="24"/>
        </w:rPr>
        <w:t xml:space="preserve"> (c-e)</w:t>
      </w:r>
      <w:r w:rsidRPr="00B9554F">
        <w:rPr>
          <w:sz w:val="24"/>
          <w:szCs w:val="24"/>
        </w:rPr>
        <w:t xml:space="preserve"> Vs cross-section along the southeastern margin of the Tibetan Plateau</w:t>
      </w:r>
      <w:r w:rsidRPr="00B9554F">
        <w:rPr>
          <w:sz w:val="24"/>
          <w:szCs w:val="24"/>
          <w:rtl/>
        </w:rPr>
        <w:t>.</w:t>
      </w:r>
      <w:r w:rsidRPr="00B9554F">
        <w:rPr>
          <w:sz w:val="24"/>
          <w:szCs w:val="24"/>
        </w:rPr>
        <w:t xml:space="preserve"> </w:t>
      </w:r>
      <w:r w:rsidRPr="00B9554F">
        <w:rPr>
          <w:b/>
          <w:bCs/>
          <w:sz w:val="24"/>
          <w:szCs w:val="24"/>
        </w:rPr>
        <w:t>(c)</w:t>
      </w:r>
      <w:r w:rsidRPr="00B9554F">
        <w:rPr>
          <w:sz w:val="24"/>
          <w:szCs w:val="24"/>
        </w:rPr>
        <w:t xml:space="preserve"> Regional map of Tibet, with a red polygon outlining the location of the seismic cross-section</w:t>
      </w:r>
      <w:r w:rsidRPr="00B9554F">
        <w:rPr>
          <w:sz w:val="24"/>
          <w:szCs w:val="24"/>
          <w:rtl/>
        </w:rPr>
        <w:t>.</w:t>
      </w:r>
      <w:r w:rsidRPr="00B9554F">
        <w:rPr>
          <w:sz w:val="24"/>
          <w:szCs w:val="24"/>
        </w:rPr>
        <w:t xml:space="preserve"> </w:t>
      </w:r>
      <w:r w:rsidRPr="00B9554F">
        <w:rPr>
          <w:b/>
          <w:bCs/>
          <w:sz w:val="24"/>
          <w:szCs w:val="24"/>
        </w:rPr>
        <w:t>(d)</w:t>
      </w:r>
      <w:r w:rsidRPr="00B9554F">
        <w:rPr>
          <w:sz w:val="24"/>
          <w:szCs w:val="24"/>
        </w:rPr>
        <w:t xml:space="preserve"> Zoomed view of the red polygon area</w:t>
      </w:r>
      <w:r w:rsidRPr="00B9554F">
        <w:rPr>
          <w:sz w:val="24"/>
          <w:szCs w:val="24"/>
          <w:rtl/>
        </w:rPr>
        <w:t>.</w:t>
      </w:r>
      <w:r w:rsidRPr="00B9554F">
        <w:rPr>
          <w:sz w:val="24"/>
          <w:szCs w:val="24"/>
        </w:rPr>
        <w:t xml:space="preserve"> </w:t>
      </w:r>
      <w:r w:rsidRPr="00B9554F">
        <w:rPr>
          <w:b/>
          <w:bCs/>
          <w:sz w:val="24"/>
          <w:szCs w:val="24"/>
        </w:rPr>
        <w:t>(e)</w:t>
      </w:r>
      <w:r w:rsidRPr="00B9554F">
        <w:rPr>
          <w:sz w:val="24"/>
          <w:szCs w:val="24"/>
        </w:rPr>
        <w:t xml:space="preserve"> Vs cross-section along the southeastern margin of the Tibetan Plateau (C–C′ in panel (d)). Solid white lines indicate the Moho, while dotted and dashed white lines represent the top and bottom of the transitional crust. The Tibetan Plateau’s crust shows significant lateral thickness variations and distinct intra-crustal low-velocity zones, potentially corresponding to a weak crustal layer (</w:t>
      </w:r>
      <w:r w:rsidR="00B3755E" w:rsidRPr="00B3755E">
        <w:rPr>
          <w:sz w:val="24"/>
          <w:szCs w:val="24"/>
        </w:rPr>
        <w:t>Modified from ref. </w:t>
      </w:r>
      <w:r w:rsidR="00B3755E">
        <w:rPr>
          <w:sz w:val="24"/>
          <w:szCs w:val="24"/>
        </w:rPr>
        <w:fldChar w:fldCharType="begin" w:fldLock="1"/>
      </w:r>
      <w:r w:rsidR="00623644">
        <w:rPr>
          <w:sz w:val="24"/>
          <w:szCs w:val="24"/>
        </w:rPr>
        <w:instrText>ADDIN CSL_CITATION {"citationItems":[{"id":"ITEM-1","itemData":{"DOI":"10.1038/ngeo2130","ISSN":"17520908","abstract":"The lateral expansion of the southeastern Tibetan Plateau causes devastating earthquakes, but is poorly understood. In particular, the links between regional variations in surface motion and the deeper structure of the plateau are unclear. The plateau may deform either by movement of rigid crustal blocks along large strike-slip faults, by continuous deformation, or by the eastward flow of a channel of viscous crustal rocks. However, the importance of crustal channel flow was questioned in the wake of the 2008 Wenchuan earthquake. Controversies about the style of deformation have persisted, in part because geophysical probes have insufficient resolution to link structures in the deep crust to the observed surface deformation. Here we use seismic data recorded with an array of about 300 seismographs in western Sichuan, China, to image the structure of the eastern Tibetan Plateau with unprecedented clarity. We identify zones of weak rocks in the deep crust that thicken eastwards towards the Yangtze Craton, which we interpret as crustal flow channels. We also identify stark contrasts in the structure and rheology of the crust across large faults. Combined with geodetic data, the inferred crustal heterogeneity indicates that plateau expansion is accommodated by a combination of local crustal flow and strain partitioning across deep faults. We conclude that rigid block motion and crustal flow are therefore not irreconcilable modes of crustal deformation. © 2014 Macmillan Publishers Limited.","author":[{"dropping-particle":"","family":"Liu","given":"Qi Yuan","non-dropping-particle":"","parse-names":false,"suffix":""},{"dropping-particle":"","family":"Hilst","given":"Robert D.","non-dropping-particle":"Van Der","parse-names":false,"suffix":""},{"dropping-particle":"","family":"Li","given":"Yu","non-dropping-particle":"","parse-names":false,"suffix":""},{"dropping-particle":"","family":"Yao","given":"Hua Jian","non-dropping-particle":"","parse-names":false,"suffix":""},{"dropping-particle":"","family":"Chen","given":"Jiu Hui","non-dropping-particle":"","parse-names":false,"suffix":""},{"dropping-particle":"","family":"Guo","given":"Biao","non-dropping-particle":"","parse-names":false,"suffix":""},{"dropping-particle":"","family":"Qi","given":"Shao Hua","non-dropping-particle":"","parse-names":false,"suffix":""},{"dropping-particle":"","family":"Wang","given":"Jun","non-dropping-particle":"","parse-names":false,"suffix":""},{"dropping-particle":"","family":"Huang","given":"Hui","non-dropping-particle":"","parse-names":false,"suffix":""},{"dropping-particle":"","family":"Li","given":"Shun Cheng","non-dropping-particle":"","parse-names":false,"suffix":""}],"container-title":"Nature Geoscience","id":"ITEM-1","issue":"5","issued":{"date-parts":[["2014"]]},"title":"Eastward expansion of the Tibetan Plateau by crustal flow and strain partitioning across faults","type":"article-journal","volume":"7"},"uris":["http://www.mendeley.com/documents/?uuid=d9ba1c3e-d431-3234-b081-0db66c5e955e"]}],"mendeley":{"formattedCitation":"&lt;sup&gt;14&lt;/sup&gt;","plainTextFormattedCitation":"14","previouslyFormattedCitation":"&lt;sup&gt;14&lt;/sup&gt;"},"properties":{"noteIndex":0},"schema":"https://github.com/citation-style-language/schema/raw/master/csl-citation.json"}</w:instrText>
      </w:r>
      <w:r w:rsidR="00B3755E">
        <w:rPr>
          <w:sz w:val="24"/>
          <w:szCs w:val="24"/>
        </w:rPr>
        <w:fldChar w:fldCharType="separate"/>
      </w:r>
      <w:r w:rsidR="00623644" w:rsidRPr="00623644">
        <w:rPr>
          <w:noProof/>
          <w:sz w:val="24"/>
          <w:szCs w:val="24"/>
          <w:vertAlign w:val="superscript"/>
        </w:rPr>
        <w:t>14</w:t>
      </w:r>
      <w:r w:rsidR="00B3755E">
        <w:rPr>
          <w:sz w:val="24"/>
          <w:szCs w:val="24"/>
        </w:rPr>
        <w:fldChar w:fldCharType="end"/>
      </w:r>
      <w:r w:rsidR="00B3755E">
        <w:rPr>
          <w:sz w:val="24"/>
          <w:szCs w:val="24"/>
        </w:rPr>
        <w:t>)</w:t>
      </w:r>
      <w:r w:rsidR="00B3755E" w:rsidRPr="00B3755E">
        <w:rPr>
          <w:sz w:val="24"/>
          <w:szCs w:val="24"/>
        </w:rPr>
        <w:t>.</w:t>
      </w:r>
    </w:p>
    <w:p w14:paraId="1EFA751F" w14:textId="77777777" w:rsidR="00D03B61" w:rsidRDefault="00D03B61" w:rsidP="00D03B61">
      <w:pPr>
        <w:bidi w:val="0"/>
        <w:spacing w:line="360" w:lineRule="auto"/>
        <w:jc w:val="both"/>
      </w:pPr>
    </w:p>
    <w:p w14:paraId="44529642" w14:textId="4390BCDF" w:rsidR="00545850" w:rsidRDefault="00BE745E" w:rsidP="00477844">
      <w:pPr>
        <w:bidi w:val="0"/>
        <w:spacing w:line="360" w:lineRule="auto"/>
        <w:jc w:val="both"/>
      </w:pPr>
      <w:r>
        <w:rPr>
          <w:noProof/>
        </w:rPr>
        <w:lastRenderedPageBreak/>
        <w:drawing>
          <wp:inline distT="0" distB="0" distL="0" distR="0" wp14:anchorId="60012392" wp14:editId="77383D33">
            <wp:extent cx="5949950" cy="7370445"/>
            <wp:effectExtent l="0" t="0" r="0" b="1905"/>
            <wp:docPr id="543234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9950" cy="7370445"/>
                    </a:xfrm>
                    <a:prstGeom prst="rect">
                      <a:avLst/>
                    </a:prstGeom>
                    <a:noFill/>
                  </pic:spPr>
                </pic:pic>
              </a:graphicData>
            </a:graphic>
          </wp:inline>
        </w:drawing>
      </w:r>
    </w:p>
    <w:p w14:paraId="213F1596" w14:textId="7BA8AD5A" w:rsidR="003B4C93" w:rsidRPr="00C8149E" w:rsidRDefault="00F17969" w:rsidP="00C8149E">
      <w:pPr>
        <w:bidi w:val="0"/>
        <w:spacing w:line="360" w:lineRule="auto"/>
        <w:jc w:val="both"/>
      </w:pPr>
      <w:r w:rsidRPr="002F609A">
        <w:rPr>
          <w:b/>
          <w:bCs/>
        </w:rPr>
        <w:t xml:space="preserve">Supplementary Figure </w:t>
      </w:r>
      <w:r w:rsidR="00D03B61">
        <w:rPr>
          <w:b/>
          <w:bCs/>
        </w:rPr>
        <w:t>4</w:t>
      </w:r>
      <w:r w:rsidRPr="002F609A">
        <w:rPr>
          <w:b/>
          <w:bCs/>
        </w:rPr>
        <w:t>:</w:t>
      </w:r>
      <w:r w:rsidR="0084293A">
        <w:rPr>
          <w:b/>
          <w:bCs/>
        </w:rPr>
        <w:t xml:space="preserve"> </w:t>
      </w:r>
      <w:r w:rsidR="0084293A" w:rsidRPr="0084293A">
        <w:rPr>
          <w:b/>
          <w:bCs/>
        </w:rPr>
        <w:t>Effect of Partial Melting on Channel Thickness and Fault Strength</w:t>
      </w:r>
      <w:r w:rsidR="00663C27">
        <w:rPr>
          <w:b/>
          <w:bCs/>
        </w:rPr>
        <w:t xml:space="preserve"> </w:t>
      </w:r>
      <w:r w:rsidR="00663C27" w:rsidRPr="00477844">
        <w:rPr>
          <w:b/>
          <w:bCs/>
        </w:rPr>
        <w:t>for plagioclase rheology channel</w:t>
      </w:r>
      <w:r w:rsidR="0084293A">
        <w:rPr>
          <w:b/>
          <w:bCs/>
        </w:rPr>
        <w:t>.</w:t>
      </w:r>
      <w:r w:rsidR="007E1A70">
        <w:t xml:space="preserve"> </w:t>
      </w:r>
      <w:r w:rsidR="007E1A70" w:rsidRPr="00C4342A">
        <w:rPr>
          <w:b/>
          <w:bCs/>
          <w:color w:val="000000" w:themeColor="text1"/>
        </w:rPr>
        <w:t>(a</w:t>
      </w:r>
      <w:r w:rsidR="007E1A70">
        <w:rPr>
          <w:b/>
          <w:bCs/>
          <w:color w:val="000000" w:themeColor="text1"/>
        </w:rPr>
        <w:t xml:space="preserve"> </w:t>
      </w:r>
      <w:r w:rsidR="00283837">
        <w:rPr>
          <w:b/>
          <w:bCs/>
          <w:color w:val="000000" w:themeColor="text1"/>
        </w:rPr>
        <w:t>–</w:t>
      </w:r>
      <w:r w:rsidR="007E1A70" w:rsidRPr="00C4342A">
        <w:rPr>
          <w:b/>
          <w:bCs/>
          <w:color w:val="000000" w:themeColor="text1"/>
        </w:rPr>
        <w:t xml:space="preserve"> </w:t>
      </w:r>
      <w:r w:rsidR="0084293A">
        <w:rPr>
          <w:b/>
          <w:bCs/>
          <w:color w:val="000000" w:themeColor="text1"/>
        </w:rPr>
        <w:t>d)</w:t>
      </w:r>
      <w:r w:rsidR="0084293A" w:rsidRPr="0084293A">
        <w:t xml:space="preserve"> Log-log plots </w:t>
      </w:r>
      <w:r w:rsidR="00E4668E">
        <w:t>of</w:t>
      </w:r>
      <w:r w:rsidR="0084293A" w:rsidRPr="0084293A">
        <w:t xml:space="preserve"> </w:t>
      </w:r>
      <w:r w:rsidR="00550994">
        <w:t>our model-</w:t>
      </w:r>
      <w:r w:rsidR="00E4668E" w:rsidRPr="00E4668E">
        <w:t xml:space="preserve">predicted strain rate for plagioclase rheology with varying pre-exponential factors (A): </w:t>
      </w:r>
      <w:r w:rsidR="00A9433C" w:rsidRPr="00E4668E">
        <w:t>(a)</w:t>
      </w:r>
      <w:r w:rsidR="00A9433C">
        <w:t xml:space="preserve"> </w:t>
      </w:r>
      <w:r w:rsidR="00A9433C" w:rsidRPr="00A9433C">
        <w:t>Baseline case with</w:t>
      </w:r>
      <w:r w:rsidR="00A9433C">
        <w:t xml:space="preserve"> </w:t>
      </w:r>
      <m:oMath>
        <m:r>
          <w:rPr>
            <w:rFonts w:ascii="Cambria Math" w:hAnsi="Cambria Math"/>
          </w:rPr>
          <m:t>A= </m:t>
        </m:r>
        <m:sSub>
          <m:sSubPr>
            <m:ctrlPr>
              <w:rPr>
                <w:rFonts w:ascii="Cambria Math" w:hAnsi="Cambria Math"/>
                <w:i/>
                <w:iCs/>
              </w:rPr>
            </m:ctrlPr>
          </m:sSubPr>
          <m:e>
            <m:r>
              <w:rPr>
                <w:rFonts w:ascii="Cambria Math" w:hAnsi="Cambria Math"/>
              </w:rPr>
              <m:t>A</m:t>
            </m:r>
          </m:e>
          <m:sub>
            <m:r>
              <w:rPr>
                <w:rFonts w:ascii="Cambria Math" w:hAnsi="Cambria Math"/>
              </w:rPr>
              <m:t xml:space="preserve">0 </m:t>
            </m:r>
          </m:sub>
        </m:sSub>
      </m:oMath>
      <w:r w:rsidR="00A9433C">
        <w:rPr>
          <w:iCs/>
        </w:rPr>
        <w:t xml:space="preserve">, </w:t>
      </w:r>
      <w:r w:rsidR="00A9433C" w:rsidRPr="00A9433C">
        <w:rPr>
          <w:iCs/>
        </w:rPr>
        <w:t xml:space="preserve">where </w:t>
      </w:r>
      <w:r w:rsidR="00A9433C">
        <w:rPr>
          <w:iCs/>
        </w:rPr>
        <w:t xml:space="preserve"> </w:t>
      </w:r>
      <m:oMath>
        <m:sSub>
          <m:sSubPr>
            <m:ctrlPr>
              <w:rPr>
                <w:rFonts w:ascii="Cambria Math" w:hAnsi="Cambria Math"/>
                <w:i/>
                <w:iCs/>
              </w:rPr>
            </m:ctrlPr>
          </m:sSubPr>
          <m:e>
            <m:r>
              <w:rPr>
                <w:rFonts w:ascii="Cambria Math" w:hAnsi="Cambria Math"/>
              </w:rPr>
              <m:t>A</m:t>
            </m:r>
          </m:e>
          <m:sub>
            <m:r>
              <w:rPr>
                <w:rFonts w:ascii="Cambria Math" w:hAnsi="Cambria Math"/>
              </w:rPr>
              <m:t xml:space="preserve">0 </m:t>
            </m:r>
          </m:sub>
        </m:sSub>
      </m:oMath>
      <w:r w:rsidR="00A9433C" w:rsidRPr="00A9433C">
        <w:rPr>
          <w:rFonts w:ascii="Times New Roman" w:eastAsia="Times New Roman" w:hAnsi="Symbol" w:cs="Times New Roman"/>
          <w:sz w:val="24"/>
          <w:szCs w:val="24"/>
          <w:lang w:bidi="ar-SA"/>
        </w:rPr>
        <w:t xml:space="preserve"> </w:t>
      </w:r>
      <w:r w:rsidR="00A9433C" w:rsidRPr="00A9433C">
        <w:rPr>
          <w:iCs/>
        </w:rPr>
        <w:t>represents the pre-exponential factor for plagioclase without melt (</w:t>
      </w:r>
      <w:r w:rsidR="00A9433C" w:rsidRPr="00A9433C">
        <w:t>Supplementary Table</w:t>
      </w:r>
      <w:r w:rsidR="00A9433C" w:rsidRPr="00A9433C">
        <w:rPr>
          <w:rFonts w:ascii="Times-Roman" w:hAnsi="Times-Roman" w:cs="Times-Roman"/>
          <w:lang w:bidi="ar-SA"/>
        </w:rPr>
        <w:t xml:space="preserve"> 1)</w:t>
      </w:r>
      <w:r w:rsidR="00A9433C">
        <w:rPr>
          <w:iCs/>
        </w:rPr>
        <w:t xml:space="preserve">, </w:t>
      </w:r>
      <w:r w:rsidR="00A9433C" w:rsidRPr="00E4668E">
        <w:t>(b)</w:t>
      </w:r>
      <w:r w:rsidR="00E4668E" w:rsidRPr="00E4668E">
        <w:t xml:space="preserve"> increased by factors of 10</w:t>
      </w:r>
      <w:r w:rsidR="00A9433C">
        <w:t xml:space="preserve"> (</w:t>
      </w:r>
      <m:oMath>
        <m:r>
          <w:rPr>
            <w:rFonts w:ascii="Cambria Math" w:hAnsi="Cambria Math"/>
          </w:rPr>
          <m:t>A= </m:t>
        </m:r>
        <m:sSub>
          <m:sSubPr>
            <m:ctrlPr>
              <w:rPr>
                <w:rFonts w:ascii="Cambria Math" w:hAnsi="Cambria Math"/>
                <w:i/>
                <w:iCs/>
              </w:rPr>
            </m:ctrlPr>
          </m:sSubPr>
          <m:e>
            <m:r>
              <w:rPr>
                <w:rFonts w:ascii="Cambria Math" w:hAnsi="Cambria Math"/>
              </w:rPr>
              <m:t>10A</m:t>
            </m:r>
          </m:e>
          <m:sub>
            <m:r>
              <w:rPr>
                <w:rFonts w:ascii="Cambria Math" w:hAnsi="Cambria Math"/>
              </w:rPr>
              <m:t>0</m:t>
            </m:r>
          </m:sub>
        </m:sSub>
      </m:oMath>
      <w:r w:rsidR="00A9433C">
        <w:t>)</w:t>
      </w:r>
      <w:r w:rsidR="00E4668E" w:rsidRPr="00E4668E">
        <w:t xml:space="preserve">, </w:t>
      </w:r>
      <w:r w:rsidR="00A9433C">
        <w:t>(c)</w:t>
      </w:r>
      <w:r w:rsidR="00A9433C" w:rsidRPr="00A9433C">
        <w:t xml:space="preserve"> A increased by a factor of 100</w:t>
      </w:r>
      <w:r w:rsidR="00A9433C">
        <w:t xml:space="preserve"> </w:t>
      </w:r>
      <m:oMath>
        <m:r>
          <w:rPr>
            <w:rFonts w:ascii="Cambria Math" w:hAnsi="Cambria Math"/>
          </w:rPr>
          <w:lastRenderedPageBreak/>
          <m:t>(A= </m:t>
        </m:r>
        <m:sSub>
          <m:sSubPr>
            <m:ctrlPr>
              <w:rPr>
                <w:rFonts w:ascii="Cambria Math" w:hAnsi="Cambria Math"/>
                <w:i/>
                <w:iCs/>
              </w:rPr>
            </m:ctrlPr>
          </m:sSubPr>
          <m:e>
            <m:r>
              <w:rPr>
                <w:rFonts w:ascii="Cambria Math" w:hAnsi="Cambria Math"/>
              </w:rPr>
              <m:t>100A</m:t>
            </m:r>
          </m:e>
          <m:sub>
            <m:r>
              <w:rPr>
                <w:rFonts w:ascii="Cambria Math" w:hAnsi="Cambria Math"/>
              </w:rPr>
              <m:t>0</m:t>
            </m:r>
          </m:sub>
        </m:sSub>
        <m:r>
          <w:rPr>
            <w:rFonts w:ascii="Cambria Math" w:hAnsi="Cambria Math"/>
          </w:rPr>
          <m:t>)</m:t>
        </m:r>
      </m:oMath>
      <w:r w:rsidR="00E4668E" w:rsidRPr="00E4668E">
        <w:t xml:space="preserve"> , and </w:t>
      </w:r>
      <w:r w:rsidR="00A9433C" w:rsidRPr="00E4668E">
        <w:t>(</w:t>
      </w:r>
      <w:r w:rsidR="00A9433C">
        <w:t>d</w:t>
      </w:r>
      <w:r w:rsidR="00A9433C" w:rsidRPr="00E4668E">
        <w:t>)</w:t>
      </w:r>
      <w:r w:rsidR="00A9433C">
        <w:t xml:space="preserve"> </w:t>
      </w:r>
      <w:r w:rsidR="00A9433C" w:rsidRPr="00A9433C">
        <w:t>A increased by a factor of 1000</w:t>
      </w:r>
      <w:r w:rsidR="00A9433C">
        <w:t xml:space="preserve"> </w:t>
      </w:r>
      <m:oMath>
        <m:r>
          <w:rPr>
            <w:rFonts w:ascii="Cambria Math" w:hAnsi="Cambria Math"/>
          </w:rPr>
          <m:t>(A= </m:t>
        </m:r>
        <m:sSub>
          <m:sSubPr>
            <m:ctrlPr>
              <w:rPr>
                <w:rFonts w:ascii="Cambria Math" w:hAnsi="Cambria Math"/>
                <w:i/>
                <w:iCs/>
              </w:rPr>
            </m:ctrlPr>
          </m:sSubPr>
          <m:e>
            <m:r>
              <w:rPr>
                <w:rFonts w:ascii="Cambria Math" w:hAnsi="Cambria Math"/>
              </w:rPr>
              <m:t>1000A</m:t>
            </m:r>
          </m:e>
          <m:sub>
            <m:r>
              <w:rPr>
                <w:rFonts w:ascii="Cambria Math" w:hAnsi="Cambria Math"/>
              </w:rPr>
              <m:t>0</m:t>
            </m:r>
          </m:sub>
        </m:sSub>
        <m:r>
          <w:rPr>
            <w:rFonts w:ascii="Cambria Math" w:hAnsi="Cambria Math"/>
          </w:rPr>
          <m:t>)</m:t>
        </m:r>
      </m:oMath>
      <w:r w:rsidR="00E4668E" w:rsidRPr="00E4668E">
        <w:t xml:space="preserve">. </w:t>
      </w:r>
      <w:r w:rsidR="0084293A" w:rsidRPr="0084293A">
        <w:t xml:space="preserve"> As shown, these different pre-exponential factors</w:t>
      </w:r>
      <w:r w:rsidR="00663C27">
        <w:t xml:space="preserve"> </w:t>
      </w:r>
      <w:r w:rsidR="0084293A" w:rsidRPr="0084293A">
        <w:t xml:space="preserve">fit the observed strain rate-elevation correlation in </w:t>
      </w:r>
      <w:r w:rsidR="0084293A" w:rsidRPr="00D50F42">
        <w:t>Tibet</w:t>
      </w:r>
      <w:r w:rsidR="0084293A" w:rsidRPr="001129EC">
        <w:rPr>
          <w:rFonts w:eastAsiaTheme="minorEastAsia"/>
        </w:rPr>
        <w:fldChar w:fldCharType="begin" w:fldLock="1"/>
      </w:r>
      <w:r w:rsidR="00623644">
        <w:rPr>
          <w:rFonts w:eastAsiaTheme="minorEastAsia"/>
        </w:rPr>
        <w:instrText xml:space="preserve">ADDIN CSL_CITATION {"citationItems":[{"id":"ITEM-1","itemData":{"DOI":"10.1016/j.jseaes.2019.03.021","ISSN":"13679120","abstract":"We propose that topography can be used as a proxy for the eastward lateral “glacier-like flow” of the Tibetan crust in the Himalayan-Tibetan orogenic system. Geodetic observations across the Tibetan plateau indicate </w:instrText>
      </w:r>
      <w:r w:rsidR="00623644">
        <w:rPr>
          <w:rFonts w:ascii="Cambria Math" w:eastAsiaTheme="minorEastAsia" w:hAnsi="Cambria Math" w:cs="Cambria Math"/>
        </w:rPr>
        <w:instrText>∼</w:instrText>
      </w:r>
      <w:r w:rsidR="00623644">
        <w:rPr>
          <w:rFonts w:eastAsiaTheme="minorEastAsia"/>
        </w:rPr>
        <w:instrText>22 mm/yr of crustal motion with respect to stable Eurasia by considering Newtonian channel flow model. Further, correlation between regional strain rate (ė) and topographic elevation (h) is found to be statistically robust, with stress exponent (n) of 3.03 ± 0.1. Therefore, we suggest that the Tibetan crust follows well defined power-law relation that is consistent with the nonlinear deformation associated with dislocation-creep. Moreover, the predicted viscosity range of the Tibetan crust is consistent with the channel flow model proposed by previous investigators using different approaches in different time scales.","author":[{"dropping-particle":"","family":"Panda","given":"Dibyashakti","non-dropping-particle":"","parse-names":false,"suffix":""},{"dropping-particle":"","family":"Mondal","given":"Amit","non-dropping-particle":"","parse-names":false,"suffix":""},{"dropping-particle":"","family":"Kundu","given":"Bhaskar","non-dropping-particle":"","parse-names":false,"suffix":""}],"container-title":"Journal of Asian Earth Sciences","id":"ITEM-1","issued":{"date-parts":[["2019"]]},"title":"Eastward “glacier-like flow” of the Tibetan crust constrained from power-law rheology","type":"article-journal","volume":"177"},"uris":["http://www.mendeley.com/documents/?uuid=867890b9-ae42-3312-b782-c4325b2f87b8"]}],"mendeley":{"formattedCitation":"&lt;sup&gt;7&lt;/sup&gt;","plainTextFormattedCitation":"7","previouslyFormattedCitation":"&lt;sup&gt;7&lt;/sup&gt;"},"properties":{"noteIndex":0},"schema":"https://github.com/citation-style-language/schema/raw/master/csl-citation.json"}</w:instrText>
      </w:r>
      <w:r w:rsidR="0084293A" w:rsidRPr="001129EC">
        <w:rPr>
          <w:rFonts w:eastAsiaTheme="minorEastAsia"/>
        </w:rPr>
        <w:fldChar w:fldCharType="separate"/>
      </w:r>
      <w:r w:rsidR="00623644" w:rsidRPr="00623644">
        <w:rPr>
          <w:rFonts w:eastAsiaTheme="minorEastAsia"/>
          <w:noProof/>
          <w:vertAlign w:val="superscript"/>
        </w:rPr>
        <w:t>7</w:t>
      </w:r>
      <w:r w:rsidR="0084293A" w:rsidRPr="001129EC">
        <w:rPr>
          <w:rFonts w:eastAsiaTheme="minorEastAsia"/>
        </w:rPr>
        <w:fldChar w:fldCharType="end"/>
      </w:r>
      <w:r w:rsidR="0084293A">
        <w:t xml:space="preserve">. </w:t>
      </w:r>
      <w:r w:rsidR="0084293A" w:rsidRPr="0084293A">
        <w:rPr>
          <w:b/>
          <w:bCs/>
          <w:color w:val="000000" w:themeColor="text1"/>
        </w:rPr>
        <w:t>(e)</w:t>
      </w:r>
      <w:r w:rsidR="0084293A" w:rsidRPr="0084293A">
        <w:t xml:space="preserve"> A contour plot illustrating the misfit between predicted and observed data demonstrates the relationship between fault strength and </w:t>
      </w:r>
      <w:r w:rsidR="00550994">
        <w:t>WCC</w:t>
      </w:r>
      <w:r w:rsidR="0084293A" w:rsidRPr="0084293A">
        <w:t xml:space="preserve"> thickness. </w:t>
      </w:r>
      <w:bookmarkStart w:id="2" w:name="_Hlk177844723"/>
      <w:r w:rsidR="0084293A" w:rsidRPr="0084293A">
        <w:t>The thick and thin lines represent misfits of 0.4 and 1, respectively, while the star indicates the optimal parameter combination that minimizes the misfit.</w:t>
      </w:r>
      <w:bookmarkEnd w:id="2"/>
      <w:r w:rsidR="00E4668E">
        <w:t xml:space="preserve"> </w:t>
      </w:r>
    </w:p>
    <w:p w14:paraId="20CD5949" w14:textId="36D91877" w:rsidR="00F17969" w:rsidRDefault="00BE745E" w:rsidP="00F17969">
      <w:pPr>
        <w:bidi w:val="0"/>
        <w:spacing w:line="360" w:lineRule="auto"/>
        <w:jc w:val="both"/>
      </w:pPr>
      <w:r>
        <w:rPr>
          <w:noProof/>
        </w:rPr>
        <w:drawing>
          <wp:inline distT="0" distB="0" distL="0" distR="0" wp14:anchorId="5E8A855E" wp14:editId="4D6500B6">
            <wp:extent cx="5572125" cy="6919595"/>
            <wp:effectExtent l="0" t="0" r="0" b="0"/>
            <wp:docPr id="12409079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2125" cy="6919595"/>
                    </a:xfrm>
                    <a:prstGeom prst="rect">
                      <a:avLst/>
                    </a:prstGeom>
                    <a:noFill/>
                  </pic:spPr>
                </pic:pic>
              </a:graphicData>
            </a:graphic>
          </wp:inline>
        </w:drawing>
      </w:r>
    </w:p>
    <w:p w14:paraId="51DD11C9" w14:textId="1747862F" w:rsidR="00545850" w:rsidRDefault="00477844" w:rsidP="003B4C93">
      <w:pPr>
        <w:bidi w:val="0"/>
        <w:spacing w:line="360" w:lineRule="auto"/>
        <w:jc w:val="both"/>
      </w:pPr>
      <w:r w:rsidRPr="002F609A">
        <w:rPr>
          <w:b/>
          <w:bCs/>
        </w:rPr>
        <w:lastRenderedPageBreak/>
        <w:t xml:space="preserve">Supplementary Figure </w:t>
      </w:r>
      <w:r w:rsidR="00D03B61">
        <w:rPr>
          <w:b/>
          <w:bCs/>
        </w:rPr>
        <w:t>5</w:t>
      </w:r>
      <w:r w:rsidRPr="002F609A">
        <w:rPr>
          <w:b/>
          <w:bCs/>
        </w:rPr>
        <w:t>:</w:t>
      </w:r>
      <w:r>
        <w:rPr>
          <w:b/>
          <w:bCs/>
        </w:rPr>
        <w:t xml:space="preserve"> </w:t>
      </w:r>
      <w:r w:rsidRPr="0084293A">
        <w:rPr>
          <w:b/>
          <w:bCs/>
        </w:rPr>
        <w:t>Effect of Partial Melting on Channel Thickness and Fault Strength</w:t>
      </w:r>
      <w:r>
        <w:rPr>
          <w:b/>
          <w:bCs/>
        </w:rPr>
        <w:t xml:space="preserve"> </w:t>
      </w:r>
      <w:r w:rsidRPr="00477844">
        <w:rPr>
          <w:b/>
          <w:bCs/>
        </w:rPr>
        <w:t xml:space="preserve">for </w:t>
      </w:r>
      <w:r w:rsidR="007364C4">
        <w:rPr>
          <w:b/>
          <w:bCs/>
        </w:rPr>
        <w:t>wet quartzite</w:t>
      </w:r>
      <w:r w:rsidRPr="00477844">
        <w:rPr>
          <w:b/>
          <w:bCs/>
        </w:rPr>
        <w:t xml:space="preserve"> rheology channel</w:t>
      </w:r>
      <w:r>
        <w:rPr>
          <w:b/>
          <w:bCs/>
        </w:rPr>
        <w:t>.</w:t>
      </w:r>
      <w:r>
        <w:t xml:space="preserve"> </w:t>
      </w:r>
      <w:r w:rsidRPr="00C4342A">
        <w:rPr>
          <w:b/>
          <w:bCs/>
          <w:color w:val="000000" w:themeColor="text1"/>
        </w:rPr>
        <w:t>(a</w:t>
      </w:r>
      <w:r>
        <w:rPr>
          <w:b/>
          <w:bCs/>
          <w:color w:val="000000" w:themeColor="text1"/>
        </w:rPr>
        <w:t xml:space="preserve"> –</w:t>
      </w:r>
      <w:r w:rsidRPr="00C4342A">
        <w:rPr>
          <w:b/>
          <w:bCs/>
          <w:color w:val="000000" w:themeColor="text1"/>
        </w:rPr>
        <w:t xml:space="preserve"> </w:t>
      </w:r>
      <w:r>
        <w:rPr>
          <w:b/>
          <w:bCs/>
          <w:color w:val="000000" w:themeColor="text1"/>
        </w:rPr>
        <w:t>d)</w:t>
      </w:r>
      <w:r w:rsidRPr="0084293A">
        <w:t xml:space="preserve"> Log-log plots </w:t>
      </w:r>
      <w:r>
        <w:t>of</w:t>
      </w:r>
      <w:r w:rsidRPr="0084293A">
        <w:t xml:space="preserve"> </w:t>
      </w:r>
      <w:r w:rsidRPr="00E4668E">
        <w:t xml:space="preserve">the predicted strain rate </w:t>
      </w:r>
      <w:r w:rsidRPr="007364C4">
        <w:t xml:space="preserve">for </w:t>
      </w:r>
      <w:r w:rsidR="007364C4" w:rsidRPr="007364C4">
        <w:t>wet quartzite</w:t>
      </w:r>
      <w:r w:rsidR="007364C4" w:rsidRPr="00E4668E">
        <w:t xml:space="preserve"> </w:t>
      </w:r>
      <w:r w:rsidRPr="00E4668E">
        <w:t xml:space="preserve">rheology with varying pre-exponential factors (A): </w:t>
      </w:r>
      <w:r w:rsidR="003B4C93">
        <w:t xml:space="preserve"> (</w:t>
      </w:r>
      <w:r w:rsidR="003B4C93" w:rsidRPr="00E4668E">
        <w:t>a)</w:t>
      </w:r>
      <w:r w:rsidR="003B4C93">
        <w:t xml:space="preserve"> </w:t>
      </w:r>
      <w:r w:rsidR="003B4C93" w:rsidRPr="00A9433C">
        <w:t>Baseline case with</w:t>
      </w:r>
      <w:r w:rsidR="003B4C93">
        <w:t xml:space="preserve"> </w:t>
      </w:r>
      <m:oMath>
        <m:r>
          <w:rPr>
            <w:rFonts w:ascii="Cambria Math" w:hAnsi="Cambria Math"/>
          </w:rPr>
          <m:t>A= </m:t>
        </m:r>
        <m:sSub>
          <m:sSubPr>
            <m:ctrlPr>
              <w:rPr>
                <w:rFonts w:ascii="Cambria Math" w:hAnsi="Cambria Math"/>
                <w:i/>
                <w:iCs/>
              </w:rPr>
            </m:ctrlPr>
          </m:sSubPr>
          <m:e>
            <m:r>
              <w:rPr>
                <w:rFonts w:ascii="Cambria Math" w:hAnsi="Cambria Math"/>
              </w:rPr>
              <m:t>A</m:t>
            </m:r>
          </m:e>
          <m:sub>
            <m:r>
              <w:rPr>
                <w:rFonts w:ascii="Cambria Math" w:hAnsi="Cambria Math"/>
              </w:rPr>
              <m:t xml:space="preserve">0 </m:t>
            </m:r>
          </m:sub>
        </m:sSub>
      </m:oMath>
      <w:r w:rsidR="003B4C93">
        <w:rPr>
          <w:iCs/>
        </w:rPr>
        <w:t xml:space="preserve">, </w:t>
      </w:r>
      <w:r w:rsidR="003B4C93" w:rsidRPr="00A9433C">
        <w:rPr>
          <w:iCs/>
        </w:rPr>
        <w:t xml:space="preserve">where </w:t>
      </w:r>
      <w:r w:rsidR="003B4C93">
        <w:rPr>
          <w:iCs/>
        </w:rPr>
        <w:t xml:space="preserve"> </w:t>
      </w:r>
      <m:oMath>
        <m:sSub>
          <m:sSubPr>
            <m:ctrlPr>
              <w:rPr>
                <w:rFonts w:ascii="Cambria Math" w:hAnsi="Cambria Math"/>
                <w:i/>
                <w:iCs/>
              </w:rPr>
            </m:ctrlPr>
          </m:sSubPr>
          <m:e>
            <m:r>
              <w:rPr>
                <w:rFonts w:ascii="Cambria Math" w:hAnsi="Cambria Math"/>
              </w:rPr>
              <m:t>A</m:t>
            </m:r>
          </m:e>
          <m:sub>
            <m:r>
              <w:rPr>
                <w:rFonts w:ascii="Cambria Math" w:hAnsi="Cambria Math"/>
              </w:rPr>
              <m:t xml:space="preserve">0 </m:t>
            </m:r>
          </m:sub>
        </m:sSub>
      </m:oMath>
      <w:r w:rsidR="003B4C93" w:rsidRPr="00A9433C">
        <w:rPr>
          <w:rFonts w:ascii="Times New Roman" w:eastAsia="Times New Roman" w:hAnsi="Symbol" w:cs="Times New Roman"/>
          <w:sz w:val="24"/>
          <w:szCs w:val="24"/>
          <w:lang w:bidi="ar-SA"/>
        </w:rPr>
        <w:t xml:space="preserve"> </w:t>
      </w:r>
      <w:r w:rsidR="003B4C93" w:rsidRPr="00A9433C">
        <w:rPr>
          <w:iCs/>
        </w:rPr>
        <w:t>represents the pre-exponential factor for plagioclase without melt (</w:t>
      </w:r>
      <w:r w:rsidR="003B4C93" w:rsidRPr="00A9433C">
        <w:t>Supplementary Table</w:t>
      </w:r>
      <w:r w:rsidR="003B4C93" w:rsidRPr="00A9433C">
        <w:rPr>
          <w:rFonts w:ascii="Times-Roman" w:hAnsi="Times-Roman" w:cs="Times-Roman"/>
          <w:lang w:bidi="ar-SA"/>
        </w:rPr>
        <w:t xml:space="preserve"> 1)</w:t>
      </w:r>
      <w:r w:rsidR="003B4C93">
        <w:rPr>
          <w:iCs/>
        </w:rPr>
        <w:t xml:space="preserve">, </w:t>
      </w:r>
      <w:r w:rsidR="003B4C93" w:rsidRPr="00E4668E">
        <w:t>(b) increased by factors of 10</w:t>
      </w:r>
      <w:r w:rsidR="003B4C93">
        <w:t xml:space="preserve"> (</w:t>
      </w:r>
      <m:oMath>
        <m:r>
          <w:rPr>
            <w:rFonts w:ascii="Cambria Math" w:hAnsi="Cambria Math"/>
          </w:rPr>
          <m:t>A= </m:t>
        </m:r>
        <m:sSub>
          <m:sSubPr>
            <m:ctrlPr>
              <w:rPr>
                <w:rFonts w:ascii="Cambria Math" w:hAnsi="Cambria Math"/>
                <w:i/>
                <w:iCs/>
              </w:rPr>
            </m:ctrlPr>
          </m:sSubPr>
          <m:e>
            <m:r>
              <w:rPr>
                <w:rFonts w:ascii="Cambria Math" w:hAnsi="Cambria Math"/>
              </w:rPr>
              <m:t>10A</m:t>
            </m:r>
          </m:e>
          <m:sub>
            <m:r>
              <w:rPr>
                <w:rFonts w:ascii="Cambria Math" w:hAnsi="Cambria Math"/>
              </w:rPr>
              <m:t>0</m:t>
            </m:r>
          </m:sub>
        </m:sSub>
      </m:oMath>
      <w:r w:rsidR="003B4C93">
        <w:t>)</w:t>
      </w:r>
      <w:r w:rsidR="003B4C93" w:rsidRPr="00E4668E">
        <w:t xml:space="preserve">, </w:t>
      </w:r>
      <w:r w:rsidR="003B4C93">
        <w:t>(c)</w:t>
      </w:r>
      <w:r w:rsidR="003B4C93" w:rsidRPr="00A9433C">
        <w:t xml:space="preserve"> A increased by a factor of 100</w:t>
      </w:r>
      <w:r w:rsidR="003B4C93">
        <w:t xml:space="preserve"> </w:t>
      </w:r>
      <m:oMath>
        <m:r>
          <w:rPr>
            <w:rFonts w:ascii="Cambria Math" w:hAnsi="Cambria Math"/>
          </w:rPr>
          <m:t>(A= </m:t>
        </m:r>
        <m:sSub>
          <m:sSubPr>
            <m:ctrlPr>
              <w:rPr>
                <w:rFonts w:ascii="Cambria Math" w:hAnsi="Cambria Math"/>
                <w:i/>
                <w:iCs/>
              </w:rPr>
            </m:ctrlPr>
          </m:sSubPr>
          <m:e>
            <m:r>
              <w:rPr>
                <w:rFonts w:ascii="Cambria Math" w:hAnsi="Cambria Math"/>
              </w:rPr>
              <m:t>100A</m:t>
            </m:r>
          </m:e>
          <m:sub>
            <m:r>
              <w:rPr>
                <w:rFonts w:ascii="Cambria Math" w:hAnsi="Cambria Math"/>
              </w:rPr>
              <m:t>0</m:t>
            </m:r>
          </m:sub>
        </m:sSub>
        <m:r>
          <w:rPr>
            <w:rFonts w:ascii="Cambria Math" w:hAnsi="Cambria Math"/>
          </w:rPr>
          <m:t>)</m:t>
        </m:r>
      </m:oMath>
      <w:r w:rsidR="003B4C93" w:rsidRPr="00E4668E">
        <w:t xml:space="preserve"> , and (</w:t>
      </w:r>
      <w:r w:rsidR="003B4C93">
        <w:t>d</w:t>
      </w:r>
      <w:r w:rsidR="003B4C93" w:rsidRPr="00E4668E">
        <w:t>)</w:t>
      </w:r>
      <w:r w:rsidR="003B4C93">
        <w:t xml:space="preserve"> </w:t>
      </w:r>
      <w:r w:rsidR="003B4C93" w:rsidRPr="00A9433C">
        <w:t>A increased by a factor of 1000</w:t>
      </w:r>
      <w:r w:rsidR="003B4C93">
        <w:t xml:space="preserve"> </w:t>
      </w:r>
      <m:oMath>
        <m:r>
          <w:rPr>
            <w:rFonts w:ascii="Cambria Math" w:hAnsi="Cambria Math"/>
          </w:rPr>
          <m:t>(A= </m:t>
        </m:r>
        <m:sSub>
          <m:sSubPr>
            <m:ctrlPr>
              <w:rPr>
                <w:rFonts w:ascii="Cambria Math" w:hAnsi="Cambria Math"/>
                <w:i/>
                <w:iCs/>
              </w:rPr>
            </m:ctrlPr>
          </m:sSubPr>
          <m:e>
            <m:r>
              <w:rPr>
                <w:rFonts w:ascii="Cambria Math" w:hAnsi="Cambria Math"/>
              </w:rPr>
              <m:t>1000A</m:t>
            </m:r>
          </m:e>
          <m:sub>
            <m:r>
              <w:rPr>
                <w:rFonts w:ascii="Cambria Math" w:hAnsi="Cambria Math"/>
              </w:rPr>
              <m:t>0</m:t>
            </m:r>
          </m:sub>
        </m:sSub>
        <m:r>
          <w:rPr>
            <w:rFonts w:ascii="Cambria Math" w:hAnsi="Cambria Math"/>
          </w:rPr>
          <m:t>)</m:t>
        </m:r>
      </m:oMath>
      <w:r w:rsidR="003B4C93" w:rsidRPr="00E4668E">
        <w:t>.</w:t>
      </w:r>
      <w:r w:rsidR="003B4C93">
        <w:t xml:space="preserve"> </w:t>
      </w:r>
      <w:r w:rsidRPr="0084293A">
        <w:t>As shown, these different pre-exponential factors</w:t>
      </w:r>
      <w:r>
        <w:t xml:space="preserve"> </w:t>
      </w:r>
      <w:r w:rsidRPr="0084293A">
        <w:t xml:space="preserve">fit the observed strain rate-elevation correlation in </w:t>
      </w:r>
      <w:r w:rsidRPr="00D50F42">
        <w:t>Tibet</w:t>
      </w:r>
      <w:r w:rsidRPr="001129EC">
        <w:rPr>
          <w:rFonts w:eastAsiaTheme="minorEastAsia"/>
        </w:rPr>
        <w:fldChar w:fldCharType="begin" w:fldLock="1"/>
      </w:r>
      <w:r w:rsidR="00623644">
        <w:rPr>
          <w:rFonts w:eastAsiaTheme="minorEastAsia"/>
        </w:rPr>
        <w:instrText xml:space="preserve">ADDIN CSL_CITATION {"citationItems":[{"id":"ITEM-1","itemData":{"DOI":"10.1016/j.jseaes.2019.03.021","ISSN":"13679120","abstract":"We propose that topography can be used as a proxy for the eastward lateral “glacier-like flow” of the Tibetan crust in the Himalayan-Tibetan orogenic system. Geodetic observations across the Tibetan plateau indicate </w:instrText>
      </w:r>
      <w:r w:rsidR="00623644">
        <w:rPr>
          <w:rFonts w:ascii="Cambria Math" w:eastAsiaTheme="minorEastAsia" w:hAnsi="Cambria Math" w:cs="Cambria Math"/>
        </w:rPr>
        <w:instrText>∼</w:instrText>
      </w:r>
      <w:r w:rsidR="00623644">
        <w:rPr>
          <w:rFonts w:eastAsiaTheme="minorEastAsia"/>
        </w:rPr>
        <w:instrText>22 mm/yr of crustal motion with respect to stable Eurasia by considering Newtonian channel flow model. Further, correlation between regional strain rate (ė) and topographic elevation (h) is found to be statistically robust, with stress exponent (n) of 3.03 ± 0.1. Therefore, we suggest that the Tibetan crust follows well defined power-law relation that is consistent with the nonlinear deformation associated with dislocation-creep. Moreover, the predicted viscosity range of the Tibetan crust is consistent with the channel flow model proposed by previous investigators using different approaches in different time scales.","author":[{"dropping-particle":"","family":"Panda","given":"Dibyashakti","non-dropping-particle":"","parse-names":false,"suffix":""},{"dropping-particle":"","family":"Mondal","given":"Amit","non-dropping-particle":"","parse-names":false,"suffix":""},{"dropping-particle":"","family":"Kundu","given":"Bhaskar","non-dropping-particle":"","parse-names":false,"suffix":""}],"container-title":"Journal of Asian Earth Sciences","id":"ITEM-1","issued":{"date-parts":[["2019"]]},"title":"Eastward “glacier-like flow” of the Tibetan crust constrained from power-law rheology","type":"article-journal","volume":"177"},"uris":["http://www.mendeley.com/documents/?uuid=867890b9-ae42-3312-b782-c4325b2f87b8"]}],"mendeley":{"formattedCitation":"&lt;sup&gt;7&lt;/sup&gt;","plainTextFormattedCitation":"7","previouslyFormattedCitation":"&lt;sup&gt;7&lt;/sup&gt;"},"properties":{"noteIndex":0},"schema":"https://github.com/citation-style-language/schema/raw/master/csl-citation.json"}</w:instrText>
      </w:r>
      <w:r w:rsidRPr="001129EC">
        <w:rPr>
          <w:rFonts w:eastAsiaTheme="minorEastAsia"/>
        </w:rPr>
        <w:fldChar w:fldCharType="separate"/>
      </w:r>
      <w:r w:rsidR="00623644" w:rsidRPr="00623644">
        <w:rPr>
          <w:rFonts w:eastAsiaTheme="minorEastAsia"/>
          <w:noProof/>
          <w:vertAlign w:val="superscript"/>
        </w:rPr>
        <w:t>7</w:t>
      </w:r>
      <w:r w:rsidRPr="001129EC">
        <w:rPr>
          <w:rFonts w:eastAsiaTheme="minorEastAsia"/>
        </w:rPr>
        <w:fldChar w:fldCharType="end"/>
      </w:r>
      <w:r>
        <w:t xml:space="preserve">. </w:t>
      </w:r>
      <w:r w:rsidRPr="0084293A">
        <w:rPr>
          <w:b/>
          <w:bCs/>
          <w:color w:val="000000" w:themeColor="text1"/>
        </w:rPr>
        <w:t>(e)</w:t>
      </w:r>
      <w:r w:rsidRPr="0084293A">
        <w:t xml:space="preserve"> A contour plot illustrating the misfit between predicted and observed data demonstrates the relationship between fault strength and weak layer thickness. The thick and thin lines represent misfits of 0.4 and 1, respectively, while the star indicates the optimal parameter combination that minimizes the misfit.</w:t>
      </w:r>
      <w:r w:rsidR="007364C4">
        <w:t xml:space="preserve"> </w:t>
      </w:r>
      <w:r w:rsidR="007364C4" w:rsidRPr="00590340">
        <w:t>The purple area indicates parameter combinations where the model predicts the mountains wouldn't undergo extension by normal faults</w:t>
      </w:r>
      <w:r w:rsidR="007364C4">
        <w:t>.</w:t>
      </w:r>
      <w:r>
        <w:t xml:space="preserve"> </w:t>
      </w:r>
      <w:r w:rsidR="007364C4">
        <w:t xml:space="preserve"> </w:t>
      </w:r>
    </w:p>
    <w:p w14:paraId="1858E070" w14:textId="77777777" w:rsidR="00D03B61" w:rsidRDefault="00D03B61" w:rsidP="00D03B61">
      <w:pPr>
        <w:bidi w:val="0"/>
        <w:spacing w:line="360" w:lineRule="auto"/>
        <w:jc w:val="both"/>
      </w:pPr>
    </w:p>
    <w:p w14:paraId="339DAD09" w14:textId="11221E66" w:rsidR="00D03B61" w:rsidRPr="00813366" w:rsidRDefault="00C260F1" w:rsidP="00D03B61">
      <w:pPr>
        <w:bidi w:val="0"/>
        <w:spacing w:line="360" w:lineRule="auto"/>
        <w:jc w:val="both"/>
        <w:rPr>
          <w:sz w:val="24"/>
          <w:szCs w:val="24"/>
        </w:rPr>
      </w:pPr>
      <w:r>
        <w:rPr>
          <w:noProof/>
          <w:sz w:val="24"/>
          <w:szCs w:val="24"/>
        </w:rPr>
        <w:drawing>
          <wp:inline distT="0" distB="0" distL="0" distR="0" wp14:anchorId="5C200A1F" wp14:editId="222A6700">
            <wp:extent cx="5943600" cy="3942481"/>
            <wp:effectExtent l="0" t="0" r="0" b="0"/>
            <wp:docPr id="21131054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942481"/>
                    </a:xfrm>
                    <a:prstGeom prst="rect">
                      <a:avLst/>
                    </a:prstGeom>
                    <a:noFill/>
                  </pic:spPr>
                </pic:pic>
              </a:graphicData>
            </a:graphic>
          </wp:inline>
        </w:drawing>
      </w:r>
    </w:p>
    <w:p w14:paraId="43040763" w14:textId="527B2159" w:rsidR="00D03B61" w:rsidRDefault="00D03B61" w:rsidP="00D03B61">
      <w:pPr>
        <w:bidi w:val="0"/>
        <w:spacing w:line="360" w:lineRule="auto"/>
        <w:jc w:val="both"/>
        <w:rPr>
          <w:color w:val="FF0000"/>
        </w:rPr>
      </w:pPr>
      <w:r w:rsidRPr="00D03B61">
        <w:rPr>
          <w:b/>
          <w:bCs/>
          <w:sz w:val="24"/>
          <w:szCs w:val="24"/>
        </w:rPr>
        <w:t xml:space="preserve">Supplementary figure. 6: </w:t>
      </w:r>
      <w:r w:rsidRPr="00D03B61">
        <w:rPr>
          <w:b/>
          <w:bCs/>
        </w:rPr>
        <w:t>Schematic drawing of the frictional–viscous fault system model.</w:t>
      </w:r>
      <w:r>
        <w:t xml:space="preserve"> The model consists of three distinct layers representing the Earth's crust in orogenic belts. The uppermost layer, the brittle upper crust, is depicted with a mountain-like topography of height </w:t>
      </w:r>
      <m:oMath>
        <m:r>
          <w:rPr>
            <w:rStyle w:val="katex-mathml"/>
            <w:rFonts w:ascii="Cambria Math" w:hAnsi="Cambria Math"/>
          </w:rPr>
          <m:t>h</m:t>
        </m:r>
      </m:oMath>
      <w:r>
        <w:t xml:space="preserve"> and slope length </w:t>
      </w:r>
      <w:r w:rsidRPr="00DB0303">
        <w:rPr>
          <w:rStyle w:val="katex-mathml"/>
          <w:i/>
          <w:iCs/>
        </w:rPr>
        <w:t>W</w:t>
      </w:r>
      <w:r>
        <w:t xml:space="preserve">. Its thickness varies spatially, being thinner </w:t>
      </w:r>
      <m:oMath>
        <m:sSub>
          <m:sSubPr>
            <m:ctrlPr>
              <w:rPr>
                <w:rStyle w:val="katex-mathml"/>
                <w:rFonts w:ascii="Cambria Math" w:hAnsi="Cambria Math"/>
                <w:i/>
              </w:rPr>
            </m:ctrlPr>
          </m:sSubPr>
          <m:e>
            <m:r>
              <w:rPr>
                <w:rStyle w:val="katex-mathml"/>
                <w:rFonts w:ascii="Cambria Math" w:hAnsi="Cambria Math"/>
              </w:rPr>
              <m:t>h</m:t>
            </m:r>
          </m:e>
          <m:sub>
            <m:r>
              <w:rPr>
                <w:rStyle w:val="katex-mathml"/>
                <w:rFonts w:ascii="Cambria Math" w:hAnsi="Cambria Math"/>
              </w:rPr>
              <m:t>BUC</m:t>
            </m:r>
          </m:sub>
        </m:sSub>
      </m:oMath>
      <w:r>
        <w:rPr>
          <w:vertAlign w:val="subscript"/>
        </w:rPr>
        <w:t xml:space="preserve"> </w:t>
      </w:r>
      <w:r>
        <w:t xml:space="preserve">away from the </w:t>
      </w:r>
      <w:r>
        <w:lastRenderedPageBreak/>
        <w:t xml:space="preserve">mountain and thicker </w:t>
      </w:r>
      <m:oMath>
        <m:r>
          <w:rPr>
            <w:rStyle w:val="katex-mathml"/>
            <w:rFonts w:ascii="Cambria Math" w:hAnsi="Cambria Math"/>
          </w:rPr>
          <m:t>h+</m:t>
        </m:r>
        <m:sSub>
          <m:sSubPr>
            <m:ctrlPr>
              <w:rPr>
                <w:rStyle w:val="katex-mathml"/>
                <w:rFonts w:ascii="Cambria Math" w:hAnsi="Cambria Math"/>
                <w:i/>
              </w:rPr>
            </m:ctrlPr>
          </m:sSubPr>
          <m:e>
            <m:r>
              <w:rPr>
                <w:rStyle w:val="katex-mathml"/>
                <w:rFonts w:ascii="Cambria Math" w:hAnsi="Cambria Math"/>
              </w:rPr>
              <m:t>h</m:t>
            </m:r>
          </m:e>
          <m:sub>
            <m:r>
              <w:rPr>
                <w:rStyle w:val="katex-mathml"/>
                <w:rFonts w:ascii="Cambria Math" w:hAnsi="Cambria Math"/>
              </w:rPr>
              <m:t>BUC</m:t>
            </m:r>
          </m:sub>
        </m:sSub>
      </m:oMath>
      <w:r w:rsidRPr="00F30D95">
        <w:t xml:space="preserve"> </w:t>
      </w:r>
      <w:r>
        <w:t>at the peak. An orange line indicates a normal fault. The second layer, the weak crustal layer, has a constant thickness (</w:t>
      </w:r>
      <m:oMath>
        <m:sSub>
          <m:sSubPr>
            <m:ctrlPr>
              <w:rPr>
                <w:rStyle w:val="katex-mathml"/>
                <w:rFonts w:ascii="Cambria Math" w:hAnsi="Cambria Math"/>
                <w:i/>
              </w:rPr>
            </m:ctrlPr>
          </m:sSubPr>
          <m:e>
            <m:r>
              <w:rPr>
                <w:rStyle w:val="katex-mathml"/>
                <w:rFonts w:ascii="Cambria Math" w:hAnsi="Cambria Math"/>
              </w:rPr>
              <m:t>h</m:t>
            </m:r>
          </m:e>
          <m:sub>
            <m:r>
              <w:rPr>
                <w:rStyle w:val="katex-mathml"/>
                <w:rFonts w:ascii="Cambria Math" w:hAnsi="Cambria Math"/>
              </w:rPr>
              <m:t>WCC</m:t>
            </m:r>
          </m:sub>
        </m:sSub>
      </m:oMath>
      <w:r>
        <w:rPr>
          <w:rStyle w:val="vlist-s"/>
        </w:rPr>
        <w:t>​</w:t>
      </w:r>
      <w:r>
        <w:t xml:space="preserve">) and deforms viscously due to plastic flow. Black arrows illustrate the flow profile, which is driven by the topographic gradient. As a result of the flow, shear stress is exerted within the weak layer, where at a height of </w:t>
      </w:r>
      <m:oMath>
        <m:r>
          <w:rPr>
            <w:rFonts w:ascii="Cambria Math" w:hAnsi="Cambria Math"/>
          </w:rPr>
          <m:t xml:space="preserve">y= </m:t>
        </m:r>
        <m:sSub>
          <m:sSubPr>
            <m:ctrlPr>
              <w:rPr>
                <w:rStyle w:val="katex-mathml"/>
                <w:rFonts w:ascii="Cambria Math" w:hAnsi="Cambria Math"/>
                <w:i/>
              </w:rPr>
            </m:ctrlPr>
          </m:sSubPr>
          <m:e>
            <m:r>
              <w:rPr>
                <w:rStyle w:val="katex-mathml"/>
                <w:rFonts w:ascii="Cambria Math" w:hAnsi="Cambria Math"/>
              </w:rPr>
              <m:t>h</m:t>
            </m:r>
          </m:e>
          <m:sub>
            <m:r>
              <w:rPr>
                <w:rStyle w:val="katex-mathml"/>
                <w:rFonts w:ascii="Cambria Math" w:hAnsi="Cambria Math"/>
              </w:rPr>
              <m:t>m</m:t>
            </m:r>
          </m:sub>
        </m:sSub>
      </m:oMath>
      <w:r>
        <w:rPr>
          <w:rStyle w:val="vlist-s"/>
        </w:rPr>
        <w:t>​</w:t>
      </w:r>
      <w:r>
        <w:t>, the velocity reaches its maximum and the shear stress is zero. Below this point (</w:t>
      </w:r>
      <m:oMath>
        <m:r>
          <w:rPr>
            <w:rFonts w:ascii="Cambria Math" w:hAnsi="Cambria Math"/>
          </w:rPr>
          <m:t xml:space="preserve">y&lt; </m:t>
        </m:r>
        <m:sSub>
          <m:sSubPr>
            <m:ctrlPr>
              <w:rPr>
                <w:rStyle w:val="katex-mathml"/>
                <w:rFonts w:ascii="Cambria Math" w:hAnsi="Cambria Math"/>
                <w:i/>
              </w:rPr>
            </m:ctrlPr>
          </m:sSubPr>
          <m:e>
            <m:r>
              <w:rPr>
                <w:rStyle w:val="katex-mathml"/>
                <w:rFonts w:ascii="Cambria Math" w:hAnsi="Cambria Math"/>
              </w:rPr>
              <m:t>h</m:t>
            </m:r>
          </m:e>
          <m:sub>
            <m:r>
              <w:rPr>
                <w:rStyle w:val="katex-mathml"/>
                <w:rFonts w:ascii="Cambria Math" w:hAnsi="Cambria Math"/>
              </w:rPr>
              <m:t>m</m:t>
            </m:r>
          </m:sub>
        </m:sSub>
      </m:oMath>
      <w:r>
        <w:rPr>
          <w:rStyle w:val="vlist-s"/>
        </w:rPr>
        <w:t>​</w:t>
      </w:r>
      <w:r>
        <w:t xml:space="preserve">), the shear stress is positive; above this point </w:t>
      </w:r>
      <m:oMath>
        <m:r>
          <w:rPr>
            <w:rFonts w:ascii="Cambria Math" w:hAnsi="Cambria Math"/>
          </w:rPr>
          <m:t xml:space="preserve">y&gt; </m:t>
        </m:r>
        <m:sSub>
          <m:sSubPr>
            <m:ctrlPr>
              <w:rPr>
                <w:rStyle w:val="katex-mathml"/>
                <w:rFonts w:ascii="Cambria Math" w:hAnsi="Cambria Math"/>
                <w:i/>
              </w:rPr>
            </m:ctrlPr>
          </m:sSubPr>
          <m:e>
            <m:r>
              <w:rPr>
                <w:rStyle w:val="katex-mathml"/>
                <w:rFonts w:ascii="Cambria Math" w:hAnsi="Cambria Math"/>
              </w:rPr>
              <m:t>h</m:t>
            </m:r>
          </m:e>
          <m:sub>
            <m:r>
              <w:rPr>
                <w:rStyle w:val="katex-mathml"/>
                <w:rFonts w:ascii="Cambria Math" w:hAnsi="Cambria Math"/>
              </w:rPr>
              <m:t>m</m:t>
            </m:r>
          </m:sub>
        </m:sSub>
      </m:oMath>
      <w:r>
        <w:t>, the shear stress is negative. Consequently, the shear force at the base of the upper crust (</w:t>
      </w:r>
      <m:oMath>
        <m:sSub>
          <m:sSubPr>
            <m:ctrlPr>
              <w:rPr>
                <w:rFonts w:ascii="Cambria Math" w:hAnsi="Cambria Math"/>
              </w:rPr>
            </m:ctrlPr>
          </m:sSubPr>
          <m:e>
            <m:r>
              <w:rPr>
                <w:rFonts w:ascii="Cambria Math" w:hAnsi="Cambria Math"/>
              </w:rPr>
              <m:t>F</m:t>
            </m:r>
          </m:e>
          <m:sub>
            <m:r>
              <w:rPr>
                <w:rFonts w:ascii="Cambria Math" w:hAnsi="Cambria Math"/>
              </w:rPr>
              <m:t>b</m:t>
            </m:r>
          </m:sub>
        </m:sSub>
      </m:oMath>
      <w:r>
        <w:t xml:space="preserve"> blue arrow) is positive, in accordance with Newton's third law. In contrast, the fault friction force (</w:t>
      </w:r>
      <m:oMath>
        <m:sSub>
          <m:sSubPr>
            <m:ctrlPr>
              <w:rPr>
                <w:rFonts w:ascii="Cambria Math" w:hAnsi="Cambria Math"/>
              </w:rPr>
            </m:ctrlPr>
          </m:sSubPr>
          <m:e>
            <m:r>
              <w:rPr>
                <w:rFonts w:ascii="Cambria Math" w:hAnsi="Cambria Math"/>
              </w:rPr>
              <m:t>F</m:t>
            </m:r>
          </m:e>
          <m:sub>
            <m:r>
              <w:rPr>
                <w:rFonts w:ascii="Cambria Math" w:hAnsi="Cambria Math"/>
              </w:rPr>
              <m:t>fx</m:t>
            </m:r>
          </m:sub>
        </m:sSub>
      </m:oMath>
      <w:r>
        <w:t xml:space="preserve"> green arrow) is negative as it opposes the shear force. </w:t>
      </w:r>
    </w:p>
    <w:p w14:paraId="77FE1F0D" w14:textId="77777777" w:rsidR="00D03B61" w:rsidRPr="004178B5" w:rsidRDefault="00D03B61" w:rsidP="00D03B61">
      <w:pPr>
        <w:bidi w:val="0"/>
        <w:spacing w:line="360" w:lineRule="auto"/>
        <w:jc w:val="both"/>
      </w:pPr>
    </w:p>
    <w:tbl>
      <w:tblPr>
        <w:tblStyle w:val="TableGrid"/>
        <w:tblW w:w="0" w:type="auto"/>
        <w:tblLook w:val="04A0" w:firstRow="1" w:lastRow="0" w:firstColumn="1" w:lastColumn="0" w:noHBand="0" w:noVBand="1"/>
      </w:tblPr>
      <w:tblGrid>
        <w:gridCol w:w="2074"/>
        <w:gridCol w:w="2074"/>
        <w:gridCol w:w="2074"/>
        <w:gridCol w:w="2074"/>
      </w:tblGrid>
      <w:tr w:rsidR="00CB3353" w14:paraId="3853CF23" w14:textId="77777777" w:rsidTr="00CB3353">
        <w:tc>
          <w:tcPr>
            <w:tcW w:w="2074" w:type="dxa"/>
          </w:tcPr>
          <w:p w14:paraId="5D38369D" w14:textId="350AC35F" w:rsidR="00CB3353" w:rsidRDefault="00CB3353" w:rsidP="002F609A">
            <w:pPr>
              <w:bidi w:val="0"/>
              <w:spacing w:line="360" w:lineRule="auto"/>
              <w:jc w:val="both"/>
            </w:pPr>
            <w:r>
              <w:rPr>
                <w:rFonts w:ascii="Times-Roman" w:hAnsi="Times-Roman" w:cs="Times-Roman"/>
                <w:sz w:val="20"/>
                <w:szCs w:val="20"/>
                <w:lang w:bidi="ar-SA"/>
              </w:rPr>
              <w:t>Material</w:t>
            </w:r>
          </w:p>
        </w:tc>
        <w:tc>
          <w:tcPr>
            <w:tcW w:w="2074" w:type="dxa"/>
          </w:tcPr>
          <w:p w14:paraId="50940E15" w14:textId="038408A1" w:rsidR="00CB3353" w:rsidRPr="00CB3353" w:rsidRDefault="00CB3353" w:rsidP="00CB3353">
            <w:pPr>
              <w:autoSpaceDE w:val="0"/>
              <w:autoSpaceDN w:val="0"/>
              <w:bidi w:val="0"/>
              <w:adjustRightInd w:val="0"/>
              <w:rPr>
                <w:rFonts w:ascii="MTMI" w:eastAsia="MTMI" w:hAnsi="Times-Roman" w:cs="MTMI"/>
                <w:i/>
                <w:iCs/>
                <w:sz w:val="14"/>
                <w:szCs w:val="14"/>
                <w:lang w:bidi="ar-SA"/>
              </w:rPr>
            </w:pPr>
            <w:r>
              <w:rPr>
                <w:rFonts w:ascii="Times-Roman" w:hAnsi="Times-Roman" w:cs="Times-Roman"/>
                <w:sz w:val="20"/>
                <w:szCs w:val="20"/>
                <w:lang w:bidi="ar-SA"/>
              </w:rPr>
              <w:t>A (MPa</w:t>
            </w:r>
            <w:r w:rsidRPr="00CB3353">
              <w:rPr>
                <w:rFonts w:ascii="Arial" w:eastAsia="MTSY" w:hAnsi="Arial" w:cs="Arial"/>
                <w:sz w:val="20"/>
                <w:szCs w:val="20"/>
                <w:vertAlign w:val="superscript"/>
                <w:lang w:bidi="ar-SA"/>
              </w:rPr>
              <w:t>−</w:t>
            </w:r>
            <w:r w:rsidRPr="00CB3353">
              <w:rPr>
                <w:rFonts w:ascii="Times-Roman" w:hAnsi="Times-Roman" w:cs="Times-Roman"/>
                <w:sz w:val="20"/>
                <w:szCs w:val="20"/>
                <w:vertAlign w:val="superscript"/>
                <w:lang w:bidi="ar-SA"/>
              </w:rPr>
              <w:t>n</w:t>
            </w:r>
            <w:r>
              <w:rPr>
                <w:rFonts w:ascii="Times-Roman" w:hAnsi="Times-Roman" w:cs="Times-Roman"/>
                <w:sz w:val="14"/>
                <w:szCs w:val="14"/>
                <w:lang w:bidi="ar-SA"/>
              </w:rPr>
              <w:t xml:space="preserve"> </w:t>
            </w:r>
            <w:r>
              <w:rPr>
                <w:rFonts w:ascii="Times-Roman" w:hAnsi="Times-Roman" w:cs="Times-Roman"/>
                <w:sz w:val="20"/>
                <w:szCs w:val="20"/>
                <w:lang w:bidi="ar-SA"/>
              </w:rPr>
              <w:t>s</w:t>
            </w:r>
            <w:r w:rsidRPr="00CB3353">
              <w:rPr>
                <w:rFonts w:ascii="Arial" w:eastAsia="MTSY" w:hAnsi="Arial" w:cs="Arial"/>
                <w:sz w:val="18"/>
                <w:szCs w:val="18"/>
                <w:vertAlign w:val="superscript"/>
                <w:lang w:bidi="ar-SA"/>
              </w:rPr>
              <w:t>−</w:t>
            </w:r>
            <w:r w:rsidRPr="00CB3353">
              <w:rPr>
                <w:rFonts w:ascii="Times-Roman" w:hAnsi="Times-Roman" w:cs="Times-Roman"/>
                <w:sz w:val="18"/>
                <w:szCs w:val="18"/>
                <w:vertAlign w:val="superscript"/>
                <w:lang w:bidi="ar-SA"/>
              </w:rPr>
              <w:t>1</w:t>
            </w:r>
            <w:r>
              <w:rPr>
                <w:rFonts w:ascii="Times-Roman" w:hAnsi="Times-Roman" w:cs="Times-Roman"/>
                <w:sz w:val="14"/>
                <w:szCs w:val="14"/>
                <w:lang w:bidi="ar-SA"/>
              </w:rPr>
              <w:t>)</w:t>
            </w:r>
          </w:p>
        </w:tc>
        <w:tc>
          <w:tcPr>
            <w:tcW w:w="2074" w:type="dxa"/>
          </w:tcPr>
          <w:p w14:paraId="5AED2ECB" w14:textId="79B479D5" w:rsidR="00CB3353" w:rsidRDefault="00CB3353" w:rsidP="002F609A">
            <w:pPr>
              <w:bidi w:val="0"/>
              <w:spacing w:line="360" w:lineRule="auto"/>
              <w:jc w:val="both"/>
            </w:pPr>
            <w:r>
              <w:t>n</w:t>
            </w:r>
          </w:p>
        </w:tc>
        <w:tc>
          <w:tcPr>
            <w:tcW w:w="2074" w:type="dxa"/>
          </w:tcPr>
          <w:p w14:paraId="5829028D" w14:textId="4F9DDD8B" w:rsidR="00CB3353" w:rsidRPr="00CB3353" w:rsidRDefault="00CB3353" w:rsidP="002F609A">
            <w:pPr>
              <w:bidi w:val="0"/>
              <w:spacing w:line="360" w:lineRule="auto"/>
              <w:jc w:val="both"/>
            </w:pPr>
            <w:r>
              <w:t>Q (</w:t>
            </w:r>
            <w:r>
              <w:rPr>
                <w:rFonts w:ascii="Times-Roman" w:hAnsi="Times-Roman" w:cs="Times-Roman"/>
                <w:sz w:val="20"/>
                <w:szCs w:val="20"/>
                <w:lang w:bidi="ar-SA"/>
              </w:rPr>
              <w:t>kJ mol</w:t>
            </w:r>
            <w:r w:rsidRPr="00CB3353">
              <w:rPr>
                <w:rFonts w:ascii="Arial" w:eastAsia="MTSY" w:hAnsi="Arial" w:cs="Arial"/>
                <w:sz w:val="20"/>
                <w:szCs w:val="20"/>
                <w:vertAlign w:val="superscript"/>
                <w:lang w:bidi="ar-SA"/>
              </w:rPr>
              <w:t>−</w:t>
            </w:r>
            <w:r w:rsidRPr="00CB3353">
              <w:rPr>
                <w:rFonts w:ascii="Times-Roman" w:hAnsi="Times-Roman" w:cs="Times-Roman"/>
                <w:sz w:val="20"/>
                <w:szCs w:val="20"/>
                <w:vertAlign w:val="superscript"/>
                <w:lang w:bidi="ar-SA"/>
              </w:rPr>
              <w:t>1</w:t>
            </w:r>
            <w:r>
              <w:rPr>
                <w:rFonts w:ascii="Times-Roman" w:hAnsi="Times-Roman" w:cs="Times-Roman"/>
                <w:sz w:val="20"/>
                <w:szCs w:val="20"/>
                <w:lang w:bidi="ar-SA"/>
              </w:rPr>
              <w:t>)</w:t>
            </w:r>
          </w:p>
        </w:tc>
      </w:tr>
      <w:tr w:rsidR="00B32F9B" w14:paraId="0B27C08F" w14:textId="77777777" w:rsidTr="00CB3353">
        <w:tc>
          <w:tcPr>
            <w:tcW w:w="2074" w:type="dxa"/>
          </w:tcPr>
          <w:p w14:paraId="023E4B7C" w14:textId="1EE2C35C" w:rsidR="00B32F9B" w:rsidRPr="0050354C" w:rsidRDefault="00B32F9B" w:rsidP="00B32F9B">
            <w:pPr>
              <w:bidi w:val="0"/>
              <w:spacing w:line="360" w:lineRule="auto"/>
              <w:jc w:val="both"/>
            </w:pPr>
            <w:r w:rsidRPr="0050354C">
              <w:rPr>
                <w:rFonts w:ascii="Times-Roman" w:hAnsi="Times-Roman" w:cs="Times-Roman"/>
                <w:sz w:val="20"/>
                <w:szCs w:val="20"/>
                <w:lang w:bidi="ar-SA"/>
              </w:rPr>
              <w:t>Quartz (Q2)</w:t>
            </w:r>
            <w:r w:rsidR="00B9554F" w:rsidRPr="0050354C">
              <w:rPr>
                <w:rFonts w:ascii="Times-Roman" w:hAnsi="Times-Roman" w:cs="Times-Roman"/>
                <w:sz w:val="20"/>
                <w:szCs w:val="20"/>
                <w:lang w:bidi="ar-SA"/>
              </w:rPr>
              <w:fldChar w:fldCharType="begin" w:fldLock="1"/>
            </w:r>
            <w:r w:rsidR="00676B7A">
              <w:rPr>
                <w:rFonts w:ascii="Times-Roman" w:hAnsi="Times-Roman" w:cs="Times-Roman"/>
                <w:sz w:val="20"/>
                <w:szCs w:val="20"/>
                <w:lang w:bidi="ar-SA"/>
              </w:rPr>
              <w:instrText>ADDIN CSL_CITATION {"citationItems":[{"id":"ITEM-1","itemData":{"DOI":"10.1016/j.jsg.2018.06.005","ISSN":"01918141","abstract":"Shear experiments on quartz gouge were performed at elevated confining pressures (predominantly 1.5 GPa) and temperatures (500 °C - 1000 °C) at shear strain rates of 3.5·10−6 s−1 to 2·10−3 s−1 to study the brittle-to-viscous transition. An unsystematic temperature dependence of strength at low temperatures changes towards a clear temperature weakening dependence above 650 °C. The transition from a pressure strengthening to a pressure weakening relationship takes place continuously between 650 °C and 800 °C. Strain rate stepping experiments reveal power-law breakdown at low temperatures (</w:instrText>
            </w:r>
            <w:r w:rsidR="00676B7A">
              <w:rPr>
                <w:rFonts w:ascii="Cambria Math" w:hAnsi="Cambria Math" w:cs="Cambria Math"/>
                <w:sz w:val="20"/>
                <w:szCs w:val="20"/>
                <w:lang w:bidi="ar-SA"/>
              </w:rPr>
              <w:instrText>∼</w:instrText>
            </w:r>
            <w:r w:rsidR="00676B7A">
              <w:rPr>
                <w:rFonts w:ascii="Times-Roman" w:hAnsi="Times-Roman" w:cs="Times-Roman"/>
                <w:sz w:val="20"/>
                <w:szCs w:val="20"/>
                <w:lang w:bidi="ar-SA"/>
              </w:rPr>
              <w:instrText xml:space="preserve">650 </w:instrText>
            </w:r>
            <w:r w:rsidR="00676B7A">
              <w:rPr>
                <w:rFonts w:ascii="Times New Roman" w:hAnsi="Times New Roman" w:cs="Times New Roman"/>
                <w:sz w:val="20"/>
                <w:szCs w:val="20"/>
                <w:lang w:bidi="ar-SA"/>
              </w:rPr>
              <w:instrText>°</w:instrText>
            </w:r>
            <w:r w:rsidR="00676B7A">
              <w:rPr>
                <w:rFonts w:ascii="Times-Roman" w:hAnsi="Times-Roman" w:cs="Times-Roman"/>
                <w:sz w:val="20"/>
                <w:szCs w:val="20"/>
                <w:lang w:bidi="ar-SA"/>
              </w:rPr>
              <w:instrText xml:space="preserve">C). Between 800 </w:instrText>
            </w:r>
            <w:r w:rsidR="00676B7A">
              <w:rPr>
                <w:rFonts w:ascii="Times New Roman" w:hAnsi="Times New Roman" w:cs="Times New Roman"/>
                <w:sz w:val="20"/>
                <w:szCs w:val="20"/>
                <w:lang w:bidi="ar-SA"/>
              </w:rPr>
              <w:instrText>°</w:instrText>
            </w:r>
            <w:r w:rsidR="00676B7A">
              <w:rPr>
                <w:rFonts w:ascii="Times-Roman" w:hAnsi="Times-Roman" w:cs="Times-Roman"/>
                <w:sz w:val="20"/>
                <w:szCs w:val="20"/>
                <w:lang w:bidi="ar-SA"/>
              </w:rPr>
              <w:instrText xml:space="preserve">C and 1000 </w:instrText>
            </w:r>
            <w:r w:rsidR="00676B7A">
              <w:rPr>
                <w:rFonts w:ascii="Times New Roman" w:hAnsi="Times New Roman" w:cs="Times New Roman"/>
                <w:sz w:val="20"/>
                <w:szCs w:val="20"/>
                <w:lang w:bidi="ar-SA"/>
              </w:rPr>
              <w:instrText>°</w:instrText>
            </w:r>
            <w:r w:rsidR="00676B7A">
              <w:rPr>
                <w:rFonts w:ascii="Times-Roman" w:hAnsi="Times-Roman" w:cs="Times-Roman"/>
                <w:sz w:val="20"/>
                <w:szCs w:val="20"/>
                <w:lang w:bidi="ar-SA"/>
              </w:rPr>
              <w:instrText xml:space="preserve">C, a stress exponent of n = 1.9 </w:instrText>
            </w:r>
            <w:r w:rsidR="00676B7A">
              <w:rPr>
                <w:rFonts w:ascii="Times New Roman" w:hAnsi="Times New Roman" w:cs="Times New Roman"/>
                <w:sz w:val="20"/>
                <w:szCs w:val="20"/>
                <w:lang w:bidi="ar-SA"/>
              </w:rPr>
              <w:instrText>±</w:instrText>
            </w:r>
            <w:r w:rsidR="00676B7A">
              <w:rPr>
                <w:rFonts w:ascii="Times-Roman" w:hAnsi="Times-Roman" w:cs="Times-Roman"/>
                <w:sz w:val="20"/>
                <w:szCs w:val="20"/>
                <w:lang w:bidi="ar-SA"/>
              </w:rPr>
              <w:instrText xml:space="preserve"> 0.6 and an activation energy of Q = 170 </w:instrText>
            </w:r>
            <w:r w:rsidR="00676B7A">
              <w:rPr>
                <w:rFonts w:ascii="Times New Roman" w:hAnsi="Times New Roman" w:cs="Times New Roman"/>
                <w:sz w:val="20"/>
                <w:szCs w:val="20"/>
                <w:lang w:bidi="ar-SA"/>
              </w:rPr>
              <w:instrText>±</w:instrText>
            </w:r>
            <w:r w:rsidR="00676B7A">
              <w:rPr>
                <w:rFonts w:ascii="Times-Roman" w:hAnsi="Times-Roman" w:cs="Times-Roman"/>
                <w:sz w:val="20"/>
                <w:szCs w:val="20"/>
                <w:lang w:bidi="ar-SA"/>
              </w:rPr>
              <w:instrText xml:space="preserve"> 72 kJ/mol indicate a combination of diffusion and dislocation creep. The Goetze criterion is confirmed as the upper stress limit for viscous deformation mechanisms. Localised deformation in the form of semibrittle shear bands with Riedel geometry at low temperatures changes to homogeneous deformation with a pervasive foliation accompanied by a continuous texture evolution between 700 °C and 1000 °C. Fracturing dominates at low temperatures accompanied by increasing amounts of dissolution and precipitation in fine-grained zones with increasing temperature. Above 650 °C, dislocation and diffusion creep are the dominating deformation processes, with dislocation creep being favoured in larger grains while dissolution-precipitation is active in the fine-grained fraction.","author":[{"dropping-particle":"","family":"Richter","given":"Bettina","non-dropping-particle":"","parse-names":false,"suffix":""},{"dropping-particle":"","family":"Stünitz","given":"Holger","non-dropping-particle":"","parse-names":false,"suffix":""},{"dropping-particle":"","family":"Heilbronner","given":"Renée","non-dropping-particle":"","parse-names":false,"suffix":""}],"container-title":"Journal of Structural Geology","id":"ITEM-1","issued":{"date-parts":[["2018"]]},"title":"The brittle-to-viscous transition in polycrystalline quartz: An experimental study","type":"article-journal","volume":"114"},"uris":["http://www.mendeley.com/documents/?uuid=3b73069c-6438-3f99-9e62-ca31df827aed"]}],"mendeley":{"formattedCitation":"&lt;sup&gt;21&lt;/sup&gt;","plainTextFormattedCitation":"21","previouslyFormattedCitation":"&lt;sup&gt;21&lt;/sup&gt;"},"properties":{"noteIndex":0},"schema":"https://github.com/citation-style-language/schema/raw/master/csl-citation.json"}</w:instrText>
            </w:r>
            <w:r w:rsidR="00B9554F" w:rsidRPr="0050354C">
              <w:rPr>
                <w:rFonts w:ascii="Times-Roman" w:hAnsi="Times-Roman" w:cs="Times-Roman"/>
                <w:sz w:val="20"/>
                <w:szCs w:val="20"/>
                <w:lang w:bidi="ar-SA"/>
              </w:rPr>
              <w:fldChar w:fldCharType="separate"/>
            </w:r>
            <w:r w:rsidR="003E0B39" w:rsidRPr="003E0B39">
              <w:rPr>
                <w:rFonts w:ascii="Times-Roman" w:hAnsi="Times-Roman" w:cs="Times-Roman"/>
                <w:noProof/>
                <w:sz w:val="20"/>
                <w:szCs w:val="20"/>
                <w:vertAlign w:val="superscript"/>
                <w:lang w:bidi="ar-SA"/>
              </w:rPr>
              <w:t>21</w:t>
            </w:r>
            <w:r w:rsidR="00B9554F" w:rsidRPr="0050354C">
              <w:rPr>
                <w:rFonts w:ascii="Times-Roman" w:hAnsi="Times-Roman" w:cs="Times-Roman"/>
                <w:sz w:val="20"/>
                <w:szCs w:val="20"/>
                <w:lang w:bidi="ar-SA"/>
              </w:rPr>
              <w:fldChar w:fldCharType="end"/>
            </w:r>
          </w:p>
        </w:tc>
        <w:tc>
          <w:tcPr>
            <w:tcW w:w="2074" w:type="dxa"/>
          </w:tcPr>
          <w:p w14:paraId="2AE27864" w14:textId="7C1ECE2E" w:rsidR="00B32F9B" w:rsidRPr="0050354C" w:rsidRDefault="0050354C" w:rsidP="00B32F9B">
            <w:pPr>
              <w:bidi w:val="0"/>
              <w:spacing w:line="360" w:lineRule="auto"/>
              <w:jc w:val="both"/>
            </w:pPr>
            <w:r w:rsidRPr="0050354C">
              <w:t>3</w:t>
            </w:r>
            <w:r w:rsidR="00B32F9B" w:rsidRPr="0050354C">
              <w:t>e-</w:t>
            </w:r>
            <w:r w:rsidRPr="0050354C">
              <w:t>4</w:t>
            </w:r>
          </w:p>
        </w:tc>
        <w:tc>
          <w:tcPr>
            <w:tcW w:w="2074" w:type="dxa"/>
          </w:tcPr>
          <w:p w14:paraId="4D314B7A" w14:textId="75F1C5C4" w:rsidR="00B32F9B" w:rsidRPr="0050354C" w:rsidRDefault="00B32F9B" w:rsidP="00B32F9B">
            <w:pPr>
              <w:bidi w:val="0"/>
              <w:spacing w:line="360" w:lineRule="auto"/>
              <w:jc w:val="both"/>
            </w:pPr>
            <w:r w:rsidRPr="0050354C">
              <w:t>2</w:t>
            </w:r>
          </w:p>
        </w:tc>
        <w:tc>
          <w:tcPr>
            <w:tcW w:w="2074" w:type="dxa"/>
          </w:tcPr>
          <w:p w14:paraId="77296C2C" w14:textId="0AE8BE07" w:rsidR="00B32F9B" w:rsidRPr="0050354C" w:rsidRDefault="00B32F9B" w:rsidP="00B32F9B">
            <w:pPr>
              <w:bidi w:val="0"/>
              <w:spacing w:line="360" w:lineRule="auto"/>
              <w:jc w:val="both"/>
            </w:pPr>
            <w:r w:rsidRPr="0050354C">
              <w:t>1</w:t>
            </w:r>
            <w:r w:rsidR="00A13E3C" w:rsidRPr="0050354C">
              <w:t>70</w:t>
            </w:r>
          </w:p>
        </w:tc>
      </w:tr>
      <w:tr w:rsidR="00B32F9B" w14:paraId="47A70353" w14:textId="77777777" w:rsidTr="00CB3353">
        <w:tc>
          <w:tcPr>
            <w:tcW w:w="2074" w:type="dxa"/>
          </w:tcPr>
          <w:p w14:paraId="0F12E912" w14:textId="2BCD453F" w:rsidR="00B32F9B" w:rsidRDefault="00B32F9B" w:rsidP="00B32F9B">
            <w:pPr>
              <w:bidi w:val="0"/>
              <w:spacing w:line="360" w:lineRule="auto"/>
              <w:jc w:val="both"/>
            </w:pPr>
            <w:r>
              <w:rPr>
                <w:rFonts w:ascii="Times-Roman" w:hAnsi="Times-Roman" w:cs="Times-Roman"/>
                <w:sz w:val="20"/>
                <w:szCs w:val="20"/>
                <w:lang w:bidi="ar-SA"/>
              </w:rPr>
              <w:t xml:space="preserve">quartzite (wet) (QW) </w:t>
            </w:r>
            <w:r w:rsidR="00B9554F">
              <w:rPr>
                <w:rFonts w:ascii="Times-Roman" w:hAnsi="Times-Roman" w:cs="Times-Roman"/>
                <w:sz w:val="20"/>
                <w:szCs w:val="20"/>
                <w:lang w:bidi="ar-SA"/>
              </w:rPr>
              <w:fldChar w:fldCharType="begin" w:fldLock="1"/>
            </w:r>
            <w:r w:rsidR="00676B7A">
              <w:rPr>
                <w:rFonts w:ascii="Times-Roman" w:hAnsi="Times-Roman" w:cs="Times-Roman"/>
                <w:sz w:val="20"/>
                <w:szCs w:val="20"/>
                <w:lang w:bidi="ar-SA"/>
              </w:rPr>
              <w:instrText>ADDIN CSL_CITATION {"citationItems":[{"id":"ITEM-1","itemData":{"DOI":"10.1029/RG025i006p01219","ISSN":"19449208","abstract":"We review recent results concerning the rheology of the lithosphere with special attention to the following topics: 1) the flexure of the oceanic lithosphere, 2) deformation of the continental lithosphere resulting from vertical surface loads and forces applied at plate margins, 3) the rheological stratification of the continents, 4) strain localization and shear zone development, and 5) strain‐induced crystallographic preferred orientations and anisotropies in body‐wave velocities. We conclude with a section citing the 1983–1986 rock mechanics literature by category. This paper is not subject to U.S. copyright. Published in 1987 by the American Geophysical Union.","author":[{"dropping-particle":"","family":"Kirby","given":"S. H.","non-dropping-particle":"","parse-names":false,"suffix":""},{"dropping-particle":"","family":"Kronenberg","given":"A. K.","non-dropping-particle":"","parse-names":false,"suffix":""}],"container-title":"Reviews of Geophysics","id":"ITEM-1","issue":"6","issued":{"date-parts":[["1987"]]},"title":"Rheology of the lithosphere: Selected topics","type":"article","volume":"25"},"uris":["http://www.mendeley.com/documents/?uuid=bc8d0375-e181-33ee-a8ef-b7776ed20a6b"]}],"mendeley":{"formattedCitation":"&lt;sup&gt;22&lt;/sup&gt;","plainTextFormattedCitation":"22","previouslyFormattedCitation":"&lt;sup&gt;22&lt;/sup&gt;"},"properties":{"noteIndex":0},"schema":"https://github.com/citation-style-language/schema/raw/master/csl-citation.json"}</w:instrText>
            </w:r>
            <w:r w:rsidR="00B9554F">
              <w:rPr>
                <w:rFonts w:ascii="Times-Roman" w:hAnsi="Times-Roman" w:cs="Times-Roman"/>
                <w:sz w:val="20"/>
                <w:szCs w:val="20"/>
                <w:lang w:bidi="ar-SA"/>
              </w:rPr>
              <w:fldChar w:fldCharType="separate"/>
            </w:r>
            <w:r w:rsidR="003E0B39" w:rsidRPr="003E0B39">
              <w:rPr>
                <w:rFonts w:ascii="Times-Roman" w:hAnsi="Times-Roman" w:cs="Times-Roman"/>
                <w:noProof/>
                <w:sz w:val="20"/>
                <w:szCs w:val="20"/>
                <w:vertAlign w:val="superscript"/>
                <w:lang w:bidi="ar-SA"/>
              </w:rPr>
              <w:t>22</w:t>
            </w:r>
            <w:r w:rsidR="00B9554F">
              <w:rPr>
                <w:rFonts w:ascii="Times-Roman" w:hAnsi="Times-Roman" w:cs="Times-Roman"/>
                <w:sz w:val="20"/>
                <w:szCs w:val="20"/>
                <w:lang w:bidi="ar-SA"/>
              </w:rPr>
              <w:fldChar w:fldCharType="end"/>
            </w:r>
          </w:p>
        </w:tc>
        <w:tc>
          <w:tcPr>
            <w:tcW w:w="2074" w:type="dxa"/>
          </w:tcPr>
          <w:p w14:paraId="63841714" w14:textId="575178EA" w:rsidR="00B32F9B" w:rsidRDefault="00B32F9B" w:rsidP="00B32F9B">
            <w:pPr>
              <w:bidi w:val="0"/>
              <w:spacing w:line="360" w:lineRule="auto"/>
              <w:jc w:val="both"/>
            </w:pPr>
            <w:r>
              <w:t>3.2e-4</w:t>
            </w:r>
          </w:p>
        </w:tc>
        <w:tc>
          <w:tcPr>
            <w:tcW w:w="2074" w:type="dxa"/>
          </w:tcPr>
          <w:p w14:paraId="5D76354D" w14:textId="5FA7DEE8" w:rsidR="00B32F9B" w:rsidRDefault="00B32F9B" w:rsidP="00B32F9B">
            <w:pPr>
              <w:bidi w:val="0"/>
              <w:spacing w:line="360" w:lineRule="auto"/>
              <w:jc w:val="both"/>
            </w:pPr>
            <w:r>
              <w:t>2.3</w:t>
            </w:r>
          </w:p>
        </w:tc>
        <w:tc>
          <w:tcPr>
            <w:tcW w:w="2074" w:type="dxa"/>
          </w:tcPr>
          <w:p w14:paraId="1AE7BF6A" w14:textId="32A029E3" w:rsidR="00B32F9B" w:rsidRDefault="00B32F9B" w:rsidP="00B32F9B">
            <w:pPr>
              <w:bidi w:val="0"/>
              <w:spacing w:line="360" w:lineRule="auto"/>
              <w:jc w:val="both"/>
            </w:pPr>
            <w:r>
              <w:t>154</w:t>
            </w:r>
          </w:p>
        </w:tc>
      </w:tr>
      <w:tr w:rsidR="00B32F9B" w14:paraId="7E7AE139" w14:textId="77777777" w:rsidTr="00CB3353">
        <w:tc>
          <w:tcPr>
            <w:tcW w:w="2074" w:type="dxa"/>
          </w:tcPr>
          <w:p w14:paraId="6D375B5F" w14:textId="6716769D" w:rsidR="00B32F9B" w:rsidRDefault="00B32F9B" w:rsidP="00B32F9B">
            <w:pPr>
              <w:bidi w:val="0"/>
              <w:spacing w:line="360" w:lineRule="auto"/>
              <w:jc w:val="both"/>
            </w:pPr>
            <w:r>
              <w:rPr>
                <w:rFonts w:ascii="Times-Roman" w:hAnsi="Times-Roman" w:cs="Times-Roman"/>
                <w:sz w:val="20"/>
                <w:szCs w:val="20"/>
                <w:lang w:bidi="ar-SA"/>
              </w:rPr>
              <w:t>felsic granulite (FG)</w:t>
            </w:r>
            <w:r w:rsidR="00B9554F">
              <w:rPr>
                <w:rFonts w:ascii="Times-Roman" w:hAnsi="Times-Roman" w:cs="Times-Roman"/>
                <w:sz w:val="20"/>
                <w:szCs w:val="20"/>
                <w:lang w:bidi="ar-SA"/>
              </w:rPr>
              <w:fldChar w:fldCharType="begin" w:fldLock="1"/>
            </w:r>
            <w:r w:rsidR="00676B7A">
              <w:rPr>
                <w:rFonts w:ascii="Times-Roman" w:hAnsi="Times-Roman" w:cs="Times-Roman"/>
                <w:sz w:val="20"/>
                <w:szCs w:val="20"/>
                <w:lang w:bidi="ar-SA"/>
              </w:rPr>
              <w:instrText>ADDIN CSL_CITATION {"citationItems":[{"id":"ITEM-1","itemData":{"DOI":"10.1029/RG021i006p01458","ISSN":"19449208","abstract":"During the quadrennial term 1979–1982, major advances have been made in our knowledge of the rheology of the oceanic lithosphere by the skillful combination of experimental and theoretical rock mechanics, seismology and marine geophysics in increasingly sophisticated models for the flexure of the oceanic lithosphere at seamounts and island chains, along transform faults, and at subduction zones. The relative simplicity of plate bending geometry, thermal history, and mineralogical and chemical compositions of the oceanic plates in these settings make the geophysical observations very powerful constraints on the in situ rheology of the oceanic lithosphere. In the first part of this paper, I review the laboratory work on materials appropriate to the oceanic lithosphere with emphasis on contributions during the quadrennial period and the need for future work. The important results of flexure models incorporating realistic material properties are then summarized. This paper is not subject to U.S. copyright.","author":[{"dropping-particle":"","family":"Kirby","given":"Stephen H.","non-dropping-particle":"","parse-names":false,"suffix":""}],"container-title":"Reviews of Geophysics","id":"ITEM-1","issue":"6","issued":{"date-parts":[["1983"]]},"title":"Rheology of the lithosphere","type":"article","volume":"21"},"uris":["http://www.mendeley.com/documents/?uuid=f02f7c22-0246-3a4e-8f85-cc8349aec702"]}],"mendeley":{"formattedCitation":"&lt;sup&gt;23&lt;/sup&gt;","plainTextFormattedCitation":"23","previouslyFormattedCitation":"&lt;sup&gt;23&lt;/sup&gt;"},"properties":{"noteIndex":0},"schema":"https://github.com/citation-style-language/schema/raw/master/csl-citation.json"}</w:instrText>
            </w:r>
            <w:r w:rsidR="00B9554F">
              <w:rPr>
                <w:rFonts w:ascii="Times-Roman" w:hAnsi="Times-Roman" w:cs="Times-Roman"/>
                <w:sz w:val="20"/>
                <w:szCs w:val="20"/>
                <w:lang w:bidi="ar-SA"/>
              </w:rPr>
              <w:fldChar w:fldCharType="separate"/>
            </w:r>
            <w:r w:rsidR="003E0B39" w:rsidRPr="003E0B39">
              <w:rPr>
                <w:rFonts w:ascii="Times-Roman" w:hAnsi="Times-Roman" w:cs="Times-Roman"/>
                <w:noProof/>
                <w:sz w:val="20"/>
                <w:szCs w:val="20"/>
                <w:vertAlign w:val="superscript"/>
                <w:lang w:bidi="ar-SA"/>
              </w:rPr>
              <w:t>23</w:t>
            </w:r>
            <w:r w:rsidR="00B9554F">
              <w:rPr>
                <w:rFonts w:ascii="Times-Roman" w:hAnsi="Times-Roman" w:cs="Times-Roman"/>
                <w:sz w:val="20"/>
                <w:szCs w:val="20"/>
                <w:lang w:bidi="ar-SA"/>
              </w:rPr>
              <w:fldChar w:fldCharType="end"/>
            </w:r>
          </w:p>
        </w:tc>
        <w:tc>
          <w:tcPr>
            <w:tcW w:w="2074" w:type="dxa"/>
          </w:tcPr>
          <w:p w14:paraId="7FB92BA4" w14:textId="627B0EFF" w:rsidR="00B32F9B" w:rsidRDefault="00B32F9B" w:rsidP="00B32F9B">
            <w:pPr>
              <w:bidi w:val="0"/>
              <w:spacing w:line="360" w:lineRule="auto"/>
              <w:jc w:val="both"/>
            </w:pPr>
            <w:r>
              <w:t xml:space="preserve">8e-3 </w:t>
            </w:r>
          </w:p>
        </w:tc>
        <w:tc>
          <w:tcPr>
            <w:tcW w:w="2074" w:type="dxa"/>
          </w:tcPr>
          <w:p w14:paraId="7DCC3493" w14:textId="7CE2A296" w:rsidR="00B32F9B" w:rsidRDefault="00B32F9B" w:rsidP="00B32F9B">
            <w:pPr>
              <w:bidi w:val="0"/>
              <w:spacing w:line="360" w:lineRule="auto"/>
              <w:jc w:val="both"/>
            </w:pPr>
            <w:r>
              <w:t>3.1</w:t>
            </w:r>
          </w:p>
        </w:tc>
        <w:tc>
          <w:tcPr>
            <w:tcW w:w="2074" w:type="dxa"/>
          </w:tcPr>
          <w:p w14:paraId="1E09F14D" w14:textId="2AC77712" w:rsidR="00B32F9B" w:rsidRDefault="00B32F9B" w:rsidP="00B32F9B">
            <w:pPr>
              <w:bidi w:val="0"/>
              <w:spacing w:line="360" w:lineRule="auto"/>
              <w:jc w:val="both"/>
            </w:pPr>
            <w:r>
              <w:t>243</w:t>
            </w:r>
          </w:p>
        </w:tc>
      </w:tr>
      <w:tr w:rsidR="00B32F9B" w14:paraId="6EE7E96E" w14:textId="77777777" w:rsidTr="00CB3353">
        <w:tc>
          <w:tcPr>
            <w:tcW w:w="2074" w:type="dxa"/>
          </w:tcPr>
          <w:p w14:paraId="4B1F4822" w14:textId="1F210593" w:rsidR="00B32F9B" w:rsidRDefault="00B32F9B" w:rsidP="00B32F9B">
            <w:pPr>
              <w:bidi w:val="0"/>
              <w:spacing w:line="360" w:lineRule="auto"/>
              <w:jc w:val="both"/>
            </w:pPr>
            <w:r>
              <w:rPr>
                <w:rFonts w:ascii="Times-Roman" w:hAnsi="Times-Roman" w:cs="Times-Roman"/>
                <w:sz w:val="20"/>
                <w:szCs w:val="20"/>
                <w:lang w:bidi="ar-SA"/>
              </w:rPr>
              <w:t>plagioclase An</w:t>
            </w:r>
            <w:r>
              <w:rPr>
                <w:rFonts w:ascii="Times-Roman" w:hAnsi="Times-Roman" w:cs="Times-Roman"/>
                <w:sz w:val="14"/>
                <w:szCs w:val="14"/>
                <w:lang w:bidi="ar-SA"/>
              </w:rPr>
              <w:t xml:space="preserve">75 </w:t>
            </w:r>
            <w:r w:rsidRPr="00976D72">
              <w:rPr>
                <w:rFonts w:ascii="Times-Roman" w:hAnsi="Times-Roman" w:cs="Times-Roman"/>
                <w:sz w:val="20"/>
                <w:szCs w:val="20"/>
                <w:lang w:bidi="ar-SA"/>
              </w:rPr>
              <w:t>(P)</w:t>
            </w:r>
            <w:r w:rsidR="00B9554F">
              <w:rPr>
                <w:rFonts w:ascii="Times-Roman" w:hAnsi="Times-Roman" w:cs="Times-Roman"/>
                <w:sz w:val="20"/>
                <w:szCs w:val="20"/>
                <w:lang w:bidi="ar-SA"/>
              </w:rPr>
              <w:fldChar w:fldCharType="begin" w:fldLock="1"/>
            </w:r>
            <w:r w:rsidR="00676B7A">
              <w:rPr>
                <w:rFonts w:ascii="Times-Roman" w:hAnsi="Times-Roman" w:cs="Times-Roman"/>
                <w:sz w:val="20"/>
                <w:szCs w:val="20"/>
                <w:lang w:bidi="ar-SA"/>
              </w:rPr>
              <w:instrText>ADDIN CSL_CITATION {"citationItems":[{"id":"ITEM-1","itemData":{"DOI":"10.1029/RG021i006p01458","ISSN":"19449208","abstract":"During the quadrennial term 1979–1982, major advances have been made in our knowledge of the rheology of the oceanic lithosphere by the skillful combination of experimental and theoretical rock mechanics, seismology and marine geophysics in increasingly sophisticated models for the flexure of the oceanic lithosphere at seamounts and island chains, along transform faults, and at subduction zones. The relative simplicity of plate bending geometry, thermal history, and mineralogical and chemical compositions of the oceanic plates in these settings make the geophysical observations very powerful constraints on the in situ rheology of the oceanic lithosphere. In the first part of this paper, I review the laboratory work on materials appropriate to the oceanic lithosphere with emphasis on contributions during the quadrennial period and the need for future work. The important results of flexure models incorporating realistic material properties are then summarized. This paper is not subject to U.S. copyright.","author":[{"dropping-particle":"","family":"Kirby","given":"Stephen H.","non-dropping-particle":"","parse-names":false,"suffix":""}],"container-title":"Reviews of Geophysics","id":"ITEM-1","issue":"6","issued":{"date-parts":[["1983"]]},"title":"Rheology of the lithosphere","type":"article","volume":"21"},"uris":["http://www.mendeley.com/documents/?uuid=f02f7c22-0246-3a4e-8f85-cc8349aec702"]}],"mendeley":{"formattedCitation":"&lt;sup&gt;23&lt;/sup&gt;","plainTextFormattedCitation":"23","previouslyFormattedCitation":"&lt;sup&gt;23&lt;/sup&gt;"},"properties":{"noteIndex":0},"schema":"https://github.com/citation-style-language/schema/raw/master/csl-citation.json"}</w:instrText>
            </w:r>
            <w:r w:rsidR="00B9554F">
              <w:rPr>
                <w:rFonts w:ascii="Times-Roman" w:hAnsi="Times-Roman" w:cs="Times-Roman"/>
                <w:sz w:val="20"/>
                <w:szCs w:val="20"/>
                <w:lang w:bidi="ar-SA"/>
              </w:rPr>
              <w:fldChar w:fldCharType="separate"/>
            </w:r>
            <w:r w:rsidR="003E0B39" w:rsidRPr="003E0B39">
              <w:rPr>
                <w:rFonts w:ascii="Times-Roman" w:hAnsi="Times-Roman" w:cs="Times-Roman"/>
                <w:noProof/>
                <w:sz w:val="20"/>
                <w:szCs w:val="20"/>
                <w:vertAlign w:val="superscript"/>
                <w:lang w:bidi="ar-SA"/>
              </w:rPr>
              <w:t>23</w:t>
            </w:r>
            <w:r w:rsidR="00B9554F">
              <w:rPr>
                <w:rFonts w:ascii="Times-Roman" w:hAnsi="Times-Roman" w:cs="Times-Roman"/>
                <w:sz w:val="20"/>
                <w:szCs w:val="20"/>
                <w:lang w:bidi="ar-SA"/>
              </w:rPr>
              <w:fldChar w:fldCharType="end"/>
            </w:r>
          </w:p>
        </w:tc>
        <w:tc>
          <w:tcPr>
            <w:tcW w:w="2074" w:type="dxa"/>
          </w:tcPr>
          <w:p w14:paraId="0A1F2715" w14:textId="715A1D56" w:rsidR="00B32F9B" w:rsidRDefault="00B32F9B" w:rsidP="00B32F9B">
            <w:pPr>
              <w:bidi w:val="0"/>
              <w:spacing w:line="360" w:lineRule="auto"/>
              <w:jc w:val="both"/>
            </w:pPr>
            <w:r>
              <w:t>3.3e-4</w:t>
            </w:r>
          </w:p>
        </w:tc>
        <w:tc>
          <w:tcPr>
            <w:tcW w:w="2074" w:type="dxa"/>
          </w:tcPr>
          <w:p w14:paraId="682B053A" w14:textId="125572BB" w:rsidR="00B32F9B" w:rsidRDefault="00B32F9B" w:rsidP="00B32F9B">
            <w:pPr>
              <w:bidi w:val="0"/>
              <w:spacing w:line="360" w:lineRule="auto"/>
              <w:jc w:val="both"/>
            </w:pPr>
            <w:r>
              <w:t>3.2</w:t>
            </w:r>
          </w:p>
        </w:tc>
        <w:tc>
          <w:tcPr>
            <w:tcW w:w="2074" w:type="dxa"/>
          </w:tcPr>
          <w:p w14:paraId="55746F8A" w14:textId="3AC7C94F" w:rsidR="00B32F9B" w:rsidRDefault="00B32F9B" w:rsidP="00B32F9B">
            <w:pPr>
              <w:bidi w:val="0"/>
              <w:spacing w:line="360" w:lineRule="auto"/>
              <w:jc w:val="both"/>
            </w:pPr>
            <w:r>
              <w:t>238</w:t>
            </w:r>
          </w:p>
        </w:tc>
      </w:tr>
      <w:tr w:rsidR="00B32F9B" w14:paraId="75790A69" w14:textId="77777777" w:rsidTr="00CB3353">
        <w:tc>
          <w:tcPr>
            <w:tcW w:w="2074" w:type="dxa"/>
          </w:tcPr>
          <w:p w14:paraId="51F31B2B" w14:textId="2A03DC63" w:rsidR="00B32F9B" w:rsidRDefault="00B32F9B" w:rsidP="00B32F9B">
            <w:pPr>
              <w:bidi w:val="0"/>
              <w:spacing w:line="360" w:lineRule="auto"/>
              <w:jc w:val="both"/>
            </w:pPr>
            <w:r>
              <w:rPr>
                <w:rFonts w:ascii="Times-Roman" w:hAnsi="Times-Roman" w:cs="Times-Roman"/>
                <w:sz w:val="20"/>
                <w:szCs w:val="20"/>
                <w:lang w:bidi="ar-SA"/>
              </w:rPr>
              <w:t>Quartz (Q4)</w:t>
            </w:r>
            <w:r>
              <w:rPr>
                <w:rFonts w:ascii="Times-Roman" w:hAnsi="Times-Roman" w:cs="Times-Roman"/>
                <w:sz w:val="20"/>
                <w:szCs w:val="20"/>
                <w:lang w:bidi="ar-SA"/>
              </w:rPr>
              <w:fldChar w:fldCharType="begin" w:fldLock="1"/>
            </w:r>
            <w:r w:rsidR="00676B7A">
              <w:rPr>
                <w:rFonts w:ascii="Times-Roman" w:hAnsi="Times-Roman" w:cs="Times-Roman"/>
                <w:sz w:val="20"/>
                <w:szCs w:val="20"/>
                <w:lang w:bidi="ar-SA"/>
              </w:rPr>
              <w:instrText>ADDIN CSL_CITATION {"citationItems":[{"id":"ITEM-1","itemData":{"DOI":"10.1007/s005310000152","ISSN":"14373254","abstract":"We use the remarkable similarity between microstructures preserved in naturally and experimentally deformed quartzites as a basis to evaluate quartzite flow laws and their application to natural conditions. The precision of this analysis is relatively high because of the well-constrained deformation history of naturally deformed rocks from the Ruby Gap duplex, Central Australia. The external state variables during deformation in the duplex are well constrained by a combination of thermochronological, microstructural and structural observations. Using a flow law with the form ε = AfmH2Oσn exp(-Q / RT), our analysis indicates that values of log (A)=-11.2±0.6 MPa-n/s and Q=135± 15 kJ/mol provide the best description of the combined natural and experimental constraints with values of m=1 and n=4. Motivated by the results of our analysis, we also evaluated the influence of water fugacity on strain rate determined in the laboratory. In this case, we concur with a previously published suggestion that the measured effect of water fugacity (ε</w:instrText>
            </w:r>
            <w:r w:rsidR="00676B7A">
              <w:rPr>
                <w:rFonts w:ascii="Cambria Math" w:hAnsi="Cambria Math" w:cs="Cambria Math"/>
                <w:sz w:val="20"/>
                <w:szCs w:val="20"/>
                <w:lang w:bidi="ar-SA"/>
              </w:rPr>
              <w:instrText>∝</w:instrText>
            </w:r>
            <w:r w:rsidR="00676B7A">
              <w:rPr>
                <w:rFonts w:ascii="Times-Roman" w:hAnsi="Times-Roman" w:cs="Times-Roman"/>
                <w:sz w:val="20"/>
                <w:szCs w:val="20"/>
                <w:lang w:bidi="ar-SA"/>
              </w:rPr>
              <w:instrText xml:space="preserve"> f2H2O) is likely a manifestation of a change in deformation process with increasing stress. The results of this study provide further support for the application of quartzite flow laws to understand deformation conditions in the Earth, and emphasize the important insights that can be gained by analyzing deformation microstructures in naturally deformed rocks.","author":[{"dropping-particle":"","family":"Hirth","given":"G.","non-dropping-particle":"","parse-names":false,"suffix":""},{"dropping-particle":"","family":"Teyssier","given":"C.","non-dropping-particle":"","parse-names":false,"suffix":""},{"dropping-particle":"","family":"Dunlap","given":"W. J.","non-dropping-particle":"","parse-names":false,"suffix":""}],"container-title":"International Journal of Earth Sciences","id":"ITEM-1","issue":"1","issued":{"date-parts":[["2001"]]},"title":"An evaluation of quartzite flow laws based on comparisons between experimentally and naturally deformed rocks","type":"article-journal","volume":"90"},"uris":["http://www.mendeley.com/documents/?uuid=200a2b4e-63a2-3e9f-93bb-12c5e1315c9b"]}],"mendeley":{"formattedCitation":"&lt;sup&gt;24&lt;/sup&gt;","plainTextFormattedCitation":"24","previouslyFormattedCitation":"&lt;sup&gt;24&lt;/sup&gt;"},"properties":{"noteIndex":0},"schema":"https://github.com/citation-style-language/schema/raw/master/csl-citation.json"}</w:instrText>
            </w:r>
            <w:r>
              <w:rPr>
                <w:rFonts w:ascii="Times-Roman" w:hAnsi="Times-Roman" w:cs="Times-Roman"/>
                <w:sz w:val="20"/>
                <w:szCs w:val="20"/>
                <w:lang w:bidi="ar-SA"/>
              </w:rPr>
              <w:fldChar w:fldCharType="separate"/>
            </w:r>
            <w:r w:rsidR="003E0B39" w:rsidRPr="003E0B39">
              <w:rPr>
                <w:rFonts w:ascii="Times-Roman" w:hAnsi="Times-Roman" w:cs="Times-Roman"/>
                <w:noProof/>
                <w:sz w:val="20"/>
                <w:szCs w:val="20"/>
                <w:vertAlign w:val="superscript"/>
                <w:lang w:bidi="ar-SA"/>
              </w:rPr>
              <w:t>24</w:t>
            </w:r>
            <w:r>
              <w:rPr>
                <w:rFonts w:ascii="Times-Roman" w:hAnsi="Times-Roman" w:cs="Times-Roman"/>
                <w:sz w:val="20"/>
                <w:szCs w:val="20"/>
                <w:lang w:bidi="ar-SA"/>
              </w:rPr>
              <w:fldChar w:fldCharType="end"/>
            </w:r>
          </w:p>
        </w:tc>
        <w:tc>
          <w:tcPr>
            <w:tcW w:w="2074" w:type="dxa"/>
          </w:tcPr>
          <w:p w14:paraId="76662459" w14:textId="662FD45A" w:rsidR="00B32F9B" w:rsidRDefault="00B32F9B" w:rsidP="00B32F9B">
            <w:pPr>
              <w:bidi w:val="0"/>
              <w:spacing w:line="360" w:lineRule="auto"/>
            </w:pPr>
            <w:r>
              <w:t>11.2e-11</w:t>
            </w:r>
          </w:p>
        </w:tc>
        <w:tc>
          <w:tcPr>
            <w:tcW w:w="2074" w:type="dxa"/>
          </w:tcPr>
          <w:p w14:paraId="478D6178" w14:textId="3EEC2E3B" w:rsidR="00B32F9B" w:rsidRDefault="00B32F9B" w:rsidP="00B32F9B">
            <w:pPr>
              <w:bidi w:val="0"/>
              <w:spacing w:line="360" w:lineRule="auto"/>
              <w:jc w:val="both"/>
            </w:pPr>
            <w:r>
              <w:t>4</w:t>
            </w:r>
          </w:p>
        </w:tc>
        <w:tc>
          <w:tcPr>
            <w:tcW w:w="2074" w:type="dxa"/>
          </w:tcPr>
          <w:p w14:paraId="15E10B3E" w14:textId="0BA4E94D" w:rsidR="00B32F9B" w:rsidRDefault="00B32F9B" w:rsidP="00B32F9B">
            <w:pPr>
              <w:bidi w:val="0"/>
              <w:spacing w:line="360" w:lineRule="auto"/>
              <w:jc w:val="both"/>
            </w:pPr>
            <w:r>
              <w:t>135</w:t>
            </w:r>
          </w:p>
        </w:tc>
      </w:tr>
    </w:tbl>
    <w:p w14:paraId="070C675B" w14:textId="396886B3" w:rsidR="0043659B" w:rsidRDefault="00976D72" w:rsidP="003231F4">
      <w:pPr>
        <w:bidi w:val="0"/>
        <w:spacing w:line="360" w:lineRule="auto"/>
        <w:jc w:val="both"/>
      </w:pPr>
      <w:r w:rsidRPr="002F609A">
        <w:rPr>
          <w:b/>
          <w:bCs/>
        </w:rPr>
        <w:t xml:space="preserve">Supplementary </w:t>
      </w:r>
      <w:r w:rsidRPr="00976D72">
        <w:rPr>
          <w:b/>
          <w:bCs/>
        </w:rPr>
        <w:t>Table</w:t>
      </w:r>
      <w:r>
        <w:rPr>
          <w:rFonts w:ascii="Times-Roman" w:hAnsi="Times-Roman" w:cs="Times-Roman"/>
          <w:lang w:bidi="ar-SA"/>
        </w:rPr>
        <w:t xml:space="preserve"> 1: </w:t>
      </w:r>
      <w:r w:rsidRPr="00976D72">
        <w:t>Rheological flow laws used in modeling the weak crustal layer</w:t>
      </w:r>
      <w:r w:rsidR="00550994">
        <w:t xml:space="preserve"> (WCC)</w:t>
      </w:r>
      <w:r w:rsidRPr="00976D72">
        <w:t xml:space="preserve">. </w:t>
      </w:r>
      <w:r w:rsidR="003231F4" w:rsidRPr="003231F4">
        <w:t>n represents the stress exponent, A</w:t>
      </w:r>
      <w:r w:rsidR="003231F4">
        <w:t xml:space="preserve"> </w:t>
      </w:r>
      <w:r w:rsidR="003231F4" w:rsidRPr="003231F4">
        <w:t>is a material property, and Q denotes the activation energy.</w:t>
      </w:r>
    </w:p>
    <w:tbl>
      <w:tblPr>
        <w:tblStyle w:val="TableGrid"/>
        <w:tblW w:w="0" w:type="auto"/>
        <w:tblLook w:val="04A0" w:firstRow="1" w:lastRow="0" w:firstColumn="1" w:lastColumn="0" w:noHBand="0" w:noVBand="1"/>
      </w:tblPr>
      <w:tblGrid>
        <w:gridCol w:w="2765"/>
        <w:gridCol w:w="2765"/>
        <w:gridCol w:w="2766"/>
      </w:tblGrid>
      <w:tr w:rsidR="00B32F9B" w14:paraId="1924AE49" w14:textId="77777777" w:rsidTr="00B32F9B">
        <w:tc>
          <w:tcPr>
            <w:tcW w:w="2765" w:type="dxa"/>
          </w:tcPr>
          <w:p w14:paraId="05D4D937" w14:textId="7DFEE91A" w:rsidR="00B32F9B" w:rsidRDefault="00B32F9B" w:rsidP="00BE4134">
            <w:pPr>
              <w:bidi w:val="0"/>
              <w:spacing w:line="360" w:lineRule="auto"/>
              <w:jc w:val="both"/>
            </w:pPr>
            <w:r>
              <w:rPr>
                <w:rFonts w:ascii="Times-Roman" w:hAnsi="Times-Roman" w:cs="Times-Roman"/>
                <w:sz w:val="20"/>
                <w:szCs w:val="20"/>
                <w:lang w:bidi="ar-SA"/>
              </w:rPr>
              <w:t>Material</w:t>
            </w:r>
          </w:p>
        </w:tc>
        <w:tc>
          <w:tcPr>
            <w:tcW w:w="2765" w:type="dxa"/>
          </w:tcPr>
          <w:p w14:paraId="519DC615" w14:textId="2B0BE3C3" w:rsidR="00B32F9B" w:rsidRPr="00B32F9B" w:rsidRDefault="00000000" w:rsidP="00B32F9B">
            <w:pPr>
              <w:bidi w:val="0"/>
              <w:spacing w:line="360" w:lineRule="auto"/>
              <w:jc w:val="both"/>
            </w:pPr>
            <m:oMathPara>
              <m:oMath>
                <m:sSub>
                  <m:sSubPr>
                    <m:ctrlPr>
                      <w:rPr>
                        <w:rFonts w:ascii="Cambria Math" w:hAnsi="Cambria Math"/>
                        <w:i/>
                      </w:rPr>
                    </m:ctrlPr>
                  </m:sSubPr>
                  <m:e>
                    <m:r>
                      <w:rPr>
                        <w:rFonts w:ascii="Cambria Math" w:hAnsi="Cambria Math"/>
                      </w:rPr>
                      <m:t>h</m:t>
                    </m:r>
                  </m:e>
                  <m:sub>
                    <m:r>
                      <w:rPr>
                        <w:rFonts w:ascii="Cambria Math" w:hAnsi="Cambria Math"/>
                      </w:rPr>
                      <m:t>WCC</m:t>
                    </m:r>
                  </m:sub>
                </m:sSub>
                <m:r>
                  <w:rPr>
                    <w:rFonts w:ascii="Cambria Math" w:hAnsi="Cambria Math"/>
                  </w:rPr>
                  <m:t xml:space="preserve"> </m:t>
                </m:r>
                <m:d>
                  <m:dPr>
                    <m:begChr m:val="["/>
                    <m:endChr m:val="]"/>
                    <m:ctrlPr>
                      <w:rPr>
                        <w:rFonts w:ascii="Cambria Math" w:hAnsi="Cambria Math"/>
                        <w:i/>
                      </w:rPr>
                    </m:ctrlPr>
                  </m:dPr>
                  <m:e>
                    <m:r>
                      <w:rPr>
                        <w:rFonts w:ascii="Cambria Math" w:hAnsi="Cambria Math"/>
                      </w:rPr>
                      <m:t>km</m:t>
                    </m:r>
                  </m:e>
                </m:d>
              </m:oMath>
            </m:oMathPara>
          </w:p>
        </w:tc>
        <w:tc>
          <w:tcPr>
            <w:tcW w:w="2766" w:type="dxa"/>
          </w:tcPr>
          <w:p w14:paraId="2CC4E8D3" w14:textId="7813824D" w:rsidR="00B32F9B" w:rsidRDefault="00000000" w:rsidP="00B32F9B">
            <w:pPr>
              <w:bidi w:val="0"/>
              <w:spacing w:line="360" w:lineRule="auto"/>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m:rPr>
                    <m:sty m:val="bi"/>
                  </m:rPr>
                  <w:rPr>
                    <w:rFonts w:ascii="Cambria Math" w:hAnsi="Cambria Math"/>
                  </w:rPr>
                  <m:t>=</m:t>
                </m:r>
                <m:d>
                  <m:dPr>
                    <m:ctrlPr>
                      <w:rPr>
                        <w:rFonts w:ascii="Cambria Math" w:hAnsi="Cambria Math"/>
                        <w:b/>
                        <w:bCs/>
                      </w:rPr>
                    </m:ctrlPr>
                  </m:dPr>
                  <m:e>
                    <m:r>
                      <m:rPr>
                        <m:sty m:val="b"/>
                      </m:rPr>
                      <w:rPr>
                        <w:rFonts w:ascii="Cambria Math" w:hAnsi="Cambria Math"/>
                      </w:rPr>
                      <m:t>1-λ</m:t>
                    </m:r>
                  </m:e>
                </m:d>
                <m:sSup>
                  <m:sSupPr>
                    <m:ctrlPr>
                      <w:rPr>
                        <w:rFonts w:ascii="Cambria Math" w:hAnsi="Cambria Math"/>
                        <w:b/>
                        <w:bCs/>
                      </w:rPr>
                    </m:ctrlPr>
                  </m:sSupPr>
                  <m:e>
                    <m:r>
                      <m:rPr>
                        <m:sty m:val="b"/>
                      </m:rPr>
                      <w:rPr>
                        <w:rFonts w:ascii="Cambria Math" w:hAnsi="Cambria Math"/>
                      </w:rPr>
                      <m:t>μ</m:t>
                    </m:r>
                  </m:e>
                  <m:sup>
                    <m:r>
                      <m:rPr>
                        <m:sty m:val="b"/>
                      </m:rPr>
                      <w:rPr>
                        <w:rFonts w:ascii="Cambria Math" w:hAnsi="Cambria Math"/>
                      </w:rPr>
                      <m:t>*</m:t>
                    </m:r>
                  </m:sup>
                </m:sSup>
              </m:oMath>
            </m:oMathPara>
          </w:p>
        </w:tc>
      </w:tr>
      <w:tr w:rsidR="00B32F9B" w14:paraId="44DBB8E6" w14:textId="77777777" w:rsidTr="00B32F9B">
        <w:tc>
          <w:tcPr>
            <w:tcW w:w="2765" w:type="dxa"/>
          </w:tcPr>
          <w:p w14:paraId="2F3EF2DF" w14:textId="07E6551B" w:rsidR="00B32F9B" w:rsidRDefault="00B32F9B" w:rsidP="00B32F9B">
            <w:pPr>
              <w:bidi w:val="0"/>
              <w:spacing w:line="360" w:lineRule="auto"/>
              <w:jc w:val="both"/>
            </w:pPr>
            <w:r>
              <w:rPr>
                <w:rFonts w:ascii="Times-Roman" w:hAnsi="Times-Roman" w:cs="Times-Roman"/>
                <w:sz w:val="20"/>
                <w:szCs w:val="20"/>
                <w:lang w:bidi="ar-SA"/>
              </w:rPr>
              <w:t>Quartz (Q2)</w:t>
            </w:r>
            <w:r>
              <w:t xml:space="preserve"> </w:t>
            </w:r>
          </w:p>
        </w:tc>
        <w:tc>
          <w:tcPr>
            <w:tcW w:w="2765" w:type="dxa"/>
          </w:tcPr>
          <w:p w14:paraId="1CF83260" w14:textId="10B5F13F" w:rsidR="00B32F9B" w:rsidRDefault="00BA51F4" w:rsidP="00B32F9B">
            <w:pPr>
              <w:bidi w:val="0"/>
              <w:spacing w:line="360" w:lineRule="auto"/>
              <w:jc w:val="both"/>
            </w:pPr>
            <w:r>
              <w:t>26.5</w:t>
            </w:r>
          </w:p>
        </w:tc>
        <w:tc>
          <w:tcPr>
            <w:tcW w:w="2766" w:type="dxa"/>
          </w:tcPr>
          <w:p w14:paraId="78B14CC9" w14:textId="59992166" w:rsidR="00B32F9B" w:rsidRDefault="00B32F9B" w:rsidP="00B32F9B">
            <w:pPr>
              <w:bidi w:val="0"/>
              <w:spacing w:line="360" w:lineRule="auto"/>
            </w:pPr>
            <w:r>
              <w:t>0.</w:t>
            </w:r>
            <w:r w:rsidR="00BA51F4">
              <w:t>2</w:t>
            </w:r>
          </w:p>
        </w:tc>
      </w:tr>
      <w:tr w:rsidR="00B32F9B" w14:paraId="4E3202CB" w14:textId="77777777" w:rsidTr="00B32F9B">
        <w:tc>
          <w:tcPr>
            <w:tcW w:w="2765" w:type="dxa"/>
          </w:tcPr>
          <w:p w14:paraId="3C512F63" w14:textId="2A5B938C" w:rsidR="00B32F9B" w:rsidRDefault="00B32F9B" w:rsidP="00B32F9B">
            <w:pPr>
              <w:bidi w:val="0"/>
              <w:spacing w:line="360" w:lineRule="auto"/>
              <w:jc w:val="both"/>
            </w:pPr>
            <w:r>
              <w:rPr>
                <w:rFonts w:ascii="Times-Roman" w:hAnsi="Times-Roman" w:cs="Times-Roman"/>
                <w:sz w:val="20"/>
                <w:szCs w:val="20"/>
                <w:lang w:bidi="ar-SA"/>
              </w:rPr>
              <w:t xml:space="preserve">quartzite (wet) (QW) </w:t>
            </w:r>
          </w:p>
        </w:tc>
        <w:tc>
          <w:tcPr>
            <w:tcW w:w="2765" w:type="dxa"/>
          </w:tcPr>
          <w:p w14:paraId="1193CF05" w14:textId="2A223F19" w:rsidR="00B32F9B" w:rsidRDefault="00BA51F4" w:rsidP="00B32F9B">
            <w:pPr>
              <w:bidi w:val="0"/>
              <w:spacing w:line="360" w:lineRule="auto"/>
              <w:jc w:val="both"/>
            </w:pPr>
            <w:r>
              <w:t>24</w:t>
            </w:r>
          </w:p>
        </w:tc>
        <w:tc>
          <w:tcPr>
            <w:tcW w:w="2766" w:type="dxa"/>
          </w:tcPr>
          <w:p w14:paraId="6E79B56D" w14:textId="0474C5AD" w:rsidR="00B32F9B" w:rsidRDefault="00B32F9B" w:rsidP="00B32F9B">
            <w:pPr>
              <w:bidi w:val="0"/>
              <w:spacing w:line="360" w:lineRule="auto"/>
            </w:pPr>
            <w:r>
              <w:t>0.</w:t>
            </w:r>
            <w:r w:rsidR="00BA51F4">
              <w:t>18</w:t>
            </w:r>
          </w:p>
        </w:tc>
      </w:tr>
      <w:tr w:rsidR="00B32F9B" w14:paraId="2CCA8748" w14:textId="77777777" w:rsidTr="00B32F9B">
        <w:tc>
          <w:tcPr>
            <w:tcW w:w="2765" w:type="dxa"/>
          </w:tcPr>
          <w:p w14:paraId="6FA20AAC" w14:textId="17020578" w:rsidR="00B32F9B" w:rsidRDefault="00B32F9B" w:rsidP="00B32F9B">
            <w:pPr>
              <w:bidi w:val="0"/>
              <w:spacing w:line="360" w:lineRule="auto"/>
              <w:jc w:val="both"/>
            </w:pPr>
            <w:r>
              <w:rPr>
                <w:rFonts w:ascii="Times-Roman" w:hAnsi="Times-Roman" w:cs="Times-Roman"/>
                <w:sz w:val="20"/>
                <w:szCs w:val="20"/>
                <w:lang w:bidi="ar-SA"/>
              </w:rPr>
              <w:t>felsic granulite (FG)</w:t>
            </w:r>
            <w:r>
              <w:t xml:space="preserve"> </w:t>
            </w:r>
          </w:p>
        </w:tc>
        <w:tc>
          <w:tcPr>
            <w:tcW w:w="2765" w:type="dxa"/>
          </w:tcPr>
          <w:p w14:paraId="36805C06" w14:textId="6611F707" w:rsidR="00B32F9B" w:rsidRDefault="00BA51F4" w:rsidP="00B32F9B">
            <w:pPr>
              <w:bidi w:val="0"/>
              <w:spacing w:line="360" w:lineRule="auto"/>
              <w:jc w:val="both"/>
            </w:pPr>
            <w:r>
              <w:t>4</w:t>
            </w:r>
            <w:r w:rsidR="00B32F9B">
              <w:t>7.5</w:t>
            </w:r>
          </w:p>
        </w:tc>
        <w:tc>
          <w:tcPr>
            <w:tcW w:w="2766" w:type="dxa"/>
          </w:tcPr>
          <w:p w14:paraId="75572F9D" w14:textId="595BBA23" w:rsidR="00B32F9B" w:rsidRDefault="00B32F9B" w:rsidP="00B32F9B">
            <w:pPr>
              <w:bidi w:val="0"/>
              <w:spacing w:line="360" w:lineRule="auto"/>
            </w:pPr>
            <w:r>
              <w:t>0.0</w:t>
            </w:r>
            <w:r w:rsidR="00BA51F4">
              <w:t>28</w:t>
            </w:r>
          </w:p>
        </w:tc>
      </w:tr>
      <w:tr w:rsidR="00B32F9B" w14:paraId="4D944D4A" w14:textId="77777777" w:rsidTr="00B32F9B">
        <w:tc>
          <w:tcPr>
            <w:tcW w:w="2765" w:type="dxa"/>
          </w:tcPr>
          <w:p w14:paraId="70B4A8B3" w14:textId="439890DB" w:rsidR="00B32F9B" w:rsidRDefault="00B32F9B" w:rsidP="00B32F9B">
            <w:pPr>
              <w:bidi w:val="0"/>
              <w:spacing w:line="360" w:lineRule="auto"/>
              <w:jc w:val="both"/>
            </w:pPr>
            <w:r>
              <w:rPr>
                <w:rFonts w:ascii="Times-Roman" w:hAnsi="Times-Roman" w:cs="Times-Roman"/>
                <w:sz w:val="20"/>
                <w:szCs w:val="20"/>
                <w:lang w:bidi="ar-SA"/>
              </w:rPr>
              <w:t>plagioclase An</w:t>
            </w:r>
            <w:r>
              <w:rPr>
                <w:rFonts w:ascii="Times-Roman" w:hAnsi="Times-Roman" w:cs="Times-Roman"/>
                <w:sz w:val="14"/>
                <w:szCs w:val="14"/>
                <w:lang w:bidi="ar-SA"/>
              </w:rPr>
              <w:t xml:space="preserve">75 </w:t>
            </w:r>
            <w:r w:rsidRPr="00976D72">
              <w:rPr>
                <w:rFonts w:ascii="Times-Roman" w:hAnsi="Times-Roman" w:cs="Times-Roman"/>
                <w:sz w:val="20"/>
                <w:szCs w:val="20"/>
                <w:lang w:bidi="ar-SA"/>
              </w:rPr>
              <w:t>(P)</w:t>
            </w:r>
            <w:r>
              <w:rPr>
                <w:rFonts w:ascii="Times-Roman" w:hAnsi="Times-Roman" w:cs="Times-Roman"/>
                <w:sz w:val="20"/>
                <w:szCs w:val="20"/>
                <w:lang w:bidi="ar-SA"/>
              </w:rPr>
              <w:t xml:space="preserve"> </w:t>
            </w:r>
          </w:p>
        </w:tc>
        <w:tc>
          <w:tcPr>
            <w:tcW w:w="2765" w:type="dxa"/>
          </w:tcPr>
          <w:p w14:paraId="5DB8C92C" w14:textId="679D2245" w:rsidR="00B32F9B" w:rsidRDefault="00BA51F4" w:rsidP="00B32F9B">
            <w:pPr>
              <w:bidi w:val="0"/>
              <w:spacing w:line="360" w:lineRule="auto"/>
              <w:jc w:val="both"/>
            </w:pPr>
            <w:r>
              <w:t>54.8</w:t>
            </w:r>
          </w:p>
        </w:tc>
        <w:tc>
          <w:tcPr>
            <w:tcW w:w="2766" w:type="dxa"/>
          </w:tcPr>
          <w:p w14:paraId="150A776D" w14:textId="75A9600D" w:rsidR="00B32F9B" w:rsidRDefault="00B32F9B" w:rsidP="00B32F9B">
            <w:pPr>
              <w:bidi w:val="0"/>
              <w:spacing w:line="360" w:lineRule="auto"/>
              <w:jc w:val="both"/>
            </w:pPr>
            <w:r>
              <w:t>0.0</w:t>
            </w:r>
            <w:r w:rsidR="00BA51F4">
              <w:t>25</w:t>
            </w:r>
          </w:p>
        </w:tc>
      </w:tr>
      <w:tr w:rsidR="00B32F9B" w14:paraId="20EB0199" w14:textId="77777777" w:rsidTr="00B32F9B">
        <w:tc>
          <w:tcPr>
            <w:tcW w:w="2765" w:type="dxa"/>
          </w:tcPr>
          <w:p w14:paraId="4D65EEAB" w14:textId="64290C83" w:rsidR="00B32F9B" w:rsidRDefault="00B32F9B" w:rsidP="00B32F9B">
            <w:pPr>
              <w:bidi w:val="0"/>
              <w:spacing w:line="360" w:lineRule="auto"/>
              <w:jc w:val="both"/>
            </w:pPr>
            <w:r>
              <w:rPr>
                <w:rFonts w:ascii="Times-Roman" w:hAnsi="Times-Roman" w:cs="Times-Roman"/>
                <w:sz w:val="20"/>
                <w:szCs w:val="20"/>
                <w:lang w:bidi="ar-SA"/>
              </w:rPr>
              <w:t>Quartz (Q4)</w:t>
            </w:r>
            <w:r>
              <w:t xml:space="preserve"> </w:t>
            </w:r>
          </w:p>
        </w:tc>
        <w:tc>
          <w:tcPr>
            <w:tcW w:w="2765" w:type="dxa"/>
          </w:tcPr>
          <w:p w14:paraId="5A81E758" w14:textId="5DE51B0F" w:rsidR="00B32F9B" w:rsidRDefault="00BA51F4" w:rsidP="00B32F9B">
            <w:pPr>
              <w:bidi w:val="0"/>
              <w:spacing w:line="360" w:lineRule="auto"/>
              <w:jc w:val="both"/>
            </w:pPr>
            <w:r>
              <w:t>88.1</w:t>
            </w:r>
          </w:p>
        </w:tc>
        <w:tc>
          <w:tcPr>
            <w:tcW w:w="2766" w:type="dxa"/>
          </w:tcPr>
          <w:p w14:paraId="4494F0E9" w14:textId="2B83745F" w:rsidR="00B32F9B" w:rsidRDefault="00B32F9B" w:rsidP="00B32F9B">
            <w:pPr>
              <w:bidi w:val="0"/>
              <w:spacing w:line="360" w:lineRule="auto"/>
              <w:jc w:val="both"/>
            </w:pPr>
            <w:r>
              <w:t>0.011</w:t>
            </w:r>
          </w:p>
        </w:tc>
      </w:tr>
    </w:tbl>
    <w:p w14:paraId="53D9B62B" w14:textId="343F2197" w:rsidR="00BA51F4" w:rsidRDefault="00B32F9B" w:rsidP="00651A5D">
      <w:pPr>
        <w:bidi w:val="0"/>
        <w:spacing w:line="360" w:lineRule="auto"/>
        <w:jc w:val="both"/>
        <w:rPr>
          <w:rFonts w:ascii="Times-Roman" w:hAnsi="Times-Roman" w:cs="Times-Roman"/>
          <w:lang w:bidi="ar-SA"/>
        </w:rPr>
      </w:pPr>
      <w:r w:rsidRPr="002F609A">
        <w:rPr>
          <w:b/>
          <w:bCs/>
        </w:rPr>
        <w:t xml:space="preserve">Supplementary </w:t>
      </w:r>
      <w:r w:rsidRPr="00976D72">
        <w:rPr>
          <w:b/>
          <w:bCs/>
        </w:rPr>
        <w:t>Table</w:t>
      </w:r>
      <w:r>
        <w:rPr>
          <w:rFonts w:ascii="Times-Roman" w:hAnsi="Times-Roman" w:cs="Times-Roman"/>
          <w:lang w:bidi="ar-SA"/>
        </w:rPr>
        <w:t xml:space="preserve"> 2: </w:t>
      </w:r>
      <w:r w:rsidR="00BA51F4">
        <w:rPr>
          <w:rFonts w:ascii="Times-Roman" w:hAnsi="Times-Roman" w:cs="Times-Roman"/>
          <w:lang w:bidi="ar-SA"/>
        </w:rPr>
        <w:t>Tibetan plateau b</w:t>
      </w:r>
      <w:r w:rsidR="00D86F05" w:rsidRPr="00D86F05">
        <w:rPr>
          <w:rFonts w:ascii="Times-Roman" w:hAnsi="Times-Roman" w:cs="Times-Roman"/>
          <w:lang w:bidi="ar-SA"/>
        </w:rPr>
        <w:t>est-</w:t>
      </w:r>
      <w:r w:rsidR="00BA51F4">
        <w:rPr>
          <w:rFonts w:ascii="Times-Roman" w:hAnsi="Times-Roman" w:cs="Times-Roman"/>
          <w:lang w:bidi="ar-SA"/>
        </w:rPr>
        <w:t>f</w:t>
      </w:r>
      <w:r w:rsidR="00D86F05" w:rsidRPr="00D86F05">
        <w:rPr>
          <w:rFonts w:ascii="Times-Roman" w:hAnsi="Times-Roman" w:cs="Times-Roman"/>
          <w:lang w:bidi="ar-SA"/>
        </w:rPr>
        <w:t xml:space="preserve">it </w:t>
      </w:r>
      <w:r w:rsidR="00BA51F4">
        <w:rPr>
          <w:rFonts w:ascii="Times-Roman" w:hAnsi="Times-Roman" w:cs="Times-Roman"/>
          <w:lang w:bidi="ar-SA"/>
        </w:rPr>
        <w:t>m</w:t>
      </w:r>
      <w:r w:rsidR="00D86F05" w:rsidRPr="00D86F05">
        <w:rPr>
          <w:rFonts w:ascii="Times-Roman" w:hAnsi="Times-Roman" w:cs="Times-Roman"/>
          <w:lang w:bidi="ar-SA"/>
        </w:rPr>
        <w:t xml:space="preserve">odel </w:t>
      </w:r>
      <w:r w:rsidR="00BA51F4">
        <w:rPr>
          <w:rFonts w:ascii="Times-Roman" w:hAnsi="Times-Roman" w:cs="Times-Roman"/>
          <w:lang w:bidi="ar-SA"/>
        </w:rPr>
        <w:t>p</w:t>
      </w:r>
      <w:r w:rsidR="00BA51F4" w:rsidRPr="00D86F05">
        <w:rPr>
          <w:rFonts w:ascii="Times-Roman" w:hAnsi="Times-Roman" w:cs="Times-Roman"/>
          <w:lang w:bidi="ar-SA"/>
        </w:rPr>
        <w:t>arameters (</w:t>
      </w:r>
      <w:r w:rsidR="00BA51F4">
        <w:rPr>
          <w:rFonts w:ascii="Times-Roman" w:hAnsi="Times-Roman" w:cs="Times-Roman"/>
          <w:lang w:bidi="ar-SA"/>
        </w:rPr>
        <w:t>c</w:t>
      </w:r>
      <w:r w:rsidR="00BA51F4" w:rsidRPr="00D86F05">
        <w:rPr>
          <w:rFonts w:ascii="Times-Roman" w:hAnsi="Times-Roman" w:cs="Times-Roman"/>
          <w:lang w:bidi="ar-SA"/>
        </w:rPr>
        <w:t xml:space="preserve">hannel </w:t>
      </w:r>
      <w:r w:rsidR="00BA51F4">
        <w:rPr>
          <w:rFonts w:ascii="Times-Roman" w:hAnsi="Times-Roman" w:cs="Times-Roman"/>
          <w:lang w:bidi="ar-SA"/>
        </w:rPr>
        <w:t>t</w:t>
      </w:r>
      <w:r w:rsidR="00BA51F4" w:rsidRPr="00D86F05">
        <w:rPr>
          <w:rFonts w:ascii="Times-Roman" w:hAnsi="Times-Roman" w:cs="Times-Roman"/>
          <w:lang w:bidi="ar-SA"/>
        </w:rPr>
        <w:t xml:space="preserve">hickness </w:t>
      </w:r>
      <m:oMath>
        <m:sSub>
          <m:sSubPr>
            <m:ctrlPr>
              <w:rPr>
                <w:rFonts w:ascii="Cambria Math" w:hAnsi="Cambria Math"/>
                <w:i/>
              </w:rPr>
            </m:ctrlPr>
          </m:sSubPr>
          <m:e>
            <m:r>
              <w:rPr>
                <w:rFonts w:ascii="Cambria Math" w:hAnsi="Cambria Math"/>
              </w:rPr>
              <m:t>h</m:t>
            </m:r>
          </m:e>
          <m:sub>
            <m:r>
              <w:rPr>
                <w:rFonts w:ascii="Cambria Math" w:hAnsi="Cambria Math"/>
              </w:rPr>
              <m:t>WCC</m:t>
            </m:r>
          </m:sub>
        </m:sSub>
        <m:r>
          <w:rPr>
            <w:rFonts w:ascii="Cambria Math" w:hAnsi="Cambria Math"/>
          </w:rPr>
          <m:t xml:space="preserve"> </m:t>
        </m:r>
      </m:oMath>
      <w:r w:rsidR="00BA51F4" w:rsidRPr="00D86F05">
        <w:rPr>
          <w:rFonts w:ascii="Times-Roman" w:hAnsi="Times-Roman" w:cs="Times-Roman"/>
          <w:lang w:bidi="ar-SA"/>
        </w:rPr>
        <w:t xml:space="preserve"> and </w:t>
      </w:r>
      <w:r w:rsidR="00BA51F4">
        <w:rPr>
          <w:rFonts w:ascii="Times-Roman" w:hAnsi="Times-Roman" w:cs="Times-Roman"/>
          <w:lang w:bidi="ar-SA"/>
        </w:rPr>
        <w:t>f</w:t>
      </w:r>
      <w:r w:rsidR="00BA51F4" w:rsidRPr="00D86F05">
        <w:rPr>
          <w:rFonts w:ascii="Times-Roman" w:hAnsi="Times-Roman" w:cs="Times-Roman"/>
          <w:lang w:bidi="ar-SA"/>
        </w:rPr>
        <w:t xml:space="preserve">ault </w:t>
      </w:r>
      <w:r w:rsidR="00BA51F4">
        <w:rPr>
          <w:rFonts w:ascii="Times-Roman" w:hAnsi="Times-Roman" w:cs="Times-Roman"/>
          <w:lang w:bidi="ar-SA"/>
        </w:rPr>
        <w:t>s</w:t>
      </w:r>
      <w:r w:rsidR="00BA51F4" w:rsidRPr="00D86F05">
        <w:rPr>
          <w:rFonts w:ascii="Times-Roman" w:hAnsi="Times-Roman" w:cs="Times-Roman"/>
          <w:lang w:bidi="ar-SA"/>
        </w:rPr>
        <w:t xml:space="preserve">trength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m:rPr>
            <m:sty m:val="bi"/>
          </m:rPr>
          <w:rPr>
            <w:rFonts w:ascii="Cambria Math" w:hAnsi="Cambria Math"/>
          </w:rPr>
          <m:t>=</m:t>
        </m:r>
        <m:d>
          <m:dPr>
            <m:ctrlPr>
              <w:rPr>
                <w:rFonts w:ascii="Cambria Math" w:hAnsi="Cambria Math"/>
                <w:b/>
                <w:bCs/>
              </w:rPr>
            </m:ctrlPr>
          </m:dPr>
          <m:e>
            <m:r>
              <m:rPr>
                <m:sty m:val="b"/>
              </m:rPr>
              <w:rPr>
                <w:rFonts w:ascii="Cambria Math" w:hAnsi="Cambria Math"/>
              </w:rPr>
              <m:t>1-λ</m:t>
            </m:r>
          </m:e>
        </m:d>
        <m:sSup>
          <m:sSupPr>
            <m:ctrlPr>
              <w:rPr>
                <w:rFonts w:ascii="Cambria Math" w:hAnsi="Cambria Math"/>
                <w:b/>
                <w:bCs/>
              </w:rPr>
            </m:ctrlPr>
          </m:sSupPr>
          <m:e>
            <m:r>
              <m:rPr>
                <m:sty m:val="b"/>
              </m:rPr>
              <w:rPr>
                <w:rFonts w:ascii="Cambria Math" w:hAnsi="Cambria Math"/>
              </w:rPr>
              <m:t>μ</m:t>
            </m:r>
          </m:e>
          <m:sup>
            <m:r>
              <m:rPr>
                <m:sty m:val="b"/>
              </m:rPr>
              <w:rPr>
                <w:rFonts w:ascii="Cambria Math" w:hAnsi="Cambria Math"/>
              </w:rPr>
              <m:t>*</m:t>
            </m:r>
          </m:sup>
        </m:sSup>
      </m:oMath>
      <w:r w:rsidR="00ED6B3D" w:rsidRPr="00D86F05">
        <w:rPr>
          <w:rFonts w:ascii="Times-Roman" w:hAnsi="Times-Roman" w:cs="Times-Roman"/>
          <w:lang w:bidi="ar-SA"/>
        </w:rPr>
        <w:t>)</w:t>
      </w:r>
      <w:r w:rsidR="00ED6B3D">
        <w:rPr>
          <w:rFonts w:ascii="Times-Roman" w:hAnsi="Times-Roman" w:cs="Times-Roman"/>
          <w:lang w:bidi="ar-SA"/>
        </w:rPr>
        <w:t>)</w:t>
      </w:r>
      <w:r w:rsidR="00ED6B3D" w:rsidRPr="00D86F05">
        <w:rPr>
          <w:rFonts w:ascii="Times-Roman" w:hAnsi="Times-Roman" w:cs="Times-Roman"/>
          <w:lang w:bidi="ar-SA"/>
        </w:rPr>
        <w:t xml:space="preserve"> for</w:t>
      </w:r>
      <w:r w:rsidR="00BA51F4" w:rsidRPr="00D86F05">
        <w:rPr>
          <w:rFonts w:ascii="Times-Roman" w:hAnsi="Times-Roman" w:cs="Times-Roman"/>
          <w:lang w:bidi="ar-SA"/>
        </w:rPr>
        <w:t xml:space="preserve"> </w:t>
      </w:r>
      <w:r w:rsidR="00BA51F4">
        <w:rPr>
          <w:rFonts w:ascii="Times-Roman" w:hAnsi="Times-Roman" w:cs="Times-Roman"/>
          <w:lang w:bidi="ar-SA"/>
        </w:rPr>
        <w:t>v</w:t>
      </w:r>
      <w:r w:rsidR="00BA51F4" w:rsidRPr="00D86F05">
        <w:rPr>
          <w:rFonts w:ascii="Times-Roman" w:hAnsi="Times-Roman" w:cs="Times-Roman"/>
          <w:lang w:bidi="ar-SA"/>
        </w:rPr>
        <w:t xml:space="preserve">arious </w:t>
      </w:r>
      <w:r w:rsidR="00BA51F4">
        <w:rPr>
          <w:rFonts w:ascii="Times-Roman" w:hAnsi="Times-Roman" w:cs="Times-Roman"/>
          <w:lang w:bidi="ar-SA"/>
        </w:rPr>
        <w:t>w</w:t>
      </w:r>
      <w:r w:rsidR="00BA51F4" w:rsidRPr="00D86F05">
        <w:rPr>
          <w:rFonts w:ascii="Times-Roman" w:hAnsi="Times-Roman" w:cs="Times-Roman"/>
          <w:lang w:bidi="ar-SA"/>
        </w:rPr>
        <w:t xml:space="preserve">eak </w:t>
      </w:r>
      <w:r w:rsidR="00BA51F4">
        <w:rPr>
          <w:rFonts w:ascii="Times-Roman" w:hAnsi="Times-Roman" w:cs="Times-Roman"/>
          <w:lang w:bidi="ar-SA"/>
        </w:rPr>
        <w:t>c</w:t>
      </w:r>
      <w:r w:rsidR="00BA51F4" w:rsidRPr="00D86F05">
        <w:rPr>
          <w:rFonts w:ascii="Times-Roman" w:hAnsi="Times-Roman" w:cs="Times-Roman"/>
          <w:lang w:bidi="ar-SA"/>
        </w:rPr>
        <w:t xml:space="preserve">rustal </w:t>
      </w:r>
      <w:proofErr w:type="spellStart"/>
      <w:r w:rsidR="00BA51F4">
        <w:rPr>
          <w:rFonts w:ascii="Times-Roman" w:hAnsi="Times-Roman" w:cs="Times-Roman"/>
          <w:lang w:bidi="ar-SA"/>
        </w:rPr>
        <w:t>r</w:t>
      </w:r>
      <w:r w:rsidR="00BA51F4" w:rsidRPr="00D86F05">
        <w:rPr>
          <w:rFonts w:ascii="Times-Roman" w:hAnsi="Times-Roman" w:cs="Times-Roman"/>
          <w:lang w:bidi="ar-SA"/>
        </w:rPr>
        <w:t>heologies</w:t>
      </w:r>
      <w:proofErr w:type="spellEnd"/>
      <w:r w:rsidR="00BA51F4">
        <w:rPr>
          <w:rFonts w:ascii="Times-Roman" w:hAnsi="Times-Roman" w:cs="Times-Roman"/>
          <w:lang w:bidi="ar-SA"/>
        </w:rPr>
        <w:t>.</w:t>
      </w:r>
    </w:p>
    <w:p w14:paraId="2A2DC3AD" w14:textId="77777777" w:rsidR="00990A08" w:rsidRDefault="00990A08" w:rsidP="00990A08">
      <w:pPr>
        <w:bidi w:val="0"/>
        <w:spacing w:line="360" w:lineRule="auto"/>
        <w:jc w:val="both"/>
        <w:rPr>
          <w:rFonts w:ascii="Times-Roman" w:hAnsi="Times-Roman" w:cs="Times-Roman"/>
          <w:lang w:bidi="ar-SA"/>
        </w:rPr>
      </w:pPr>
    </w:p>
    <w:p w14:paraId="1AB4BB13" w14:textId="77777777" w:rsidR="00990A08" w:rsidRDefault="00990A08" w:rsidP="00990A08">
      <w:pPr>
        <w:bidi w:val="0"/>
        <w:spacing w:line="360" w:lineRule="auto"/>
        <w:jc w:val="both"/>
        <w:rPr>
          <w:rFonts w:ascii="Times-Roman" w:hAnsi="Times-Roman" w:cs="Times-Roman"/>
          <w:lang w:bidi="ar-SA"/>
        </w:rPr>
      </w:pPr>
    </w:p>
    <w:p w14:paraId="29372D25" w14:textId="77777777" w:rsidR="00990A08" w:rsidRDefault="00990A08" w:rsidP="00990A08">
      <w:pPr>
        <w:bidi w:val="0"/>
        <w:spacing w:line="360" w:lineRule="auto"/>
        <w:jc w:val="both"/>
        <w:rPr>
          <w:rFonts w:ascii="Times-Roman" w:hAnsi="Times-Roman" w:cs="Times-Roman"/>
          <w:lang w:bidi="ar-SA"/>
        </w:rPr>
      </w:pPr>
    </w:p>
    <w:p w14:paraId="556F976D" w14:textId="77777777" w:rsidR="00990A08" w:rsidRDefault="00990A08" w:rsidP="00990A08">
      <w:pPr>
        <w:bidi w:val="0"/>
        <w:spacing w:line="360" w:lineRule="auto"/>
        <w:jc w:val="both"/>
        <w:rPr>
          <w:rFonts w:ascii="Times-Roman" w:hAnsi="Times-Roman" w:cs="Times-Roman"/>
          <w:lang w:bidi="ar-SA"/>
        </w:rPr>
      </w:pPr>
    </w:p>
    <w:p w14:paraId="0FF2584A" w14:textId="77777777" w:rsidR="00990A08" w:rsidRDefault="00990A08" w:rsidP="00990A08">
      <w:pPr>
        <w:bidi w:val="0"/>
        <w:spacing w:line="360" w:lineRule="auto"/>
        <w:jc w:val="both"/>
        <w:rPr>
          <w:rFonts w:ascii="Times-Roman" w:hAnsi="Times-Roman" w:cs="Times-Roman"/>
          <w:lang w:bidi="ar-SA"/>
        </w:rPr>
      </w:pPr>
    </w:p>
    <w:tbl>
      <w:tblPr>
        <w:tblStyle w:val="TableGrid"/>
        <w:tblW w:w="0" w:type="auto"/>
        <w:tblLook w:val="04A0" w:firstRow="1" w:lastRow="0" w:firstColumn="1" w:lastColumn="0" w:noHBand="0" w:noVBand="1"/>
      </w:tblPr>
      <w:tblGrid>
        <w:gridCol w:w="2765"/>
        <w:gridCol w:w="2765"/>
        <w:gridCol w:w="2766"/>
      </w:tblGrid>
      <w:tr w:rsidR="00BA51F4" w14:paraId="5E655C6D" w14:textId="77777777" w:rsidTr="00F82918">
        <w:tc>
          <w:tcPr>
            <w:tcW w:w="2765" w:type="dxa"/>
          </w:tcPr>
          <w:p w14:paraId="07D1683E" w14:textId="77777777" w:rsidR="00BA51F4" w:rsidRDefault="00BA51F4" w:rsidP="00F82918">
            <w:pPr>
              <w:bidi w:val="0"/>
              <w:spacing w:line="360" w:lineRule="auto"/>
              <w:jc w:val="both"/>
            </w:pPr>
            <w:r>
              <w:rPr>
                <w:rFonts w:ascii="Times-Roman" w:hAnsi="Times-Roman" w:cs="Times-Roman"/>
                <w:sz w:val="20"/>
                <w:szCs w:val="20"/>
                <w:lang w:bidi="ar-SA"/>
              </w:rPr>
              <w:t>Material</w:t>
            </w:r>
          </w:p>
        </w:tc>
        <w:tc>
          <w:tcPr>
            <w:tcW w:w="2765" w:type="dxa"/>
          </w:tcPr>
          <w:p w14:paraId="0798D404" w14:textId="30F49E05" w:rsidR="00BA51F4" w:rsidRPr="00B32F9B" w:rsidRDefault="00000000" w:rsidP="00F82918">
            <w:pPr>
              <w:bidi w:val="0"/>
              <w:spacing w:line="360" w:lineRule="auto"/>
              <w:jc w:val="both"/>
            </w:pPr>
            <m:oMathPara>
              <m:oMath>
                <m:sSub>
                  <m:sSubPr>
                    <m:ctrlPr>
                      <w:rPr>
                        <w:rFonts w:ascii="Cambria Math" w:hAnsi="Cambria Math"/>
                        <w:i/>
                      </w:rPr>
                    </m:ctrlPr>
                  </m:sSubPr>
                  <m:e>
                    <m:r>
                      <w:rPr>
                        <w:rFonts w:ascii="Cambria Math" w:hAnsi="Cambria Math"/>
                      </w:rPr>
                      <m:t>h</m:t>
                    </m:r>
                  </m:e>
                  <m:sub>
                    <m:r>
                      <w:rPr>
                        <w:rFonts w:ascii="Cambria Math" w:hAnsi="Cambria Math"/>
                      </w:rPr>
                      <m:t>WCC</m:t>
                    </m:r>
                  </m:sub>
                </m:sSub>
                <m:r>
                  <w:rPr>
                    <w:rFonts w:ascii="Cambria Math" w:hAnsi="Cambria Math"/>
                  </w:rPr>
                  <m:t xml:space="preserve"> </m:t>
                </m:r>
                <m:d>
                  <m:dPr>
                    <m:begChr m:val="["/>
                    <m:endChr m:val="]"/>
                    <m:ctrlPr>
                      <w:rPr>
                        <w:rFonts w:ascii="Cambria Math" w:hAnsi="Cambria Math"/>
                        <w:i/>
                      </w:rPr>
                    </m:ctrlPr>
                  </m:dPr>
                  <m:e>
                    <m:r>
                      <w:rPr>
                        <w:rFonts w:ascii="Cambria Math" w:hAnsi="Cambria Math"/>
                      </w:rPr>
                      <m:t>km</m:t>
                    </m:r>
                  </m:e>
                </m:d>
              </m:oMath>
            </m:oMathPara>
          </w:p>
        </w:tc>
        <w:tc>
          <w:tcPr>
            <w:tcW w:w="2766" w:type="dxa"/>
          </w:tcPr>
          <w:p w14:paraId="0D0A477E" w14:textId="12F97253" w:rsidR="00BA51F4" w:rsidRDefault="00000000" w:rsidP="00F82918">
            <w:pPr>
              <w:bidi w:val="0"/>
              <w:spacing w:line="360" w:lineRule="auto"/>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m:rPr>
                    <m:sty m:val="bi"/>
                  </m:rPr>
                  <w:rPr>
                    <w:rFonts w:ascii="Cambria Math" w:hAnsi="Cambria Math"/>
                  </w:rPr>
                  <m:t>=</m:t>
                </m:r>
                <m:d>
                  <m:dPr>
                    <m:ctrlPr>
                      <w:rPr>
                        <w:rFonts w:ascii="Cambria Math" w:hAnsi="Cambria Math"/>
                        <w:b/>
                        <w:bCs/>
                      </w:rPr>
                    </m:ctrlPr>
                  </m:dPr>
                  <m:e>
                    <m:r>
                      <m:rPr>
                        <m:sty m:val="b"/>
                      </m:rPr>
                      <w:rPr>
                        <w:rFonts w:ascii="Cambria Math" w:hAnsi="Cambria Math"/>
                      </w:rPr>
                      <m:t>1-λ</m:t>
                    </m:r>
                  </m:e>
                </m:d>
                <m:sSup>
                  <m:sSupPr>
                    <m:ctrlPr>
                      <w:rPr>
                        <w:rFonts w:ascii="Cambria Math" w:hAnsi="Cambria Math"/>
                        <w:b/>
                        <w:bCs/>
                      </w:rPr>
                    </m:ctrlPr>
                  </m:sSupPr>
                  <m:e>
                    <m:r>
                      <m:rPr>
                        <m:sty m:val="b"/>
                      </m:rPr>
                      <w:rPr>
                        <w:rFonts w:ascii="Cambria Math" w:hAnsi="Cambria Math"/>
                      </w:rPr>
                      <m:t>μ</m:t>
                    </m:r>
                  </m:e>
                  <m:sup>
                    <m:r>
                      <m:rPr>
                        <m:sty m:val="b"/>
                      </m:rPr>
                      <w:rPr>
                        <w:rFonts w:ascii="Cambria Math" w:hAnsi="Cambria Math"/>
                      </w:rPr>
                      <m:t>*</m:t>
                    </m:r>
                  </m:sup>
                </m:sSup>
              </m:oMath>
            </m:oMathPara>
          </w:p>
        </w:tc>
      </w:tr>
      <w:tr w:rsidR="00BA51F4" w14:paraId="50CC7ADF" w14:textId="77777777" w:rsidTr="00F82918">
        <w:tc>
          <w:tcPr>
            <w:tcW w:w="2765" w:type="dxa"/>
          </w:tcPr>
          <w:p w14:paraId="7197AF84" w14:textId="77777777" w:rsidR="00BA51F4" w:rsidRDefault="00BA51F4" w:rsidP="00F82918">
            <w:pPr>
              <w:bidi w:val="0"/>
              <w:spacing w:line="360" w:lineRule="auto"/>
              <w:jc w:val="both"/>
            </w:pPr>
            <w:r>
              <w:rPr>
                <w:rFonts w:ascii="Times-Roman" w:hAnsi="Times-Roman" w:cs="Times-Roman"/>
                <w:sz w:val="20"/>
                <w:szCs w:val="20"/>
                <w:lang w:bidi="ar-SA"/>
              </w:rPr>
              <w:t>Quartz (Q2)</w:t>
            </w:r>
            <w:r>
              <w:t xml:space="preserve"> </w:t>
            </w:r>
          </w:p>
        </w:tc>
        <w:tc>
          <w:tcPr>
            <w:tcW w:w="2765" w:type="dxa"/>
          </w:tcPr>
          <w:p w14:paraId="633546B3" w14:textId="77777777" w:rsidR="00BA51F4" w:rsidRDefault="00BA51F4" w:rsidP="00F82918">
            <w:pPr>
              <w:bidi w:val="0"/>
              <w:spacing w:line="360" w:lineRule="auto"/>
              <w:jc w:val="both"/>
            </w:pPr>
            <w:r>
              <w:t>14</w:t>
            </w:r>
          </w:p>
        </w:tc>
        <w:tc>
          <w:tcPr>
            <w:tcW w:w="2766" w:type="dxa"/>
          </w:tcPr>
          <w:p w14:paraId="0DE622AA" w14:textId="74BB5398" w:rsidR="00BA51F4" w:rsidRDefault="00BA51F4" w:rsidP="00F82918">
            <w:pPr>
              <w:bidi w:val="0"/>
              <w:spacing w:line="360" w:lineRule="auto"/>
            </w:pPr>
            <w:r>
              <w:t>0.0</w:t>
            </w:r>
            <w:r w:rsidR="00C80388">
              <w:t>9</w:t>
            </w:r>
          </w:p>
        </w:tc>
      </w:tr>
      <w:tr w:rsidR="00BA51F4" w14:paraId="418D0ACC" w14:textId="77777777" w:rsidTr="00F82918">
        <w:tc>
          <w:tcPr>
            <w:tcW w:w="2765" w:type="dxa"/>
          </w:tcPr>
          <w:p w14:paraId="4F928FCF" w14:textId="77777777" w:rsidR="00BA51F4" w:rsidRDefault="00BA51F4" w:rsidP="00F82918">
            <w:pPr>
              <w:bidi w:val="0"/>
              <w:spacing w:line="360" w:lineRule="auto"/>
              <w:jc w:val="both"/>
            </w:pPr>
            <w:r>
              <w:rPr>
                <w:rFonts w:ascii="Times-Roman" w:hAnsi="Times-Roman" w:cs="Times-Roman"/>
                <w:sz w:val="20"/>
                <w:szCs w:val="20"/>
                <w:lang w:bidi="ar-SA"/>
              </w:rPr>
              <w:t xml:space="preserve">quartzite (wet) (QW) </w:t>
            </w:r>
          </w:p>
        </w:tc>
        <w:tc>
          <w:tcPr>
            <w:tcW w:w="2765" w:type="dxa"/>
          </w:tcPr>
          <w:p w14:paraId="44A3C706" w14:textId="77777777" w:rsidR="00BA51F4" w:rsidRDefault="00BA51F4" w:rsidP="00F82918">
            <w:pPr>
              <w:bidi w:val="0"/>
              <w:spacing w:line="360" w:lineRule="auto"/>
              <w:jc w:val="both"/>
            </w:pPr>
            <w:r>
              <w:t>10.5</w:t>
            </w:r>
          </w:p>
        </w:tc>
        <w:tc>
          <w:tcPr>
            <w:tcW w:w="2766" w:type="dxa"/>
          </w:tcPr>
          <w:p w14:paraId="5A170E50" w14:textId="77777777" w:rsidR="00BA51F4" w:rsidRDefault="00BA51F4" w:rsidP="00F82918">
            <w:pPr>
              <w:bidi w:val="0"/>
              <w:spacing w:line="360" w:lineRule="auto"/>
            </w:pPr>
            <w:r>
              <w:t>0.07</w:t>
            </w:r>
          </w:p>
        </w:tc>
      </w:tr>
      <w:tr w:rsidR="00BA51F4" w14:paraId="64C25497" w14:textId="77777777" w:rsidTr="00F82918">
        <w:tc>
          <w:tcPr>
            <w:tcW w:w="2765" w:type="dxa"/>
          </w:tcPr>
          <w:p w14:paraId="5AE417FD" w14:textId="77777777" w:rsidR="00BA51F4" w:rsidRDefault="00BA51F4" w:rsidP="00F82918">
            <w:pPr>
              <w:bidi w:val="0"/>
              <w:spacing w:line="360" w:lineRule="auto"/>
              <w:jc w:val="both"/>
            </w:pPr>
            <w:r>
              <w:rPr>
                <w:rFonts w:ascii="Times-Roman" w:hAnsi="Times-Roman" w:cs="Times-Roman"/>
                <w:sz w:val="20"/>
                <w:szCs w:val="20"/>
                <w:lang w:bidi="ar-SA"/>
              </w:rPr>
              <w:t>felsic granulite (FG)</w:t>
            </w:r>
            <w:r>
              <w:t xml:space="preserve"> </w:t>
            </w:r>
          </w:p>
        </w:tc>
        <w:tc>
          <w:tcPr>
            <w:tcW w:w="2765" w:type="dxa"/>
          </w:tcPr>
          <w:p w14:paraId="7B79239E" w14:textId="77777777" w:rsidR="00BA51F4" w:rsidRDefault="00BA51F4" w:rsidP="00F82918">
            <w:pPr>
              <w:bidi w:val="0"/>
              <w:spacing w:line="360" w:lineRule="auto"/>
              <w:jc w:val="both"/>
            </w:pPr>
            <w:r>
              <w:t>27.5</w:t>
            </w:r>
          </w:p>
        </w:tc>
        <w:tc>
          <w:tcPr>
            <w:tcW w:w="2766" w:type="dxa"/>
          </w:tcPr>
          <w:p w14:paraId="71585503" w14:textId="1609F52A" w:rsidR="00BA51F4" w:rsidRDefault="00BA51F4" w:rsidP="00F82918">
            <w:pPr>
              <w:bidi w:val="0"/>
              <w:spacing w:line="360" w:lineRule="auto"/>
            </w:pPr>
            <w:r>
              <w:t>0.0</w:t>
            </w:r>
            <w:r w:rsidR="00C80388">
              <w:t>25</w:t>
            </w:r>
          </w:p>
        </w:tc>
      </w:tr>
      <w:tr w:rsidR="00BA51F4" w14:paraId="6794FAAE" w14:textId="77777777" w:rsidTr="00F82918">
        <w:tc>
          <w:tcPr>
            <w:tcW w:w="2765" w:type="dxa"/>
          </w:tcPr>
          <w:p w14:paraId="0E34127B" w14:textId="77777777" w:rsidR="00BA51F4" w:rsidRDefault="00BA51F4" w:rsidP="00F82918">
            <w:pPr>
              <w:bidi w:val="0"/>
              <w:spacing w:line="360" w:lineRule="auto"/>
              <w:jc w:val="both"/>
            </w:pPr>
            <w:r>
              <w:rPr>
                <w:rFonts w:ascii="Times-Roman" w:hAnsi="Times-Roman" w:cs="Times-Roman"/>
                <w:sz w:val="20"/>
                <w:szCs w:val="20"/>
                <w:lang w:bidi="ar-SA"/>
              </w:rPr>
              <w:t>plagioclase An</w:t>
            </w:r>
            <w:r>
              <w:rPr>
                <w:rFonts w:ascii="Times-Roman" w:hAnsi="Times-Roman" w:cs="Times-Roman"/>
                <w:sz w:val="14"/>
                <w:szCs w:val="14"/>
                <w:lang w:bidi="ar-SA"/>
              </w:rPr>
              <w:t xml:space="preserve">75 </w:t>
            </w:r>
            <w:r w:rsidRPr="00976D72">
              <w:rPr>
                <w:rFonts w:ascii="Times-Roman" w:hAnsi="Times-Roman" w:cs="Times-Roman"/>
                <w:sz w:val="20"/>
                <w:szCs w:val="20"/>
                <w:lang w:bidi="ar-SA"/>
              </w:rPr>
              <w:t>(P)</w:t>
            </w:r>
            <w:r>
              <w:rPr>
                <w:rFonts w:ascii="Times-Roman" w:hAnsi="Times-Roman" w:cs="Times-Roman"/>
                <w:sz w:val="20"/>
                <w:szCs w:val="20"/>
                <w:lang w:bidi="ar-SA"/>
              </w:rPr>
              <w:t xml:space="preserve"> </w:t>
            </w:r>
          </w:p>
        </w:tc>
        <w:tc>
          <w:tcPr>
            <w:tcW w:w="2765" w:type="dxa"/>
          </w:tcPr>
          <w:p w14:paraId="7EB5A231" w14:textId="77777777" w:rsidR="00BA51F4" w:rsidRDefault="00BA51F4" w:rsidP="00F82918">
            <w:pPr>
              <w:bidi w:val="0"/>
              <w:spacing w:line="360" w:lineRule="auto"/>
              <w:jc w:val="both"/>
            </w:pPr>
            <w:r>
              <w:t>32.2</w:t>
            </w:r>
          </w:p>
        </w:tc>
        <w:tc>
          <w:tcPr>
            <w:tcW w:w="2766" w:type="dxa"/>
          </w:tcPr>
          <w:p w14:paraId="191C23C5" w14:textId="77777777" w:rsidR="00BA51F4" w:rsidRDefault="00BA51F4" w:rsidP="00F82918">
            <w:pPr>
              <w:bidi w:val="0"/>
              <w:spacing w:line="360" w:lineRule="auto"/>
              <w:jc w:val="both"/>
            </w:pPr>
            <w:r>
              <w:t>0.018</w:t>
            </w:r>
          </w:p>
        </w:tc>
      </w:tr>
      <w:tr w:rsidR="00BA51F4" w14:paraId="59982B13" w14:textId="77777777" w:rsidTr="00F82918">
        <w:tc>
          <w:tcPr>
            <w:tcW w:w="2765" w:type="dxa"/>
          </w:tcPr>
          <w:p w14:paraId="5961D54D" w14:textId="77777777" w:rsidR="00BA51F4" w:rsidRDefault="00BA51F4" w:rsidP="00F82918">
            <w:pPr>
              <w:bidi w:val="0"/>
              <w:spacing w:line="360" w:lineRule="auto"/>
              <w:jc w:val="both"/>
            </w:pPr>
            <w:r>
              <w:rPr>
                <w:rFonts w:ascii="Times-Roman" w:hAnsi="Times-Roman" w:cs="Times-Roman"/>
                <w:sz w:val="20"/>
                <w:szCs w:val="20"/>
                <w:lang w:bidi="ar-SA"/>
              </w:rPr>
              <w:t>Quartz (Q4)</w:t>
            </w:r>
            <w:r>
              <w:t xml:space="preserve"> </w:t>
            </w:r>
          </w:p>
        </w:tc>
        <w:tc>
          <w:tcPr>
            <w:tcW w:w="2765" w:type="dxa"/>
          </w:tcPr>
          <w:p w14:paraId="1940E0FD" w14:textId="77777777" w:rsidR="00BA51F4" w:rsidRDefault="00BA51F4" w:rsidP="00F82918">
            <w:pPr>
              <w:bidi w:val="0"/>
              <w:spacing w:line="360" w:lineRule="auto"/>
              <w:jc w:val="both"/>
            </w:pPr>
            <w:r>
              <w:t>36.2</w:t>
            </w:r>
          </w:p>
        </w:tc>
        <w:tc>
          <w:tcPr>
            <w:tcW w:w="2766" w:type="dxa"/>
          </w:tcPr>
          <w:p w14:paraId="6904009B" w14:textId="77777777" w:rsidR="00BA51F4" w:rsidRDefault="00BA51F4" w:rsidP="00F82918">
            <w:pPr>
              <w:bidi w:val="0"/>
              <w:spacing w:line="360" w:lineRule="auto"/>
              <w:jc w:val="both"/>
            </w:pPr>
            <w:r>
              <w:t>0.011</w:t>
            </w:r>
          </w:p>
        </w:tc>
      </w:tr>
    </w:tbl>
    <w:p w14:paraId="6CAEB0AC" w14:textId="3F994E8E" w:rsidR="00F102AF" w:rsidRPr="00990A08" w:rsidRDefault="00BA51F4" w:rsidP="00990A08">
      <w:pPr>
        <w:bidi w:val="0"/>
        <w:spacing w:line="360" w:lineRule="auto"/>
        <w:jc w:val="both"/>
      </w:pPr>
      <w:r w:rsidRPr="002F609A">
        <w:rPr>
          <w:b/>
          <w:bCs/>
        </w:rPr>
        <w:t xml:space="preserve">Supplementary </w:t>
      </w:r>
      <w:r w:rsidRPr="00976D72">
        <w:rPr>
          <w:b/>
          <w:bCs/>
        </w:rPr>
        <w:t>Table</w:t>
      </w:r>
      <w:r>
        <w:rPr>
          <w:rFonts w:ascii="Times-Roman" w:hAnsi="Times-Roman" w:cs="Times-Roman"/>
          <w:lang w:bidi="ar-SA"/>
        </w:rPr>
        <w:t xml:space="preserve"> 3: </w:t>
      </w:r>
      <w:r>
        <w:t xml:space="preserve">Apennine </w:t>
      </w:r>
      <w:r>
        <w:rPr>
          <w:rFonts w:ascii="Times-Roman" w:hAnsi="Times-Roman" w:cs="Times-Roman"/>
          <w:lang w:bidi="ar-SA"/>
        </w:rPr>
        <w:t>b</w:t>
      </w:r>
      <w:r w:rsidRPr="00D86F05">
        <w:rPr>
          <w:rFonts w:ascii="Times-Roman" w:hAnsi="Times-Roman" w:cs="Times-Roman"/>
          <w:lang w:bidi="ar-SA"/>
        </w:rPr>
        <w:t>est-</w:t>
      </w:r>
      <w:r>
        <w:rPr>
          <w:rFonts w:ascii="Times-Roman" w:hAnsi="Times-Roman" w:cs="Times-Roman"/>
          <w:lang w:bidi="ar-SA"/>
        </w:rPr>
        <w:t>f</w:t>
      </w:r>
      <w:r w:rsidRPr="00D86F05">
        <w:rPr>
          <w:rFonts w:ascii="Times-Roman" w:hAnsi="Times-Roman" w:cs="Times-Roman"/>
          <w:lang w:bidi="ar-SA"/>
        </w:rPr>
        <w:t xml:space="preserve">it </w:t>
      </w:r>
      <w:r>
        <w:rPr>
          <w:rFonts w:ascii="Times-Roman" w:hAnsi="Times-Roman" w:cs="Times-Roman"/>
          <w:lang w:bidi="ar-SA"/>
        </w:rPr>
        <w:t>m</w:t>
      </w:r>
      <w:r w:rsidRPr="00D86F05">
        <w:rPr>
          <w:rFonts w:ascii="Times-Roman" w:hAnsi="Times-Roman" w:cs="Times-Roman"/>
          <w:lang w:bidi="ar-SA"/>
        </w:rPr>
        <w:t xml:space="preserve">odel </w:t>
      </w:r>
      <w:r>
        <w:rPr>
          <w:rFonts w:ascii="Times-Roman" w:hAnsi="Times-Roman" w:cs="Times-Roman"/>
          <w:lang w:bidi="ar-SA"/>
        </w:rPr>
        <w:t>p</w:t>
      </w:r>
      <w:r w:rsidRPr="00D86F05">
        <w:rPr>
          <w:rFonts w:ascii="Times-Roman" w:hAnsi="Times-Roman" w:cs="Times-Roman"/>
          <w:lang w:bidi="ar-SA"/>
        </w:rPr>
        <w:t>arameters (</w:t>
      </w:r>
      <w:r>
        <w:rPr>
          <w:rFonts w:ascii="Times-Roman" w:hAnsi="Times-Roman" w:cs="Times-Roman"/>
          <w:lang w:bidi="ar-SA"/>
        </w:rPr>
        <w:t>c</w:t>
      </w:r>
      <w:r w:rsidRPr="00D86F05">
        <w:rPr>
          <w:rFonts w:ascii="Times-Roman" w:hAnsi="Times-Roman" w:cs="Times-Roman"/>
          <w:lang w:bidi="ar-SA"/>
        </w:rPr>
        <w:t xml:space="preserve">hannel </w:t>
      </w:r>
      <w:r>
        <w:rPr>
          <w:rFonts w:ascii="Times-Roman" w:hAnsi="Times-Roman" w:cs="Times-Roman"/>
          <w:lang w:bidi="ar-SA"/>
        </w:rPr>
        <w:t>t</w:t>
      </w:r>
      <w:r w:rsidRPr="00D86F05">
        <w:rPr>
          <w:rFonts w:ascii="Times-Roman" w:hAnsi="Times-Roman" w:cs="Times-Roman"/>
          <w:lang w:bidi="ar-SA"/>
        </w:rPr>
        <w:t xml:space="preserve">hickness </w:t>
      </w:r>
      <m:oMath>
        <m:sSub>
          <m:sSubPr>
            <m:ctrlPr>
              <w:rPr>
                <w:rFonts w:ascii="Cambria Math" w:hAnsi="Cambria Math"/>
                <w:i/>
              </w:rPr>
            </m:ctrlPr>
          </m:sSubPr>
          <m:e>
            <m:r>
              <w:rPr>
                <w:rFonts w:ascii="Cambria Math" w:hAnsi="Cambria Math"/>
              </w:rPr>
              <m:t>h</m:t>
            </m:r>
          </m:e>
          <m:sub>
            <m:r>
              <w:rPr>
                <w:rFonts w:ascii="Cambria Math" w:hAnsi="Cambria Math"/>
              </w:rPr>
              <m:t>WCC</m:t>
            </m:r>
          </m:sub>
        </m:sSub>
      </m:oMath>
      <w:r w:rsidR="009E6213">
        <w:rPr>
          <w:rFonts w:ascii="Times-Roman" w:hAnsi="Times-Roman" w:cs="Times-Roman"/>
        </w:rPr>
        <w:t xml:space="preserve"> </w:t>
      </w:r>
      <w:r w:rsidRPr="00D86F05">
        <w:rPr>
          <w:rFonts w:ascii="Times-Roman" w:hAnsi="Times-Roman" w:cs="Times-Roman"/>
          <w:lang w:bidi="ar-SA"/>
        </w:rPr>
        <w:t xml:space="preserve">and </w:t>
      </w:r>
      <w:r>
        <w:rPr>
          <w:rFonts w:ascii="Times-Roman" w:hAnsi="Times-Roman" w:cs="Times-Roman"/>
          <w:lang w:bidi="ar-SA"/>
        </w:rPr>
        <w:t>f</w:t>
      </w:r>
      <w:r w:rsidRPr="00D86F05">
        <w:rPr>
          <w:rFonts w:ascii="Times-Roman" w:hAnsi="Times-Roman" w:cs="Times-Roman"/>
          <w:lang w:bidi="ar-SA"/>
        </w:rPr>
        <w:t xml:space="preserve">ault </w:t>
      </w:r>
      <w:r w:rsidR="00ED6B3D">
        <w:rPr>
          <w:rFonts w:ascii="Times-Roman" w:hAnsi="Times-Roman" w:cs="Times-Roman"/>
          <w:lang w:bidi="ar-SA"/>
        </w:rPr>
        <w:t>s</w:t>
      </w:r>
      <w:r w:rsidR="00ED6B3D" w:rsidRPr="00D86F05">
        <w:rPr>
          <w:rFonts w:ascii="Times-Roman" w:hAnsi="Times-Roman" w:cs="Times-Roman"/>
          <w:lang w:bidi="ar-SA"/>
        </w:rPr>
        <w:t>trength,</w:t>
      </w:r>
      <w:r w:rsidR="00ED6B3D" w:rsidRPr="00B45350">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m:rPr>
            <m:sty m:val="bi"/>
          </m:rPr>
          <w:rPr>
            <w:rFonts w:ascii="Cambria Math" w:hAnsi="Cambria Math"/>
          </w:rPr>
          <m:t>=</m:t>
        </m:r>
        <m:d>
          <m:dPr>
            <m:ctrlPr>
              <w:rPr>
                <w:rFonts w:ascii="Cambria Math" w:hAnsi="Cambria Math"/>
                <w:b/>
                <w:bCs/>
              </w:rPr>
            </m:ctrlPr>
          </m:dPr>
          <m:e>
            <m:r>
              <m:rPr>
                <m:sty m:val="b"/>
              </m:rPr>
              <w:rPr>
                <w:rFonts w:ascii="Cambria Math" w:hAnsi="Cambria Math"/>
              </w:rPr>
              <m:t>1-λ</m:t>
            </m:r>
          </m:e>
        </m:d>
        <m:sSup>
          <m:sSupPr>
            <m:ctrlPr>
              <w:rPr>
                <w:rFonts w:ascii="Cambria Math" w:hAnsi="Cambria Math"/>
                <w:b/>
                <w:bCs/>
              </w:rPr>
            </m:ctrlPr>
          </m:sSupPr>
          <m:e>
            <m:r>
              <m:rPr>
                <m:sty m:val="b"/>
              </m:rPr>
              <w:rPr>
                <w:rFonts w:ascii="Cambria Math" w:hAnsi="Cambria Math"/>
              </w:rPr>
              <m:t>μ</m:t>
            </m:r>
          </m:e>
          <m:sup>
            <m:r>
              <m:rPr>
                <m:sty m:val="b"/>
              </m:rPr>
              <w:rPr>
                <w:rFonts w:ascii="Cambria Math" w:hAnsi="Cambria Math"/>
              </w:rPr>
              <m:t>*</m:t>
            </m:r>
          </m:sup>
        </m:sSup>
      </m:oMath>
      <w:r w:rsidRPr="00D86F05">
        <w:rPr>
          <w:rFonts w:ascii="Times-Roman" w:hAnsi="Times-Roman" w:cs="Times-Roman"/>
          <w:lang w:bidi="ar-SA"/>
        </w:rPr>
        <w:t>)</w:t>
      </w:r>
      <w:r w:rsidR="00ED6B3D">
        <w:rPr>
          <w:rFonts w:ascii="Times-Roman" w:hAnsi="Times-Roman" w:cs="Times-Roman"/>
          <w:lang w:bidi="ar-SA"/>
        </w:rPr>
        <w:t>)</w:t>
      </w:r>
      <w:r w:rsidRPr="00D86F05">
        <w:rPr>
          <w:rFonts w:ascii="Times-Roman" w:hAnsi="Times-Roman" w:cs="Times-Roman"/>
          <w:lang w:bidi="ar-SA"/>
        </w:rPr>
        <w:t xml:space="preserve"> for </w:t>
      </w:r>
      <w:r>
        <w:rPr>
          <w:rFonts w:ascii="Times-Roman" w:hAnsi="Times-Roman" w:cs="Times-Roman"/>
          <w:lang w:bidi="ar-SA"/>
        </w:rPr>
        <w:t>v</w:t>
      </w:r>
      <w:r w:rsidRPr="00D86F05">
        <w:rPr>
          <w:rFonts w:ascii="Times-Roman" w:hAnsi="Times-Roman" w:cs="Times-Roman"/>
          <w:lang w:bidi="ar-SA"/>
        </w:rPr>
        <w:t xml:space="preserve">arious </w:t>
      </w:r>
      <w:r>
        <w:rPr>
          <w:rFonts w:ascii="Times-Roman" w:hAnsi="Times-Roman" w:cs="Times-Roman"/>
          <w:lang w:bidi="ar-SA"/>
        </w:rPr>
        <w:t>w</w:t>
      </w:r>
      <w:r w:rsidRPr="00D86F05">
        <w:rPr>
          <w:rFonts w:ascii="Times-Roman" w:hAnsi="Times-Roman" w:cs="Times-Roman"/>
          <w:lang w:bidi="ar-SA"/>
        </w:rPr>
        <w:t xml:space="preserve">eak </w:t>
      </w:r>
      <w:r>
        <w:rPr>
          <w:rFonts w:ascii="Times-Roman" w:hAnsi="Times-Roman" w:cs="Times-Roman"/>
          <w:lang w:bidi="ar-SA"/>
        </w:rPr>
        <w:t>c</w:t>
      </w:r>
      <w:r w:rsidRPr="00D86F05">
        <w:rPr>
          <w:rFonts w:ascii="Times-Roman" w:hAnsi="Times-Roman" w:cs="Times-Roman"/>
          <w:lang w:bidi="ar-SA"/>
        </w:rPr>
        <w:t xml:space="preserve">rustal </w:t>
      </w:r>
      <w:proofErr w:type="spellStart"/>
      <w:r>
        <w:rPr>
          <w:rFonts w:ascii="Times-Roman" w:hAnsi="Times-Roman" w:cs="Times-Roman"/>
          <w:lang w:bidi="ar-SA"/>
        </w:rPr>
        <w:t>r</w:t>
      </w:r>
      <w:r w:rsidRPr="00D86F05">
        <w:rPr>
          <w:rFonts w:ascii="Times-Roman" w:hAnsi="Times-Roman" w:cs="Times-Roman"/>
          <w:lang w:bidi="ar-SA"/>
        </w:rPr>
        <w:t>heologies</w:t>
      </w:r>
      <w:proofErr w:type="spellEnd"/>
      <w:r>
        <w:rPr>
          <w:rFonts w:ascii="Times-Roman" w:hAnsi="Times-Roman" w:cs="Times-Roman"/>
          <w:lang w:bidi="ar-SA"/>
        </w:rPr>
        <w:t xml:space="preserve">. </w:t>
      </w:r>
    </w:p>
    <w:tbl>
      <w:tblPr>
        <w:tblStyle w:val="TableGrid"/>
        <w:tblpPr w:leftFromText="180" w:rightFromText="180" w:vertAnchor="text" w:horzAnchor="margin" w:tblpX="-455" w:tblpY="271"/>
        <w:tblW w:w="8751" w:type="dxa"/>
        <w:tblLook w:val="04A0" w:firstRow="1" w:lastRow="0" w:firstColumn="1" w:lastColumn="0" w:noHBand="0" w:noVBand="1"/>
      </w:tblPr>
      <w:tblGrid>
        <w:gridCol w:w="4603"/>
        <w:gridCol w:w="4148"/>
      </w:tblGrid>
      <w:tr w:rsidR="00B5541C" w14:paraId="222CA118" w14:textId="77777777" w:rsidTr="00BD0BFF">
        <w:tc>
          <w:tcPr>
            <w:tcW w:w="4603" w:type="dxa"/>
          </w:tcPr>
          <w:p w14:paraId="0374D582" w14:textId="317A66E3" w:rsidR="00B5541C" w:rsidRPr="00B5541C" w:rsidRDefault="009E6213" w:rsidP="00BD0BFF">
            <w:pPr>
              <w:bidi w:val="0"/>
              <w:spacing w:line="360" w:lineRule="auto"/>
              <w:jc w:val="both"/>
              <w:rPr>
                <w:sz w:val="24"/>
                <w:szCs w:val="24"/>
              </w:rPr>
            </w:pPr>
            <w:r>
              <w:rPr>
                <w:rFonts w:ascii="Times-Roman" w:hAnsi="Times-Roman" w:cs="Times-Roman"/>
                <w:lang w:bidi="ar-SA"/>
              </w:rPr>
              <w:t>C</w:t>
            </w:r>
            <w:r w:rsidRPr="00D86F05">
              <w:rPr>
                <w:rFonts w:ascii="Times-Roman" w:hAnsi="Times-Roman" w:cs="Times-Roman"/>
                <w:lang w:bidi="ar-SA"/>
              </w:rPr>
              <w:t>hannel</w:t>
            </w:r>
            <w:r>
              <w:rPr>
                <w:rFonts w:ascii="Times-Roman" w:hAnsi="Times-Roman" w:cs="Times-Roman"/>
                <w:lang w:bidi="ar-SA"/>
              </w:rPr>
              <w:t xml:space="preserve"> </w:t>
            </w:r>
            <w:r w:rsidRPr="00D86F05">
              <w:rPr>
                <w:rFonts w:ascii="Times-Roman" w:hAnsi="Times-Roman" w:cs="Times-Roman"/>
                <w:lang w:bidi="ar-SA"/>
              </w:rPr>
              <w:t>thickness</w:t>
            </w:r>
            <w:r>
              <w:rPr>
                <w:rFonts w:ascii="Times-Roman" w:hAnsi="Times-Roman" w:cs="Times-Roman"/>
                <w:lang w:bidi="ar-SA"/>
              </w:rPr>
              <w:t xml:space="preserve"> </w:t>
            </w:r>
            <w:r w:rsidR="00BD0BFF">
              <w:rPr>
                <w:rFonts w:ascii="Times-Roman" w:hAnsi="Times-Roman" w:cs="Times-Roman"/>
                <w:lang w:bidi="ar-SA"/>
              </w:rPr>
              <w:t>(</w:t>
            </w:r>
            <m:oMath>
              <m:sSub>
                <m:sSubPr>
                  <m:ctrlPr>
                    <w:rPr>
                      <w:rFonts w:ascii="Cambria Math" w:hAnsi="Cambria Math"/>
                      <w:i/>
                    </w:rPr>
                  </m:ctrlPr>
                </m:sSubPr>
                <m:e>
                  <m:r>
                    <w:rPr>
                      <w:rFonts w:ascii="Cambria Math" w:hAnsi="Cambria Math"/>
                    </w:rPr>
                    <m:t>h</m:t>
                  </m:r>
                </m:e>
                <m:sub>
                  <m:r>
                    <w:rPr>
                      <w:rFonts w:ascii="Cambria Math" w:hAnsi="Cambria Math"/>
                    </w:rPr>
                    <m:t>WCC</m:t>
                  </m:r>
                </m:sub>
              </m:sSub>
              <m:r>
                <w:rPr>
                  <w:rFonts w:ascii="Cambria Math" w:hAnsi="Cambria Math"/>
                </w:rPr>
                <m:t xml:space="preserve"> </m:t>
              </m:r>
              <m:d>
                <m:dPr>
                  <m:begChr m:val="["/>
                  <m:endChr m:val="]"/>
                  <m:ctrlPr>
                    <w:rPr>
                      <w:rFonts w:ascii="Cambria Math" w:hAnsi="Cambria Math"/>
                      <w:i/>
                    </w:rPr>
                  </m:ctrlPr>
                </m:dPr>
                <m:e>
                  <m:r>
                    <w:rPr>
                      <w:rFonts w:ascii="Cambria Math" w:hAnsi="Cambria Math"/>
                    </w:rPr>
                    <m:t>km</m:t>
                  </m:r>
                </m:e>
              </m:d>
            </m:oMath>
            <w:r w:rsidR="00BD0BFF">
              <w:rPr>
                <w:rFonts w:eastAsiaTheme="minorEastAsia"/>
              </w:rPr>
              <w:t>)</w:t>
            </w:r>
          </w:p>
        </w:tc>
        <w:tc>
          <w:tcPr>
            <w:tcW w:w="4148" w:type="dxa"/>
          </w:tcPr>
          <w:p w14:paraId="342FA07D" w14:textId="47D8C775" w:rsidR="00B5541C" w:rsidRDefault="00B5541C" w:rsidP="00BD0BFF">
            <w:pPr>
              <w:bidi w:val="0"/>
              <w:spacing w:line="360" w:lineRule="auto"/>
              <w:jc w:val="both"/>
              <w:rPr>
                <w:sz w:val="24"/>
                <w:szCs w:val="24"/>
              </w:rPr>
            </w:pPr>
            <w:r>
              <w:rPr>
                <w:sz w:val="24"/>
                <w:szCs w:val="24"/>
              </w:rPr>
              <w:t xml:space="preserve">15 </w:t>
            </w:r>
          </w:p>
        </w:tc>
      </w:tr>
      <w:tr w:rsidR="00B5541C" w14:paraId="5B367F4E" w14:textId="77777777" w:rsidTr="00BD0BFF">
        <w:tc>
          <w:tcPr>
            <w:tcW w:w="4603" w:type="dxa"/>
          </w:tcPr>
          <w:p w14:paraId="252CECB6" w14:textId="09257D56" w:rsidR="00B5541C" w:rsidRPr="00BD0BFF" w:rsidRDefault="00BD0BFF" w:rsidP="00BD0BFF">
            <w:pPr>
              <w:bidi w:val="0"/>
              <w:spacing w:line="360" w:lineRule="auto"/>
              <w:jc w:val="both"/>
            </w:pPr>
            <w:r w:rsidRPr="00BD0BFF">
              <w:t xml:space="preserve">Normal brittle upper crust </w:t>
            </w:r>
            <w:r w:rsidRPr="00BD0BFF">
              <w:rPr>
                <w:rFonts w:ascii="Times-Roman" w:hAnsi="Times-Roman" w:cs="Times-Roman"/>
                <w:lang w:bidi="ar-SA"/>
              </w:rPr>
              <w:t>thickness</w:t>
            </w:r>
            <w:r w:rsidRPr="00BD0BFF">
              <w:t xml:space="preserve"> </w:t>
            </w:r>
            <w:r>
              <w:t>(</w:t>
            </w:r>
            <w:proofErr w:type="spellStart"/>
            <w:r w:rsidR="00B5541C" w:rsidRPr="00BD0BFF">
              <w:t>h</w:t>
            </w:r>
            <w:r w:rsidR="00B5541C" w:rsidRPr="00BD0BFF">
              <w:rPr>
                <w:vertAlign w:val="subscript"/>
              </w:rPr>
              <w:t>uc</w:t>
            </w:r>
            <w:proofErr w:type="spellEnd"/>
            <w:r>
              <w:rPr>
                <w:vertAlign w:val="subscript"/>
              </w:rPr>
              <w:t xml:space="preserve"> </w:t>
            </w:r>
            <w:r w:rsidR="00B5541C" w:rsidRPr="00BD0BFF">
              <w:t>(km)</w:t>
            </w:r>
            <w:r>
              <w:t>)</w:t>
            </w:r>
          </w:p>
        </w:tc>
        <w:tc>
          <w:tcPr>
            <w:tcW w:w="4148" w:type="dxa"/>
          </w:tcPr>
          <w:p w14:paraId="4781D789" w14:textId="530790FA" w:rsidR="00B5541C" w:rsidRPr="00B5541C" w:rsidRDefault="00B5541C" w:rsidP="00BD0BFF">
            <w:pPr>
              <w:bidi w:val="0"/>
              <w:spacing w:line="360" w:lineRule="auto"/>
              <w:jc w:val="both"/>
              <w:rPr>
                <w:sz w:val="24"/>
                <w:szCs w:val="24"/>
              </w:rPr>
            </w:pPr>
            <w:r w:rsidRPr="00B5541C">
              <w:rPr>
                <w:sz w:val="24"/>
                <w:szCs w:val="24"/>
              </w:rPr>
              <w:t>10</w:t>
            </w:r>
          </w:p>
        </w:tc>
      </w:tr>
      <w:tr w:rsidR="00B5541C" w14:paraId="2AE6D1F3" w14:textId="77777777" w:rsidTr="00BD0BFF">
        <w:tc>
          <w:tcPr>
            <w:tcW w:w="4603" w:type="dxa"/>
          </w:tcPr>
          <w:p w14:paraId="54BEB9B0" w14:textId="25E98C2D" w:rsidR="00B5541C" w:rsidRPr="00B5541C" w:rsidRDefault="00BD0BFF" w:rsidP="00BD0BFF">
            <w:pPr>
              <w:bidi w:val="0"/>
              <w:spacing w:line="360" w:lineRule="auto"/>
              <w:jc w:val="both"/>
              <w:rPr>
                <w:sz w:val="24"/>
                <w:szCs w:val="24"/>
              </w:rPr>
            </w:pPr>
            <w:r>
              <w:rPr>
                <w:sz w:val="24"/>
                <w:szCs w:val="24"/>
              </w:rPr>
              <w:t xml:space="preserve">Mountain slope length </w:t>
            </w:r>
            <w:r w:rsidR="00B5541C" w:rsidRPr="00B5541C">
              <w:rPr>
                <w:sz w:val="24"/>
                <w:szCs w:val="24"/>
              </w:rPr>
              <w:t>W (km)</w:t>
            </w:r>
            <w:r>
              <w:rPr>
                <w:sz w:val="24"/>
                <w:szCs w:val="24"/>
              </w:rPr>
              <w:t xml:space="preserve"> </w:t>
            </w:r>
          </w:p>
        </w:tc>
        <w:tc>
          <w:tcPr>
            <w:tcW w:w="4148" w:type="dxa"/>
          </w:tcPr>
          <w:p w14:paraId="33E6736C" w14:textId="143D031D" w:rsidR="00B5541C" w:rsidRPr="00B5541C" w:rsidRDefault="00B5541C" w:rsidP="00BD0BFF">
            <w:pPr>
              <w:bidi w:val="0"/>
              <w:spacing w:line="360" w:lineRule="auto"/>
              <w:jc w:val="both"/>
              <w:rPr>
                <w:sz w:val="24"/>
                <w:szCs w:val="24"/>
              </w:rPr>
            </w:pPr>
            <w:r w:rsidRPr="00B5541C">
              <w:rPr>
                <w:sz w:val="24"/>
                <w:szCs w:val="24"/>
              </w:rPr>
              <w:t>100</w:t>
            </w:r>
          </w:p>
        </w:tc>
      </w:tr>
      <w:tr w:rsidR="00B5541C" w14:paraId="355AF931" w14:textId="77777777" w:rsidTr="00BD0BFF">
        <w:tc>
          <w:tcPr>
            <w:tcW w:w="4603" w:type="dxa"/>
          </w:tcPr>
          <w:p w14:paraId="74111757" w14:textId="255C3954" w:rsidR="00B5541C" w:rsidRPr="00B5541C" w:rsidRDefault="00BD0BFF" w:rsidP="00BD0BFF">
            <w:pPr>
              <w:bidi w:val="0"/>
              <w:spacing w:line="360" w:lineRule="auto"/>
              <w:jc w:val="both"/>
              <w:rPr>
                <w:sz w:val="24"/>
                <w:szCs w:val="24"/>
              </w:rPr>
            </w:pPr>
            <w:r>
              <w:rPr>
                <w:rFonts w:eastAsiaTheme="minorEastAsia"/>
              </w:rPr>
              <w:t>Fault friction (</w:t>
            </w:r>
            <w:r w:rsidR="00B5541C" w:rsidRPr="00B5541C">
              <w:rPr>
                <w:rFonts w:eastAsiaTheme="minorEastAsia"/>
              </w:rPr>
              <w:t>μ</w:t>
            </w:r>
            <w:r>
              <w:rPr>
                <w:rFonts w:eastAsiaTheme="minorEastAsia"/>
              </w:rPr>
              <w:t>)</w:t>
            </w:r>
          </w:p>
        </w:tc>
        <w:tc>
          <w:tcPr>
            <w:tcW w:w="4148" w:type="dxa"/>
          </w:tcPr>
          <w:p w14:paraId="4EB94A0F" w14:textId="6EC8D598" w:rsidR="00B5541C" w:rsidRPr="00B5541C" w:rsidRDefault="00B5541C" w:rsidP="00BD0BFF">
            <w:pPr>
              <w:bidi w:val="0"/>
              <w:spacing w:line="360" w:lineRule="auto"/>
              <w:jc w:val="both"/>
              <w:rPr>
                <w:sz w:val="24"/>
                <w:szCs w:val="24"/>
              </w:rPr>
            </w:pPr>
            <w:r w:rsidRPr="00B5541C">
              <w:rPr>
                <w:sz w:val="24"/>
                <w:szCs w:val="24"/>
              </w:rPr>
              <w:t>0.6</w:t>
            </w:r>
            <w:r w:rsidR="00BD0BFF">
              <w:rPr>
                <w:sz w:val="24"/>
                <w:szCs w:val="24"/>
              </w:rPr>
              <w:t xml:space="preserve"> </w:t>
            </w:r>
          </w:p>
        </w:tc>
      </w:tr>
      <w:tr w:rsidR="00BD0BFF" w14:paraId="308D0987" w14:textId="77777777" w:rsidTr="00BD0BFF">
        <w:tc>
          <w:tcPr>
            <w:tcW w:w="4603" w:type="dxa"/>
          </w:tcPr>
          <w:p w14:paraId="263D0C24" w14:textId="69601C39" w:rsidR="00BD0BFF" w:rsidRPr="00BD0BFF" w:rsidRDefault="00BD0BFF" w:rsidP="00BD0BFF">
            <w:pPr>
              <w:bidi w:val="0"/>
              <w:spacing w:line="360" w:lineRule="auto"/>
              <w:jc w:val="both"/>
              <w:rPr>
                <w:rFonts w:eastAsiaTheme="minorEastAsia"/>
                <w:vertAlign w:val="superscript"/>
              </w:rPr>
            </w:pPr>
            <w:r w:rsidRPr="00B5541C">
              <w:rPr>
                <w:rFonts w:eastAsiaTheme="minorEastAsia"/>
              </w:rPr>
              <w:t>μ</w:t>
            </w:r>
            <w:r>
              <w:rPr>
                <w:rFonts w:eastAsiaTheme="minorEastAsia"/>
                <w:vertAlign w:val="superscript"/>
              </w:rPr>
              <w:t>*</w:t>
            </w:r>
          </w:p>
        </w:tc>
        <w:tc>
          <w:tcPr>
            <w:tcW w:w="4148" w:type="dxa"/>
          </w:tcPr>
          <w:p w14:paraId="0F079287" w14:textId="64660B3F" w:rsidR="00BD0BFF" w:rsidRPr="00B5541C" w:rsidRDefault="00BD0BFF" w:rsidP="00BD0BFF">
            <w:pPr>
              <w:bidi w:val="0"/>
              <w:spacing w:line="360" w:lineRule="auto"/>
              <w:jc w:val="both"/>
              <w:rPr>
                <w:sz w:val="24"/>
                <w:szCs w:val="24"/>
              </w:rPr>
            </w:pPr>
            <w:r>
              <w:rPr>
                <w:sz w:val="24"/>
                <w:szCs w:val="24"/>
              </w:rPr>
              <w:t xml:space="preserve"> 0.33 </w:t>
            </w:r>
            <w:r w:rsidRPr="00BD0BFF">
              <w:rPr>
                <w:rFonts w:eastAsiaTheme="minorEastAsia"/>
              </w:rPr>
              <w:t>(</w:t>
            </w:r>
            <w:r w:rsidRPr="000018CE">
              <w:t>calculated</w:t>
            </w:r>
            <w:r w:rsidRPr="000018CE">
              <w:rPr>
                <w:rFonts w:eastAsiaTheme="minorEastAsia"/>
              </w:rPr>
              <w:t xml:space="preserve"> using s eq. </w:t>
            </w:r>
            <w:r w:rsidR="000018CE" w:rsidRPr="000018CE">
              <w:rPr>
                <w:rFonts w:eastAsiaTheme="minorEastAsia"/>
              </w:rPr>
              <w:t>6 in the main text</w:t>
            </w:r>
            <w:r w:rsidRPr="000018CE">
              <w:rPr>
                <w:rFonts w:eastAsiaTheme="minorEastAsia"/>
              </w:rPr>
              <w:t>)</w:t>
            </w:r>
          </w:p>
        </w:tc>
      </w:tr>
      <w:tr w:rsidR="00B5541C" w14:paraId="2EEB2E72" w14:textId="77777777" w:rsidTr="00BD0BFF">
        <w:tc>
          <w:tcPr>
            <w:tcW w:w="4603" w:type="dxa"/>
          </w:tcPr>
          <w:p w14:paraId="7E169B2C" w14:textId="107A00BA" w:rsidR="00B5541C" w:rsidRPr="00B5541C" w:rsidRDefault="00BD0BFF" w:rsidP="00BD0BFF">
            <w:pPr>
              <w:bidi w:val="0"/>
              <w:spacing w:line="360" w:lineRule="auto"/>
              <w:jc w:val="both"/>
              <w:rPr>
                <w:sz w:val="24"/>
                <w:szCs w:val="24"/>
              </w:rPr>
            </w:pPr>
            <w:r>
              <w:rPr>
                <w:rFonts w:eastAsiaTheme="minorEastAsia"/>
              </w:rPr>
              <w:t>Pore pressure ratio (</w:t>
            </w:r>
            <w:r w:rsidR="00B5541C" w:rsidRPr="00B5541C">
              <w:rPr>
                <w:rFonts w:eastAsiaTheme="minorEastAsia"/>
              </w:rPr>
              <w:t>λ</w:t>
            </w:r>
            <w:r>
              <w:rPr>
                <w:rFonts w:eastAsiaTheme="minorEastAsia"/>
              </w:rPr>
              <w:t xml:space="preserve">)  </w:t>
            </w:r>
          </w:p>
        </w:tc>
        <w:tc>
          <w:tcPr>
            <w:tcW w:w="4148" w:type="dxa"/>
          </w:tcPr>
          <w:p w14:paraId="444BE709" w14:textId="1252D708" w:rsidR="00B5541C" w:rsidRPr="00B5541C" w:rsidRDefault="00B5541C" w:rsidP="00BD0BFF">
            <w:pPr>
              <w:bidi w:val="0"/>
              <w:spacing w:line="360" w:lineRule="auto"/>
              <w:jc w:val="both"/>
              <w:rPr>
                <w:sz w:val="24"/>
                <w:szCs w:val="24"/>
              </w:rPr>
            </w:pPr>
            <w:r w:rsidRPr="00B5541C">
              <w:rPr>
                <w:sz w:val="24"/>
                <w:szCs w:val="24"/>
              </w:rPr>
              <w:t>0.4</w:t>
            </w:r>
          </w:p>
        </w:tc>
      </w:tr>
      <w:tr w:rsidR="00BD0BFF" w14:paraId="07D24A0F" w14:textId="77777777" w:rsidTr="00BD0BFF">
        <w:tc>
          <w:tcPr>
            <w:tcW w:w="4603" w:type="dxa"/>
          </w:tcPr>
          <w:p w14:paraId="3DD50AF1" w14:textId="4FB25722" w:rsidR="00BD0BFF" w:rsidRPr="00B5541C" w:rsidRDefault="00000000" w:rsidP="00BD0BFF">
            <w:pPr>
              <w:bidi w:val="0"/>
              <w:spacing w:line="360" w:lineRule="auto"/>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m:rPr>
                    <m:sty m:val="bi"/>
                  </m:rPr>
                  <w:rPr>
                    <w:rFonts w:ascii="Cambria Math" w:hAnsi="Cambria Math"/>
                  </w:rPr>
                  <m:t>=</m:t>
                </m:r>
                <m:d>
                  <m:dPr>
                    <m:ctrlPr>
                      <w:rPr>
                        <w:rFonts w:ascii="Cambria Math" w:hAnsi="Cambria Math"/>
                        <w:b/>
                        <w:bCs/>
                      </w:rPr>
                    </m:ctrlPr>
                  </m:dPr>
                  <m:e>
                    <m:r>
                      <m:rPr>
                        <m:sty m:val="b"/>
                      </m:rPr>
                      <w:rPr>
                        <w:rFonts w:ascii="Cambria Math" w:hAnsi="Cambria Math"/>
                      </w:rPr>
                      <m:t>1-λ</m:t>
                    </m:r>
                  </m:e>
                </m:d>
                <m:sSup>
                  <m:sSupPr>
                    <m:ctrlPr>
                      <w:rPr>
                        <w:rFonts w:ascii="Cambria Math" w:hAnsi="Cambria Math"/>
                        <w:b/>
                        <w:bCs/>
                      </w:rPr>
                    </m:ctrlPr>
                  </m:sSupPr>
                  <m:e>
                    <m:r>
                      <m:rPr>
                        <m:sty m:val="b"/>
                      </m:rPr>
                      <w:rPr>
                        <w:rFonts w:ascii="Cambria Math" w:hAnsi="Cambria Math"/>
                      </w:rPr>
                      <m:t>μ</m:t>
                    </m:r>
                  </m:e>
                  <m:sup>
                    <m:r>
                      <m:rPr>
                        <m:sty m:val="b"/>
                      </m:rPr>
                      <w:rPr>
                        <w:rFonts w:ascii="Cambria Math" w:hAnsi="Cambria Math"/>
                      </w:rPr>
                      <m:t>*</m:t>
                    </m:r>
                  </m:sup>
                </m:sSup>
              </m:oMath>
            </m:oMathPara>
          </w:p>
        </w:tc>
        <w:tc>
          <w:tcPr>
            <w:tcW w:w="4148" w:type="dxa"/>
          </w:tcPr>
          <w:p w14:paraId="311182C3" w14:textId="3F76AADD" w:rsidR="00BD0BFF" w:rsidRPr="00B5541C" w:rsidRDefault="00BD0BFF" w:rsidP="00BD0BFF">
            <w:pPr>
              <w:bidi w:val="0"/>
              <w:spacing w:line="360" w:lineRule="auto"/>
              <w:jc w:val="both"/>
              <w:rPr>
                <w:sz w:val="24"/>
                <w:szCs w:val="24"/>
              </w:rPr>
            </w:pPr>
            <w:r w:rsidRPr="00BD0BFF">
              <w:rPr>
                <w:sz w:val="24"/>
                <w:szCs w:val="24"/>
              </w:rPr>
              <w:t>0.198</w:t>
            </w:r>
          </w:p>
        </w:tc>
      </w:tr>
      <w:tr w:rsidR="00B5541C" w14:paraId="03873EEE" w14:textId="77777777" w:rsidTr="00BD0BFF">
        <w:tc>
          <w:tcPr>
            <w:tcW w:w="4603" w:type="dxa"/>
          </w:tcPr>
          <w:p w14:paraId="6BF9EB2E" w14:textId="30AE1840" w:rsidR="00B5541C" w:rsidRPr="00B5541C" w:rsidRDefault="00B5541C" w:rsidP="00BD0BFF">
            <w:pPr>
              <w:bidi w:val="0"/>
              <w:spacing w:line="360" w:lineRule="auto"/>
              <w:jc w:val="both"/>
              <w:rPr>
                <w:rFonts w:eastAsiaTheme="minorEastAsia"/>
              </w:rPr>
            </w:pPr>
            <w:proofErr w:type="spellStart"/>
            <w:r w:rsidRPr="00B5541C">
              <w:rPr>
                <w:rFonts w:eastAsiaTheme="minorEastAsia"/>
              </w:rPr>
              <w:t>h</w:t>
            </w:r>
            <w:r w:rsidRPr="00B5541C">
              <w:rPr>
                <w:rFonts w:eastAsiaTheme="minorEastAsia"/>
                <w:vertAlign w:val="subscript"/>
              </w:rPr>
              <w:t>min</w:t>
            </w:r>
            <w:proofErr w:type="spellEnd"/>
            <w:r w:rsidRPr="00B5541C">
              <w:rPr>
                <w:rFonts w:eastAsiaTheme="minorEastAsia"/>
              </w:rPr>
              <w:t>(m)</w:t>
            </w:r>
          </w:p>
        </w:tc>
        <w:tc>
          <w:tcPr>
            <w:tcW w:w="4148" w:type="dxa"/>
          </w:tcPr>
          <w:p w14:paraId="6DC040EA" w14:textId="6AD065B4" w:rsidR="00B5541C" w:rsidRPr="00BD0BFF" w:rsidRDefault="00B5541C" w:rsidP="00BD0BFF">
            <w:pPr>
              <w:bidi w:val="0"/>
              <w:spacing w:line="360" w:lineRule="auto"/>
              <w:jc w:val="both"/>
              <w:rPr>
                <w:sz w:val="24"/>
                <w:szCs w:val="24"/>
              </w:rPr>
            </w:pPr>
            <w:r w:rsidRPr="00BD0BFF">
              <w:rPr>
                <w:rFonts w:eastAsiaTheme="minorEastAsia"/>
              </w:rPr>
              <w:t xml:space="preserve">800 </w:t>
            </w:r>
            <w:r w:rsidR="00BD0BFF" w:rsidRPr="00BD0BFF">
              <w:rPr>
                <w:rFonts w:eastAsiaTheme="minorEastAsia"/>
              </w:rPr>
              <w:t>(</w:t>
            </w:r>
            <w:r w:rsidR="00BD0BFF" w:rsidRPr="00BD0BFF">
              <w:t>calculated</w:t>
            </w:r>
            <w:r w:rsidR="00BD0BFF" w:rsidRPr="00BD0BFF">
              <w:rPr>
                <w:rFonts w:eastAsiaTheme="minorEastAsia"/>
              </w:rPr>
              <w:t xml:space="preserve"> </w:t>
            </w:r>
            <w:r w:rsidR="00BD0BFF" w:rsidRPr="00B11731">
              <w:rPr>
                <w:rFonts w:eastAsiaTheme="minorEastAsia"/>
              </w:rPr>
              <w:t xml:space="preserve">using eq. </w:t>
            </w:r>
            <w:r w:rsidR="00B11731" w:rsidRPr="00B11731">
              <w:rPr>
                <w:rFonts w:eastAsiaTheme="minorEastAsia"/>
              </w:rPr>
              <w:t>18</w:t>
            </w:r>
            <w:r w:rsidRPr="00B11731">
              <w:rPr>
                <w:rFonts w:eastAsiaTheme="minorEastAsia"/>
              </w:rPr>
              <w:t>)</w:t>
            </w:r>
          </w:p>
        </w:tc>
      </w:tr>
      <w:tr w:rsidR="00BD0BFF" w14:paraId="512BFFD9" w14:textId="77777777" w:rsidTr="00BD0BFF">
        <w:tc>
          <w:tcPr>
            <w:tcW w:w="4603" w:type="dxa"/>
          </w:tcPr>
          <w:p w14:paraId="5F46E0FE" w14:textId="3EA5D8DB" w:rsidR="00BD0BFF" w:rsidRPr="00B5541C" w:rsidRDefault="00BD0BFF" w:rsidP="00BD0BFF">
            <w:pPr>
              <w:bidi w:val="0"/>
              <w:spacing w:line="360" w:lineRule="auto"/>
              <w:jc w:val="both"/>
              <w:rPr>
                <w:rFonts w:eastAsiaTheme="minorEastAsia"/>
              </w:rPr>
            </w:pPr>
            <w:r w:rsidRPr="00BD0BFF">
              <w:rPr>
                <w:rFonts w:eastAsiaTheme="minorEastAsia"/>
              </w:rPr>
              <w:t>Average surface heat flow</w:t>
            </w:r>
          </w:p>
        </w:tc>
        <w:tc>
          <w:tcPr>
            <w:tcW w:w="4148" w:type="dxa"/>
          </w:tcPr>
          <w:p w14:paraId="3D3263D0" w14:textId="7600F760" w:rsidR="00BD0BFF" w:rsidRPr="00BD0BFF" w:rsidRDefault="00BD0BFF" w:rsidP="00BD0BFF">
            <w:pPr>
              <w:bidi w:val="0"/>
              <w:spacing w:line="360" w:lineRule="auto"/>
              <w:jc w:val="both"/>
              <w:rPr>
                <w:rFonts w:eastAsiaTheme="minorEastAsia"/>
              </w:rPr>
            </w:pPr>
            <w:r w:rsidRPr="00A5591A">
              <w:t xml:space="preserve">50 </w:t>
            </w:r>
            <w:proofErr w:type="spellStart"/>
            <w:r w:rsidRPr="00A5591A">
              <w:t>m·W</w:t>
            </w:r>
            <w:proofErr w:type="spellEnd"/>
            <w:r w:rsidRPr="00A5591A">
              <w:t>/m²</w:t>
            </w:r>
          </w:p>
        </w:tc>
      </w:tr>
      <w:tr w:rsidR="00BD0BFF" w14:paraId="18006C08" w14:textId="77777777" w:rsidTr="00BD0BFF">
        <w:tc>
          <w:tcPr>
            <w:tcW w:w="4603" w:type="dxa"/>
          </w:tcPr>
          <w:p w14:paraId="4106571B" w14:textId="30E48FB7" w:rsidR="00BD0BFF" w:rsidRPr="00BD0BFF" w:rsidRDefault="00BD0BFF" w:rsidP="00BD0BFF">
            <w:pPr>
              <w:bidi w:val="0"/>
              <w:spacing w:line="360" w:lineRule="auto"/>
              <w:jc w:val="both"/>
              <w:rPr>
                <w:rFonts w:eastAsiaTheme="minorEastAsia"/>
              </w:rPr>
            </w:pPr>
            <w:r>
              <w:t>S</w:t>
            </w:r>
            <w:r w:rsidRPr="00A5591A">
              <w:t>urface temperature</w:t>
            </w:r>
          </w:p>
        </w:tc>
        <w:tc>
          <w:tcPr>
            <w:tcW w:w="4148" w:type="dxa"/>
          </w:tcPr>
          <w:p w14:paraId="2B488419" w14:textId="0FD4BFD3" w:rsidR="00BD0BFF" w:rsidRPr="00A5591A" w:rsidRDefault="00BD0BFF" w:rsidP="00BD0BFF">
            <w:pPr>
              <w:bidi w:val="0"/>
              <w:spacing w:line="360" w:lineRule="auto"/>
              <w:jc w:val="both"/>
            </w:pPr>
            <w:r w:rsidRPr="00A5591A">
              <w:t>10°C</w:t>
            </w:r>
          </w:p>
        </w:tc>
      </w:tr>
      <w:tr w:rsidR="00BD0BFF" w14:paraId="36DC4CB7" w14:textId="77777777" w:rsidTr="00BD0BFF">
        <w:tc>
          <w:tcPr>
            <w:tcW w:w="4603" w:type="dxa"/>
          </w:tcPr>
          <w:p w14:paraId="1A20499F" w14:textId="662CF351" w:rsidR="00BD0BFF" w:rsidRDefault="00BD0BFF" w:rsidP="00BD0BFF">
            <w:pPr>
              <w:bidi w:val="0"/>
              <w:spacing w:line="360" w:lineRule="auto"/>
              <w:jc w:val="both"/>
            </w:pPr>
            <w:r>
              <w:t>T</w:t>
            </w:r>
            <w:r w:rsidRPr="00A5591A">
              <w:t>hermal conductivity</w:t>
            </w:r>
          </w:p>
        </w:tc>
        <w:tc>
          <w:tcPr>
            <w:tcW w:w="4148" w:type="dxa"/>
          </w:tcPr>
          <w:p w14:paraId="63B521BD" w14:textId="11906269" w:rsidR="00BD0BFF" w:rsidRPr="00A5591A" w:rsidRDefault="00BD0BFF" w:rsidP="00BD0BFF">
            <w:pPr>
              <w:bidi w:val="0"/>
              <w:spacing w:line="360" w:lineRule="auto"/>
              <w:jc w:val="both"/>
            </w:pPr>
            <w:r w:rsidRPr="00A5591A">
              <w:t>2.5 J/</w:t>
            </w:r>
            <w:proofErr w:type="spellStart"/>
            <w:r w:rsidRPr="00A5591A">
              <w:t>s·m·K</w:t>
            </w:r>
            <w:proofErr w:type="spellEnd"/>
          </w:p>
        </w:tc>
      </w:tr>
      <w:tr w:rsidR="00BD0BFF" w14:paraId="76673687" w14:textId="77777777" w:rsidTr="00BD0BFF">
        <w:tc>
          <w:tcPr>
            <w:tcW w:w="4603" w:type="dxa"/>
          </w:tcPr>
          <w:p w14:paraId="2B814A67" w14:textId="757C3EAC" w:rsidR="00BD0BFF" w:rsidRDefault="00BD0BFF" w:rsidP="00BD0BFF">
            <w:pPr>
              <w:bidi w:val="0"/>
              <w:spacing w:line="360" w:lineRule="auto"/>
              <w:jc w:val="both"/>
            </w:pPr>
            <w:r>
              <w:t>C</w:t>
            </w:r>
            <w:r w:rsidRPr="00A5591A">
              <w:t>rustal heat production</w:t>
            </w:r>
          </w:p>
        </w:tc>
        <w:tc>
          <w:tcPr>
            <w:tcW w:w="4148" w:type="dxa"/>
          </w:tcPr>
          <w:p w14:paraId="1A1017A1" w14:textId="0A6BBFD6" w:rsidR="00BD0BFF" w:rsidRPr="00A5591A" w:rsidRDefault="00BD0BFF" w:rsidP="00BD0BFF">
            <w:pPr>
              <w:bidi w:val="0"/>
              <w:spacing w:line="360" w:lineRule="auto"/>
              <w:jc w:val="both"/>
            </w:pPr>
            <w:r w:rsidRPr="00A5591A">
              <w:t>1×10⁻⁶ W/m³</w:t>
            </w:r>
          </w:p>
        </w:tc>
      </w:tr>
    </w:tbl>
    <w:p w14:paraId="602E82C3" w14:textId="77777777" w:rsidR="00F102AF" w:rsidRDefault="00F102AF" w:rsidP="00F102AF">
      <w:pPr>
        <w:bidi w:val="0"/>
        <w:spacing w:line="360" w:lineRule="auto"/>
        <w:jc w:val="both"/>
        <w:rPr>
          <w:rFonts w:ascii="Times-Roman" w:hAnsi="Times-Roman" w:cs="Times-Roman"/>
          <w:lang w:bidi="ar-SA"/>
        </w:rPr>
      </w:pPr>
    </w:p>
    <w:p w14:paraId="1176D6EE" w14:textId="0C7DC6A2" w:rsidR="00F102AF" w:rsidRDefault="00F102AF" w:rsidP="00213570">
      <w:pPr>
        <w:bidi w:val="0"/>
        <w:spacing w:line="360" w:lineRule="auto"/>
        <w:jc w:val="both"/>
        <w:rPr>
          <w:rFonts w:ascii="Times-Roman" w:hAnsi="Times-Roman" w:cs="Times-Roman"/>
          <w:lang w:bidi="ar-SA"/>
        </w:rPr>
      </w:pPr>
      <w:r w:rsidRPr="00B5541C">
        <w:rPr>
          <w:b/>
          <w:bCs/>
        </w:rPr>
        <w:t>Supplementary Table 4:</w:t>
      </w:r>
      <w:r w:rsidRPr="00B5541C">
        <w:rPr>
          <w:rFonts w:ascii="Times-Roman" w:hAnsi="Times-Roman" w:cs="Times-Roman"/>
          <w:lang w:bidi="ar-SA"/>
        </w:rPr>
        <w:t xml:space="preserve"> parameters used for modeling the strain vs. topography in fig</w:t>
      </w:r>
      <w:r>
        <w:rPr>
          <w:rFonts w:ascii="Times-Roman" w:hAnsi="Times-Roman" w:cs="Times-Roman"/>
          <w:lang w:bidi="ar-SA"/>
        </w:rPr>
        <w:t>.</w:t>
      </w:r>
      <w:r w:rsidRPr="00B5541C">
        <w:rPr>
          <w:rFonts w:ascii="Times-Roman" w:hAnsi="Times-Roman" w:cs="Times-Roman"/>
          <w:lang w:bidi="ar-SA"/>
        </w:rPr>
        <w:t xml:space="preserve"> 4</w:t>
      </w:r>
      <w:r>
        <w:rPr>
          <w:rFonts w:ascii="Times-Roman" w:hAnsi="Times-Roman" w:cs="Times-Roman"/>
          <w:lang w:bidi="ar-SA"/>
        </w:rPr>
        <w:t xml:space="preserve">. </w:t>
      </w:r>
    </w:p>
    <w:tbl>
      <w:tblPr>
        <w:tblStyle w:val="TableGrid"/>
        <w:tblW w:w="10152" w:type="dxa"/>
        <w:jc w:val="center"/>
        <w:tblLook w:val="04A0" w:firstRow="1" w:lastRow="0" w:firstColumn="1" w:lastColumn="0" w:noHBand="0" w:noVBand="1"/>
      </w:tblPr>
      <w:tblGrid>
        <w:gridCol w:w="2785"/>
        <w:gridCol w:w="1517"/>
        <w:gridCol w:w="720"/>
        <w:gridCol w:w="1260"/>
        <w:gridCol w:w="1620"/>
        <w:gridCol w:w="2250"/>
      </w:tblGrid>
      <w:tr w:rsidR="00ED6B3D" w14:paraId="6D46E163" w14:textId="09B6F3E8" w:rsidTr="005915F2">
        <w:trPr>
          <w:jc w:val="center"/>
        </w:trPr>
        <w:tc>
          <w:tcPr>
            <w:tcW w:w="2785" w:type="dxa"/>
          </w:tcPr>
          <w:p w14:paraId="7E96BEA5" w14:textId="37E347B4" w:rsidR="00ED6B3D" w:rsidRPr="005915F2" w:rsidRDefault="00ED6B3D" w:rsidP="00ED6B3D">
            <w:pPr>
              <w:bidi w:val="0"/>
              <w:spacing w:line="360" w:lineRule="auto"/>
              <w:jc w:val="both"/>
              <w:rPr>
                <w:sz w:val="20"/>
                <w:szCs w:val="20"/>
              </w:rPr>
            </w:pPr>
            <w:r w:rsidRPr="005915F2">
              <w:rPr>
                <w:rFonts w:ascii="Times-Roman" w:hAnsi="Times-Roman" w:cs="Times-Roman"/>
                <w:sz w:val="20"/>
                <w:szCs w:val="20"/>
                <w:lang w:bidi="ar-SA"/>
              </w:rPr>
              <w:t>Material</w:t>
            </w:r>
          </w:p>
        </w:tc>
        <w:tc>
          <w:tcPr>
            <w:tcW w:w="1517" w:type="dxa"/>
          </w:tcPr>
          <w:p w14:paraId="781CCA68" w14:textId="055BAA87" w:rsidR="00ED6B3D" w:rsidRPr="005915F2" w:rsidRDefault="00ED6B3D" w:rsidP="00ED6B3D">
            <w:pPr>
              <w:bidi w:val="0"/>
              <w:spacing w:line="360" w:lineRule="auto"/>
              <w:jc w:val="both"/>
              <w:rPr>
                <w:sz w:val="20"/>
                <w:szCs w:val="20"/>
              </w:rPr>
            </w:pPr>
            <w:r w:rsidRPr="005915F2">
              <w:rPr>
                <w:rFonts w:ascii="Times-Roman" w:hAnsi="Times-Roman" w:cs="Times-Roman"/>
                <w:sz w:val="20"/>
                <w:szCs w:val="20"/>
                <w:lang w:bidi="ar-SA"/>
              </w:rPr>
              <w:t>A (MPa</w:t>
            </w:r>
            <w:r w:rsidRPr="005915F2">
              <w:rPr>
                <w:rFonts w:ascii="Arial" w:eastAsia="MTSY" w:hAnsi="Arial" w:cs="Arial"/>
                <w:sz w:val="20"/>
                <w:szCs w:val="20"/>
                <w:vertAlign w:val="superscript"/>
                <w:lang w:bidi="ar-SA"/>
              </w:rPr>
              <w:t>−</w:t>
            </w:r>
            <w:r w:rsidRPr="005915F2">
              <w:rPr>
                <w:rFonts w:ascii="Times-Roman" w:hAnsi="Times-Roman" w:cs="Times-Roman"/>
                <w:sz w:val="20"/>
                <w:szCs w:val="20"/>
                <w:vertAlign w:val="superscript"/>
                <w:lang w:bidi="ar-SA"/>
              </w:rPr>
              <w:t>n</w:t>
            </w:r>
            <w:r w:rsidRPr="005915F2">
              <w:rPr>
                <w:rFonts w:ascii="Times-Roman" w:hAnsi="Times-Roman" w:cs="Times-Roman"/>
                <w:sz w:val="20"/>
                <w:szCs w:val="20"/>
                <w:lang w:bidi="ar-SA"/>
              </w:rPr>
              <w:t xml:space="preserve"> s</w:t>
            </w:r>
            <w:r w:rsidRPr="005915F2">
              <w:rPr>
                <w:rFonts w:ascii="Arial" w:eastAsia="MTSY" w:hAnsi="Arial" w:cs="Arial"/>
                <w:sz w:val="20"/>
                <w:szCs w:val="20"/>
                <w:vertAlign w:val="superscript"/>
                <w:lang w:bidi="ar-SA"/>
              </w:rPr>
              <w:t>−</w:t>
            </w:r>
            <w:r w:rsidRPr="005915F2">
              <w:rPr>
                <w:rFonts w:ascii="Times-Roman" w:hAnsi="Times-Roman" w:cs="Times-Roman"/>
                <w:sz w:val="20"/>
                <w:szCs w:val="20"/>
                <w:vertAlign w:val="superscript"/>
                <w:lang w:bidi="ar-SA"/>
              </w:rPr>
              <w:t>1</w:t>
            </w:r>
            <w:r w:rsidRPr="005915F2">
              <w:rPr>
                <w:rFonts w:ascii="Times-Roman" w:hAnsi="Times-Roman" w:cs="Times-Roman"/>
                <w:sz w:val="20"/>
                <w:szCs w:val="20"/>
                <w:lang w:bidi="ar-SA"/>
              </w:rPr>
              <w:t>)</w:t>
            </w:r>
          </w:p>
        </w:tc>
        <w:tc>
          <w:tcPr>
            <w:tcW w:w="720" w:type="dxa"/>
          </w:tcPr>
          <w:p w14:paraId="038DEB66" w14:textId="0F86FFC5" w:rsidR="00ED6B3D" w:rsidRPr="005915F2" w:rsidRDefault="00ED6B3D" w:rsidP="00ED6B3D">
            <w:pPr>
              <w:bidi w:val="0"/>
              <w:spacing w:line="360" w:lineRule="auto"/>
              <w:jc w:val="both"/>
              <w:rPr>
                <w:sz w:val="20"/>
                <w:szCs w:val="20"/>
              </w:rPr>
            </w:pPr>
            <w:r w:rsidRPr="005915F2">
              <w:rPr>
                <w:sz w:val="20"/>
                <w:szCs w:val="20"/>
              </w:rPr>
              <w:t>n</w:t>
            </w:r>
          </w:p>
        </w:tc>
        <w:tc>
          <w:tcPr>
            <w:tcW w:w="1260" w:type="dxa"/>
          </w:tcPr>
          <w:p w14:paraId="768C6604" w14:textId="5AA65D76" w:rsidR="00ED6B3D" w:rsidRPr="005915F2" w:rsidRDefault="00ED6B3D" w:rsidP="00ED6B3D">
            <w:pPr>
              <w:bidi w:val="0"/>
              <w:spacing w:line="360" w:lineRule="auto"/>
              <w:jc w:val="both"/>
              <w:rPr>
                <w:sz w:val="20"/>
                <w:szCs w:val="20"/>
              </w:rPr>
            </w:pPr>
            <w:r w:rsidRPr="005915F2">
              <w:rPr>
                <w:sz w:val="20"/>
                <w:szCs w:val="20"/>
              </w:rPr>
              <w:t>Q (</w:t>
            </w:r>
            <w:r w:rsidRPr="005915F2">
              <w:rPr>
                <w:rFonts w:ascii="Times-Roman" w:hAnsi="Times-Roman" w:cs="Times-Roman"/>
                <w:sz w:val="20"/>
                <w:szCs w:val="20"/>
                <w:lang w:bidi="ar-SA"/>
              </w:rPr>
              <w:t>kJ mol</w:t>
            </w:r>
            <w:r w:rsidRPr="005915F2">
              <w:rPr>
                <w:rFonts w:ascii="Arial" w:eastAsia="MTSY" w:hAnsi="Arial" w:cs="Arial"/>
                <w:sz w:val="20"/>
                <w:szCs w:val="20"/>
                <w:vertAlign w:val="superscript"/>
                <w:lang w:bidi="ar-SA"/>
              </w:rPr>
              <w:t>−</w:t>
            </w:r>
            <w:r w:rsidRPr="005915F2">
              <w:rPr>
                <w:rFonts w:ascii="Times-Roman" w:hAnsi="Times-Roman" w:cs="Times-Roman"/>
                <w:sz w:val="20"/>
                <w:szCs w:val="20"/>
                <w:vertAlign w:val="superscript"/>
                <w:lang w:bidi="ar-SA"/>
              </w:rPr>
              <w:t>1</w:t>
            </w:r>
            <w:r w:rsidRPr="005915F2">
              <w:rPr>
                <w:rFonts w:ascii="Times-Roman" w:hAnsi="Times-Roman" w:cs="Times-Roman"/>
                <w:sz w:val="20"/>
                <w:szCs w:val="20"/>
                <w:lang w:bidi="ar-SA"/>
              </w:rPr>
              <w:t>)</w:t>
            </w:r>
          </w:p>
        </w:tc>
        <w:tc>
          <w:tcPr>
            <w:tcW w:w="1620" w:type="dxa"/>
          </w:tcPr>
          <w:p w14:paraId="091ABD1B" w14:textId="7B6F9212" w:rsidR="00ED6B3D" w:rsidRPr="005915F2" w:rsidRDefault="00000000" w:rsidP="00ED6B3D">
            <w:pPr>
              <w:bidi w:val="0"/>
              <w:spacing w:line="360" w:lineRule="auto"/>
              <w:jc w:val="both"/>
              <w:rPr>
                <w:sz w:val="20"/>
                <w:szCs w:val="20"/>
              </w:rPr>
            </w:pPr>
            <m:oMathPara>
              <m:oMath>
                <m:sSub>
                  <m:sSubPr>
                    <m:ctrlPr>
                      <w:rPr>
                        <w:rFonts w:ascii="Cambria Math" w:hAnsi="Cambria Math"/>
                        <w:i/>
                      </w:rPr>
                    </m:ctrlPr>
                  </m:sSubPr>
                  <m:e>
                    <m:r>
                      <w:rPr>
                        <w:rFonts w:ascii="Cambria Math" w:hAnsi="Cambria Math"/>
                      </w:rPr>
                      <m:t>h</m:t>
                    </m:r>
                  </m:e>
                  <m:sub>
                    <m:r>
                      <w:rPr>
                        <w:rFonts w:ascii="Cambria Math" w:hAnsi="Cambria Math"/>
                      </w:rPr>
                      <m:t>WCC</m:t>
                    </m:r>
                  </m:sub>
                </m:sSub>
                <m:r>
                  <w:rPr>
                    <w:rFonts w:ascii="Cambria Math" w:hAnsi="Cambria Math"/>
                  </w:rPr>
                  <m:t xml:space="preserve"> </m:t>
                </m:r>
                <m:d>
                  <m:dPr>
                    <m:begChr m:val="["/>
                    <m:endChr m:val="]"/>
                    <m:ctrlPr>
                      <w:rPr>
                        <w:rFonts w:ascii="Cambria Math" w:hAnsi="Cambria Math"/>
                        <w:i/>
                      </w:rPr>
                    </m:ctrlPr>
                  </m:dPr>
                  <m:e>
                    <m:r>
                      <w:rPr>
                        <w:rFonts w:ascii="Cambria Math" w:hAnsi="Cambria Math"/>
                      </w:rPr>
                      <m:t>km</m:t>
                    </m:r>
                  </m:e>
                </m:d>
              </m:oMath>
            </m:oMathPara>
          </w:p>
        </w:tc>
        <w:tc>
          <w:tcPr>
            <w:tcW w:w="2250" w:type="dxa"/>
          </w:tcPr>
          <w:p w14:paraId="4AB7C8DF" w14:textId="54418F63" w:rsidR="00ED6B3D" w:rsidRDefault="00000000" w:rsidP="00ED6B3D">
            <w:pPr>
              <w:bidi w:val="0"/>
              <w:spacing w:line="360" w:lineRule="auto"/>
              <w:jc w:val="both"/>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m:rPr>
                    <m:sty m:val="bi"/>
                  </m:rPr>
                  <w:rPr>
                    <w:rFonts w:ascii="Cambria Math" w:hAnsi="Cambria Math"/>
                  </w:rPr>
                  <m:t>=</m:t>
                </m:r>
                <m:d>
                  <m:dPr>
                    <m:ctrlPr>
                      <w:rPr>
                        <w:rFonts w:ascii="Cambria Math" w:hAnsi="Cambria Math"/>
                        <w:b/>
                        <w:bCs/>
                      </w:rPr>
                    </m:ctrlPr>
                  </m:dPr>
                  <m:e>
                    <m:r>
                      <m:rPr>
                        <m:sty m:val="b"/>
                      </m:rPr>
                      <w:rPr>
                        <w:rFonts w:ascii="Cambria Math" w:hAnsi="Cambria Math"/>
                      </w:rPr>
                      <m:t>1-λ</m:t>
                    </m:r>
                  </m:e>
                </m:d>
                <m:sSup>
                  <m:sSupPr>
                    <m:ctrlPr>
                      <w:rPr>
                        <w:rFonts w:ascii="Cambria Math" w:hAnsi="Cambria Math"/>
                        <w:b/>
                        <w:bCs/>
                      </w:rPr>
                    </m:ctrlPr>
                  </m:sSupPr>
                  <m:e>
                    <m:r>
                      <m:rPr>
                        <m:sty m:val="b"/>
                      </m:rPr>
                      <w:rPr>
                        <w:rFonts w:ascii="Cambria Math" w:hAnsi="Cambria Math"/>
                      </w:rPr>
                      <m:t>μ</m:t>
                    </m:r>
                  </m:e>
                  <m:sup>
                    <m:r>
                      <m:rPr>
                        <m:sty m:val="b"/>
                      </m:rPr>
                      <w:rPr>
                        <w:rFonts w:ascii="Cambria Math" w:hAnsi="Cambria Math"/>
                      </w:rPr>
                      <m:t>*</m:t>
                    </m:r>
                  </m:sup>
                </m:sSup>
              </m:oMath>
            </m:oMathPara>
          </w:p>
        </w:tc>
      </w:tr>
      <w:tr w:rsidR="0050354C" w14:paraId="0287E11C" w14:textId="07A1F8B1" w:rsidTr="005915F2">
        <w:trPr>
          <w:jc w:val="center"/>
        </w:trPr>
        <w:tc>
          <w:tcPr>
            <w:tcW w:w="2785" w:type="dxa"/>
          </w:tcPr>
          <w:p w14:paraId="5341732C" w14:textId="73E4764B" w:rsidR="0050354C" w:rsidRPr="005915F2" w:rsidRDefault="0050354C" w:rsidP="0050354C">
            <w:pPr>
              <w:bidi w:val="0"/>
              <w:spacing w:line="360" w:lineRule="auto"/>
              <w:jc w:val="both"/>
              <w:rPr>
                <w:sz w:val="20"/>
                <w:szCs w:val="20"/>
              </w:rPr>
            </w:pPr>
            <w:r>
              <w:rPr>
                <w:rFonts w:ascii="Times-Roman" w:hAnsi="Times-Roman" w:cs="Times-Roman"/>
                <w:sz w:val="20"/>
                <w:szCs w:val="20"/>
                <w:lang w:bidi="ar-SA"/>
              </w:rPr>
              <w:t>plagioclase An</w:t>
            </w:r>
            <w:r>
              <w:rPr>
                <w:rFonts w:ascii="Times-Roman" w:hAnsi="Times-Roman" w:cs="Times-Roman"/>
                <w:sz w:val="14"/>
                <w:szCs w:val="14"/>
                <w:lang w:bidi="ar-SA"/>
              </w:rPr>
              <w:t xml:space="preserve">75 </w:t>
            </w:r>
            <w:r w:rsidRPr="00976D72">
              <w:rPr>
                <w:rFonts w:ascii="Times-Roman" w:hAnsi="Times-Roman" w:cs="Times-Roman"/>
                <w:sz w:val="20"/>
                <w:szCs w:val="20"/>
                <w:lang w:bidi="ar-SA"/>
              </w:rPr>
              <w:t>(P)</w:t>
            </w:r>
            <w:r>
              <w:rPr>
                <w:rFonts w:ascii="Times-Roman" w:hAnsi="Times-Roman" w:cs="Times-Roman"/>
                <w:sz w:val="20"/>
                <w:szCs w:val="20"/>
                <w:lang w:bidi="ar-SA"/>
              </w:rPr>
              <w:fldChar w:fldCharType="begin" w:fldLock="1"/>
            </w:r>
            <w:r w:rsidR="00676B7A">
              <w:rPr>
                <w:rFonts w:ascii="Times-Roman" w:hAnsi="Times-Roman" w:cs="Times-Roman"/>
                <w:sz w:val="20"/>
                <w:szCs w:val="20"/>
                <w:lang w:bidi="ar-SA"/>
              </w:rPr>
              <w:instrText>ADDIN CSL_CITATION {"citationItems":[{"id":"ITEM-1","itemData":{"DOI":"10.1029/RG021i006p01458","ISSN":"19449208","abstract":"During the quadrennial term 1979–1982, major advances have been made in our knowledge of the rheology of the oceanic lithosphere by the skillful combination of experimental and theoretical rock mechanics, seismology and marine geophysics in increasingly sophisticated models for the flexure of the oceanic lithosphere at seamounts and island chains, along transform faults, and at subduction zones. The relative simplicity of plate bending geometry, thermal history, and mineralogical and chemical compositions of the oceanic plates in these settings make the geophysical observations very powerful constraints on the in situ rheology of the oceanic lithosphere. In the first part of this paper, I review the laboratory work on materials appropriate to the oceanic lithosphere with emphasis on contributions during the quadrennial period and the need for future work. The important results of flexure models incorporating realistic material properties are then summarized. This paper is not subject to U.S. copyright.","author":[{"dropping-particle":"","family":"Kirby","given":"Stephen H.","non-dropping-particle":"","parse-names":false,"suffix":""}],"container-title":"Reviews of Geophysics","id":"ITEM-1","issue":"6","issued":{"date-parts":[["1983"]]},"title":"Rheology of the lithosphere","type":"article","volume":"21"},"uris":["http://www.mendeley.com/documents/?uuid=f02f7c22-0246-3a4e-8f85-cc8349aec702"]}],"mendeley":{"formattedCitation":"&lt;sup&gt;23&lt;/sup&gt;","plainTextFormattedCitation":"23","previouslyFormattedCitation":"&lt;sup&gt;23&lt;/sup&gt;"},"properties":{"noteIndex":0},"schema":"https://github.com/citation-style-language/schema/raw/master/csl-citation.json"}</w:instrText>
            </w:r>
            <w:r>
              <w:rPr>
                <w:rFonts w:ascii="Times-Roman" w:hAnsi="Times-Roman" w:cs="Times-Roman"/>
                <w:sz w:val="20"/>
                <w:szCs w:val="20"/>
                <w:lang w:bidi="ar-SA"/>
              </w:rPr>
              <w:fldChar w:fldCharType="separate"/>
            </w:r>
            <w:r w:rsidR="003E0B39" w:rsidRPr="003E0B39">
              <w:rPr>
                <w:rFonts w:ascii="Times-Roman" w:hAnsi="Times-Roman" w:cs="Times-Roman"/>
                <w:noProof/>
                <w:sz w:val="20"/>
                <w:szCs w:val="20"/>
                <w:vertAlign w:val="superscript"/>
                <w:lang w:bidi="ar-SA"/>
              </w:rPr>
              <w:t>23</w:t>
            </w:r>
            <w:r>
              <w:rPr>
                <w:rFonts w:ascii="Times-Roman" w:hAnsi="Times-Roman" w:cs="Times-Roman"/>
                <w:sz w:val="20"/>
                <w:szCs w:val="20"/>
                <w:lang w:bidi="ar-SA"/>
              </w:rPr>
              <w:fldChar w:fldCharType="end"/>
            </w:r>
            <w:r>
              <w:rPr>
                <w:rFonts w:ascii="Times-Roman" w:hAnsi="Times-Roman" w:cs="Times-Roman"/>
                <w:sz w:val="20"/>
                <w:szCs w:val="20"/>
                <w:lang w:bidi="ar-SA"/>
              </w:rPr>
              <w:t xml:space="preserve"> </w:t>
            </w:r>
            <w:r w:rsidRPr="00F94E2A">
              <w:rPr>
                <w:rFonts w:ascii="Times-Roman" w:hAnsi="Times-Roman" w:cs="Times-Roman"/>
                <w:sz w:val="20"/>
                <w:szCs w:val="20"/>
                <w:lang w:bidi="ar-SA"/>
              </w:rPr>
              <w:t>(</w:t>
            </w:r>
            <w:r>
              <w:rPr>
                <w:rFonts w:ascii="Times-Roman" w:hAnsi="Times-Roman" w:cs="Times-Roman"/>
                <w:sz w:val="20"/>
                <w:szCs w:val="20"/>
                <w:lang w:bidi="ar-SA"/>
              </w:rPr>
              <w:t>f</w:t>
            </w:r>
            <w:r w:rsidRPr="00F94E2A">
              <w:rPr>
                <w:rFonts w:ascii="Times-Roman" w:hAnsi="Times-Roman" w:cs="Times-Roman"/>
                <w:sz w:val="20"/>
                <w:szCs w:val="20"/>
                <w:lang w:bidi="ar-SA"/>
              </w:rPr>
              <w:t>1)</w:t>
            </w:r>
          </w:p>
        </w:tc>
        <w:tc>
          <w:tcPr>
            <w:tcW w:w="1517" w:type="dxa"/>
          </w:tcPr>
          <w:p w14:paraId="10EC4185" w14:textId="1BDEEED7" w:rsidR="0050354C" w:rsidRPr="005915F2" w:rsidRDefault="0050354C" w:rsidP="0050354C">
            <w:pPr>
              <w:bidi w:val="0"/>
              <w:spacing w:line="360" w:lineRule="auto"/>
              <w:jc w:val="both"/>
              <w:rPr>
                <w:sz w:val="20"/>
                <w:szCs w:val="20"/>
              </w:rPr>
            </w:pPr>
            <w:r w:rsidRPr="005915F2">
              <w:rPr>
                <w:sz w:val="20"/>
                <w:szCs w:val="20"/>
              </w:rPr>
              <w:t>3.3e-4</w:t>
            </w:r>
          </w:p>
        </w:tc>
        <w:tc>
          <w:tcPr>
            <w:tcW w:w="720" w:type="dxa"/>
          </w:tcPr>
          <w:p w14:paraId="529A3952" w14:textId="527D6853" w:rsidR="0050354C" w:rsidRPr="005915F2" w:rsidRDefault="0050354C" w:rsidP="0050354C">
            <w:pPr>
              <w:bidi w:val="0"/>
              <w:spacing w:line="360" w:lineRule="auto"/>
              <w:jc w:val="both"/>
              <w:rPr>
                <w:sz w:val="20"/>
                <w:szCs w:val="20"/>
              </w:rPr>
            </w:pPr>
            <w:r w:rsidRPr="005915F2">
              <w:rPr>
                <w:sz w:val="20"/>
                <w:szCs w:val="20"/>
              </w:rPr>
              <w:t>3.2</w:t>
            </w:r>
          </w:p>
        </w:tc>
        <w:tc>
          <w:tcPr>
            <w:tcW w:w="1260" w:type="dxa"/>
          </w:tcPr>
          <w:p w14:paraId="0195ECDD" w14:textId="3018172A" w:rsidR="0050354C" w:rsidRPr="005915F2" w:rsidRDefault="0050354C" w:rsidP="0050354C">
            <w:pPr>
              <w:bidi w:val="0"/>
              <w:spacing w:line="360" w:lineRule="auto"/>
              <w:jc w:val="both"/>
              <w:rPr>
                <w:sz w:val="20"/>
                <w:szCs w:val="20"/>
              </w:rPr>
            </w:pPr>
            <w:r w:rsidRPr="005915F2">
              <w:rPr>
                <w:sz w:val="20"/>
                <w:szCs w:val="20"/>
              </w:rPr>
              <w:t>238</w:t>
            </w:r>
          </w:p>
        </w:tc>
        <w:tc>
          <w:tcPr>
            <w:tcW w:w="1620" w:type="dxa"/>
          </w:tcPr>
          <w:p w14:paraId="561C6704" w14:textId="2CB7894D" w:rsidR="0050354C" w:rsidRPr="005915F2" w:rsidRDefault="0050354C" w:rsidP="0050354C">
            <w:pPr>
              <w:bidi w:val="0"/>
              <w:spacing w:line="360" w:lineRule="auto"/>
              <w:jc w:val="both"/>
              <w:rPr>
                <w:sz w:val="20"/>
                <w:szCs w:val="20"/>
              </w:rPr>
            </w:pPr>
            <w:r>
              <w:t>54.8</w:t>
            </w:r>
          </w:p>
        </w:tc>
        <w:tc>
          <w:tcPr>
            <w:tcW w:w="2250" w:type="dxa"/>
          </w:tcPr>
          <w:p w14:paraId="6BCE646E" w14:textId="61F16827" w:rsidR="0050354C" w:rsidRDefault="0050354C" w:rsidP="0050354C">
            <w:pPr>
              <w:bidi w:val="0"/>
              <w:spacing w:line="360" w:lineRule="auto"/>
              <w:jc w:val="both"/>
            </w:pPr>
            <w:r>
              <w:t>0.025</w:t>
            </w:r>
          </w:p>
        </w:tc>
      </w:tr>
      <w:tr w:rsidR="0050354C" w14:paraId="33D9D10B" w14:textId="67EFD0C3" w:rsidTr="005915F2">
        <w:trPr>
          <w:jc w:val="center"/>
        </w:trPr>
        <w:tc>
          <w:tcPr>
            <w:tcW w:w="2785" w:type="dxa"/>
          </w:tcPr>
          <w:p w14:paraId="31D3A2B9" w14:textId="6AB93C74" w:rsidR="0050354C" w:rsidRPr="005915F2" w:rsidRDefault="0050354C" w:rsidP="0050354C">
            <w:pPr>
              <w:bidi w:val="0"/>
              <w:spacing w:line="360" w:lineRule="auto"/>
              <w:jc w:val="both"/>
              <w:rPr>
                <w:sz w:val="20"/>
                <w:szCs w:val="20"/>
              </w:rPr>
            </w:pPr>
            <w:r w:rsidRPr="005915F2">
              <w:rPr>
                <w:rFonts w:ascii="Times-Roman" w:hAnsi="Times-Roman" w:cs="Times-Roman"/>
                <w:sz w:val="20"/>
                <w:szCs w:val="20"/>
                <w:lang w:bidi="ar-SA"/>
              </w:rPr>
              <w:t>plagioclase An75 (P) (</w:t>
            </w:r>
            <w:r>
              <w:rPr>
                <w:rFonts w:ascii="Times-Roman" w:hAnsi="Times-Roman" w:cs="Times-Roman"/>
                <w:sz w:val="20"/>
                <w:szCs w:val="20"/>
                <w:lang w:bidi="ar-SA"/>
              </w:rPr>
              <w:t>f</w:t>
            </w:r>
            <w:r w:rsidRPr="005915F2">
              <w:rPr>
                <w:rFonts w:ascii="Times-Roman" w:hAnsi="Times-Roman" w:cs="Times-Roman"/>
                <w:sz w:val="20"/>
                <w:szCs w:val="20"/>
                <w:lang w:bidi="ar-SA"/>
              </w:rPr>
              <w:t>10)</w:t>
            </w:r>
          </w:p>
        </w:tc>
        <w:tc>
          <w:tcPr>
            <w:tcW w:w="1517" w:type="dxa"/>
          </w:tcPr>
          <w:p w14:paraId="1F166BDA" w14:textId="30A4567C" w:rsidR="0050354C" w:rsidRPr="005915F2" w:rsidRDefault="0050354C" w:rsidP="0050354C">
            <w:pPr>
              <w:bidi w:val="0"/>
              <w:spacing w:line="360" w:lineRule="auto"/>
              <w:jc w:val="both"/>
              <w:rPr>
                <w:sz w:val="20"/>
                <w:szCs w:val="20"/>
              </w:rPr>
            </w:pPr>
            <w:r w:rsidRPr="005915F2">
              <w:rPr>
                <w:sz w:val="20"/>
                <w:szCs w:val="20"/>
              </w:rPr>
              <w:t>10*(3.3e-4)</w:t>
            </w:r>
          </w:p>
        </w:tc>
        <w:tc>
          <w:tcPr>
            <w:tcW w:w="720" w:type="dxa"/>
          </w:tcPr>
          <w:p w14:paraId="3A34501B" w14:textId="06E5DF37" w:rsidR="0050354C" w:rsidRPr="005915F2" w:rsidRDefault="0050354C" w:rsidP="0050354C">
            <w:pPr>
              <w:bidi w:val="0"/>
              <w:spacing w:line="360" w:lineRule="auto"/>
              <w:jc w:val="both"/>
              <w:rPr>
                <w:sz w:val="20"/>
                <w:szCs w:val="20"/>
              </w:rPr>
            </w:pPr>
            <w:r w:rsidRPr="005915F2">
              <w:rPr>
                <w:sz w:val="20"/>
                <w:szCs w:val="20"/>
              </w:rPr>
              <w:t>3.2</w:t>
            </w:r>
          </w:p>
        </w:tc>
        <w:tc>
          <w:tcPr>
            <w:tcW w:w="1260" w:type="dxa"/>
          </w:tcPr>
          <w:p w14:paraId="03F1E159" w14:textId="3BB1035E" w:rsidR="0050354C" w:rsidRPr="005915F2" w:rsidRDefault="0050354C" w:rsidP="0050354C">
            <w:pPr>
              <w:bidi w:val="0"/>
              <w:spacing w:line="360" w:lineRule="auto"/>
              <w:jc w:val="both"/>
              <w:rPr>
                <w:sz w:val="20"/>
                <w:szCs w:val="20"/>
              </w:rPr>
            </w:pPr>
            <w:r w:rsidRPr="005915F2">
              <w:rPr>
                <w:sz w:val="20"/>
                <w:szCs w:val="20"/>
              </w:rPr>
              <w:t>238</w:t>
            </w:r>
          </w:p>
        </w:tc>
        <w:tc>
          <w:tcPr>
            <w:tcW w:w="1620" w:type="dxa"/>
          </w:tcPr>
          <w:p w14:paraId="5A11842D" w14:textId="69873073" w:rsidR="0050354C" w:rsidRPr="005915F2" w:rsidRDefault="0050354C" w:rsidP="0050354C">
            <w:pPr>
              <w:bidi w:val="0"/>
              <w:spacing w:line="360" w:lineRule="auto"/>
              <w:jc w:val="both"/>
              <w:rPr>
                <w:sz w:val="20"/>
                <w:szCs w:val="20"/>
              </w:rPr>
            </w:pPr>
            <w:r>
              <w:rPr>
                <w:sz w:val="20"/>
                <w:szCs w:val="20"/>
              </w:rPr>
              <w:t>47.2</w:t>
            </w:r>
          </w:p>
        </w:tc>
        <w:tc>
          <w:tcPr>
            <w:tcW w:w="2250" w:type="dxa"/>
          </w:tcPr>
          <w:p w14:paraId="7628ABF8" w14:textId="63B247C4" w:rsidR="0050354C" w:rsidRDefault="0050354C" w:rsidP="0050354C">
            <w:pPr>
              <w:bidi w:val="0"/>
              <w:spacing w:line="360" w:lineRule="auto"/>
              <w:jc w:val="both"/>
            </w:pPr>
            <w:r>
              <w:t>0.024</w:t>
            </w:r>
          </w:p>
        </w:tc>
      </w:tr>
      <w:tr w:rsidR="0050354C" w14:paraId="4261BF1B" w14:textId="115A2ED9" w:rsidTr="005915F2">
        <w:trPr>
          <w:jc w:val="center"/>
        </w:trPr>
        <w:tc>
          <w:tcPr>
            <w:tcW w:w="2785" w:type="dxa"/>
          </w:tcPr>
          <w:p w14:paraId="463567F7" w14:textId="5F51268C" w:rsidR="0050354C" w:rsidRPr="005915F2" w:rsidRDefault="0050354C" w:rsidP="0050354C">
            <w:pPr>
              <w:bidi w:val="0"/>
              <w:spacing w:line="360" w:lineRule="auto"/>
              <w:jc w:val="both"/>
              <w:rPr>
                <w:sz w:val="20"/>
                <w:szCs w:val="20"/>
              </w:rPr>
            </w:pPr>
            <w:r w:rsidRPr="005915F2">
              <w:rPr>
                <w:rFonts w:ascii="Times-Roman" w:hAnsi="Times-Roman" w:cs="Times-Roman"/>
                <w:sz w:val="20"/>
                <w:szCs w:val="20"/>
                <w:lang w:bidi="ar-SA"/>
              </w:rPr>
              <w:t>plagioclase An75 (P) (</w:t>
            </w:r>
            <w:r>
              <w:rPr>
                <w:rFonts w:ascii="Times-Roman" w:hAnsi="Times-Roman" w:cs="Times-Roman"/>
                <w:sz w:val="20"/>
                <w:szCs w:val="20"/>
                <w:lang w:bidi="ar-SA"/>
              </w:rPr>
              <w:t>f</w:t>
            </w:r>
            <w:r w:rsidRPr="005915F2">
              <w:rPr>
                <w:rFonts w:ascii="Times-Roman" w:hAnsi="Times-Roman" w:cs="Times-Roman"/>
                <w:sz w:val="20"/>
                <w:szCs w:val="20"/>
                <w:lang w:bidi="ar-SA"/>
              </w:rPr>
              <w:t>100)</w:t>
            </w:r>
          </w:p>
        </w:tc>
        <w:tc>
          <w:tcPr>
            <w:tcW w:w="1517" w:type="dxa"/>
          </w:tcPr>
          <w:p w14:paraId="09E247D3" w14:textId="6C8C6EEF" w:rsidR="0050354C" w:rsidRPr="005915F2" w:rsidRDefault="0050354C" w:rsidP="0050354C">
            <w:pPr>
              <w:bidi w:val="0"/>
              <w:spacing w:line="360" w:lineRule="auto"/>
              <w:jc w:val="both"/>
              <w:rPr>
                <w:sz w:val="20"/>
                <w:szCs w:val="20"/>
              </w:rPr>
            </w:pPr>
            <w:r w:rsidRPr="005915F2">
              <w:rPr>
                <w:sz w:val="20"/>
                <w:szCs w:val="20"/>
              </w:rPr>
              <w:t>100*(3.3e-4)</w:t>
            </w:r>
          </w:p>
        </w:tc>
        <w:tc>
          <w:tcPr>
            <w:tcW w:w="720" w:type="dxa"/>
          </w:tcPr>
          <w:p w14:paraId="48EA1C01" w14:textId="6E00DF8E" w:rsidR="0050354C" w:rsidRPr="005915F2" w:rsidRDefault="0050354C" w:rsidP="0050354C">
            <w:pPr>
              <w:bidi w:val="0"/>
              <w:spacing w:line="360" w:lineRule="auto"/>
              <w:jc w:val="both"/>
              <w:rPr>
                <w:sz w:val="20"/>
                <w:szCs w:val="20"/>
              </w:rPr>
            </w:pPr>
            <w:r w:rsidRPr="005915F2">
              <w:rPr>
                <w:sz w:val="20"/>
                <w:szCs w:val="20"/>
              </w:rPr>
              <w:t>3.2</w:t>
            </w:r>
          </w:p>
        </w:tc>
        <w:tc>
          <w:tcPr>
            <w:tcW w:w="1260" w:type="dxa"/>
          </w:tcPr>
          <w:p w14:paraId="58412E99" w14:textId="328D42D9" w:rsidR="0050354C" w:rsidRPr="005915F2" w:rsidRDefault="0050354C" w:rsidP="0050354C">
            <w:pPr>
              <w:bidi w:val="0"/>
              <w:spacing w:line="360" w:lineRule="auto"/>
              <w:jc w:val="both"/>
              <w:rPr>
                <w:sz w:val="20"/>
                <w:szCs w:val="20"/>
              </w:rPr>
            </w:pPr>
            <w:r w:rsidRPr="005915F2">
              <w:rPr>
                <w:sz w:val="20"/>
                <w:szCs w:val="20"/>
              </w:rPr>
              <w:t>238</w:t>
            </w:r>
          </w:p>
        </w:tc>
        <w:tc>
          <w:tcPr>
            <w:tcW w:w="1620" w:type="dxa"/>
          </w:tcPr>
          <w:p w14:paraId="7FC83323" w14:textId="4F82D131" w:rsidR="0050354C" w:rsidRPr="005915F2" w:rsidRDefault="0050354C" w:rsidP="0050354C">
            <w:pPr>
              <w:bidi w:val="0"/>
              <w:spacing w:line="360" w:lineRule="auto"/>
              <w:jc w:val="both"/>
              <w:rPr>
                <w:sz w:val="20"/>
                <w:szCs w:val="20"/>
              </w:rPr>
            </w:pPr>
            <w:r>
              <w:rPr>
                <w:sz w:val="20"/>
                <w:szCs w:val="20"/>
              </w:rPr>
              <w:t>40.5</w:t>
            </w:r>
          </w:p>
        </w:tc>
        <w:tc>
          <w:tcPr>
            <w:tcW w:w="2250" w:type="dxa"/>
          </w:tcPr>
          <w:p w14:paraId="4BC40815" w14:textId="74BD5875" w:rsidR="0050354C" w:rsidRDefault="0050354C" w:rsidP="0050354C">
            <w:pPr>
              <w:bidi w:val="0"/>
              <w:spacing w:line="360" w:lineRule="auto"/>
              <w:jc w:val="both"/>
            </w:pPr>
            <w:r>
              <w:t>0.024</w:t>
            </w:r>
          </w:p>
        </w:tc>
      </w:tr>
      <w:tr w:rsidR="0050354C" w14:paraId="3D9EE85D" w14:textId="3A76F1E2" w:rsidTr="005915F2">
        <w:trPr>
          <w:jc w:val="center"/>
        </w:trPr>
        <w:tc>
          <w:tcPr>
            <w:tcW w:w="2785" w:type="dxa"/>
          </w:tcPr>
          <w:p w14:paraId="3AED3CF6" w14:textId="4740C517" w:rsidR="0050354C" w:rsidRPr="005915F2" w:rsidRDefault="0050354C" w:rsidP="0050354C">
            <w:pPr>
              <w:bidi w:val="0"/>
              <w:spacing w:line="360" w:lineRule="auto"/>
              <w:jc w:val="both"/>
              <w:rPr>
                <w:sz w:val="20"/>
                <w:szCs w:val="20"/>
              </w:rPr>
            </w:pPr>
            <w:r w:rsidRPr="005915F2">
              <w:rPr>
                <w:rFonts w:ascii="Times-Roman" w:hAnsi="Times-Roman" w:cs="Times-Roman"/>
                <w:sz w:val="20"/>
                <w:szCs w:val="20"/>
                <w:lang w:bidi="ar-SA"/>
              </w:rPr>
              <w:t>plagioclase An75 (P) (</w:t>
            </w:r>
            <w:r>
              <w:rPr>
                <w:rFonts w:ascii="Times-Roman" w:hAnsi="Times-Roman" w:cs="Times-Roman"/>
                <w:sz w:val="20"/>
                <w:szCs w:val="20"/>
                <w:lang w:bidi="ar-SA"/>
              </w:rPr>
              <w:t>f</w:t>
            </w:r>
            <w:r w:rsidRPr="005915F2">
              <w:rPr>
                <w:rFonts w:ascii="Times-Roman" w:hAnsi="Times-Roman" w:cs="Times-Roman"/>
                <w:sz w:val="20"/>
                <w:szCs w:val="20"/>
                <w:lang w:bidi="ar-SA"/>
              </w:rPr>
              <w:t>1000)</w:t>
            </w:r>
          </w:p>
        </w:tc>
        <w:tc>
          <w:tcPr>
            <w:tcW w:w="1517" w:type="dxa"/>
          </w:tcPr>
          <w:p w14:paraId="3A486E27" w14:textId="66619F6E" w:rsidR="0050354C" w:rsidRPr="005915F2" w:rsidRDefault="0050354C" w:rsidP="0050354C">
            <w:pPr>
              <w:bidi w:val="0"/>
              <w:spacing w:line="360" w:lineRule="auto"/>
              <w:jc w:val="both"/>
              <w:rPr>
                <w:sz w:val="20"/>
                <w:szCs w:val="20"/>
              </w:rPr>
            </w:pPr>
            <w:r w:rsidRPr="005915F2">
              <w:rPr>
                <w:sz w:val="20"/>
                <w:szCs w:val="20"/>
              </w:rPr>
              <w:t>1000*(3.3e-4)</w:t>
            </w:r>
          </w:p>
        </w:tc>
        <w:tc>
          <w:tcPr>
            <w:tcW w:w="720" w:type="dxa"/>
          </w:tcPr>
          <w:p w14:paraId="07B69E45" w14:textId="20DDCB0F" w:rsidR="0050354C" w:rsidRPr="005915F2" w:rsidRDefault="0050354C" w:rsidP="0050354C">
            <w:pPr>
              <w:bidi w:val="0"/>
              <w:spacing w:line="360" w:lineRule="auto"/>
              <w:jc w:val="both"/>
              <w:rPr>
                <w:sz w:val="20"/>
                <w:szCs w:val="20"/>
              </w:rPr>
            </w:pPr>
            <w:r w:rsidRPr="005915F2">
              <w:rPr>
                <w:sz w:val="20"/>
                <w:szCs w:val="20"/>
              </w:rPr>
              <w:t>3.2</w:t>
            </w:r>
          </w:p>
        </w:tc>
        <w:tc>
          <w:tcPr>
            <w:tcW w:w="1260" w:type="dxa"/>
          </w:tcPr>
          <w:p w14:paraId="03E27737" w14:textId="77C3C900" w:rsidR="0050354C" w:rsidRPr="005915F2" w:rsidRDefault="0050354C" w:rsidP="0050354C">
            <w:pPr>
              <w:bidi w:val="0"/>
              <w:spacing w:line="360" w:lineRule="auto"/>
              <w:jc w:val="both"/>
              <w:rPr>
                <w:sz w:val="20"/>
                <w:szCs w:val="20"/>
              </w:rPr>
            </w:pPr>
            <w:r w:rsidRPr="005915F2">
              <w:rPr>
                <w:sz w:val="20"/>
                <w:szCs w:val="20"/>
              </w:rPr>
              <w:t>238</w:t>
            </w:r>
          </w:p>
        </w:tc>
        <w:tc>
          <w:tcPr>
            <w:tcW w:w="1620" w:type="dxa"/>
          </w:tcPr>
          <w:p w14:paraId="51CDBD4B" w14:textId="752E1CCA" w:rsidR="0050354C" w:rsidRPr="005915F2" w:rsidRDefault="0050354C" w:rsidP="0050354C">
            <w:pPr>
              <w:bidi w:val="0"/>
              <w:spacing w:line="360" w:lineRule="auto"/>
              <w:jc w:val="both"/>
              <w:rPr>
                <w:sz w:val="20"/>
                <w:szCs w:val="20"/>
              </w:rPr>
            </w:pPr>
            <w:r>
              <w:rPr>
                <w:sz w:val="20"/>
                <w:szCs w:val="20"/>
              </w:rPr>
              <w:t>34.6</w:t>
            </w:r>
          </w:p>
        </w:tc>
        <w:tc>
          <w:tcPr>
            <w:tcW w:w="2250" w:type="dxa"/>
          </w:tcPr>
          <w:p w14:paraId="002A464B" w14:textId="1FD20D9B" w:rsidR="0050354C" w:rsidRDefault="0050354C" w:rsidP="0050354C">
            <w:pPr>
              <w:bidi w:val="0"/>
              <w:spacing w:line="360" w:lineRule="auto"/>
              <w:jc w:val="both"/>
            </w:pPr>
            <w:r>
              <w:t>0.01</w:t>
            </w:r>
          </w:p>
        </w:tc>
      </w:tr>
    </w:tbl>
    <w:p w14:paraId="6C699EE4" w14:textId="38BB9ABA" w:rsidR="00651A5D" w:rsidRDefault="00F102AF" w:rsidP="00D2186E">
      <w:pPr>
        <w:bidi w:val="0"/>
        <w:spacing w:line="360" w:lineRule="auto"/>
        <w:jc w:val="both"/>
        <w:rPr>
          <w:rFonts w:ascii="Times-Roman" w:hAnsi="Times-Roman" w:cs="Times-Roman"/>
          <w:lang w:bidi="ar-SA"/>
        </w:rPr>
      </w:pPr>
      <w:r w:rsidRPr="006A0FA0">
        <w:rPr>
          <w:rFonts w:ascii="Times-Roman" w:hAnsi="Times-Roman" w:cs="Times-Roman"/>
          <w:lang w:bidi="ar-SA"/>
        </w:rPr>
        <w:t xml:space="preserve">Supplementary Table </w:t>
      </w:r>
      <w:r w:rsidR="006A0FA0">
        <w:rPr>
          <w:rFonts w:ascii="Times-Roman" w:hAnsi="Times-Roman" w:cs="Times-Roman"/>
          <w:lang w:bidi="ar-SA"/>
        </w:rPr>
        <w:t>5</w:t>
      </w:r>
      <w:r w:rsidRPr="006A0FA0">
        <w:rPr>
          <w:rFonts w:ascii="Times-Roman" w:hAnsi="Times-Roman" w:cs="Times-Roman"/>
          <w:lang w:bidi="ar-SA"/>
        </w:rPr>
        <w:t xml:space="preserve">:  </w:t>
      </w:r>
      <w:r w:rsidR="00D2186E">
        <w:rPr>
          <w:rFonts w:ascii="Times-Roman" w:hAnsi="Times-Roman" w:cs="Times-Roman"/>
          <w:lang w:bidi="ar-SA"/>
        </w:rPr>
        <w:t>b</w:t>
      </w:r>
      <w:r w:rsidR="00D2186E" w:rsidRPr="00D2186E">
        <w:rPr>
          <w:rFonts w:ascii="Times-Roman" w:hAnsi="Times-Roman" w:cs="Times-Roman"/>
          <w:lang w:bidi="ar-SA"/>
        </w:rPr>
        <w:t xml:space="preserve">est-fit model parameters </w:t>
      </w:r>
      <w:r w:rsidRPr="006A0FA0">
        <w:rPr>
          <w:rFonts w:ascii="Times-Roman" w:hAnsi="Times-Roman" w:cs="Times-Roman"/>
          <w:lang w:bidi="ar-SA"/>
        </w:rPr>
        <w:t xml:space="preserve">(channel thickness </w:t>
      </w:r>
      <m:oMath>
        <m:sSub>
          <m:sSubPr>
            <m:ctrlPr>
              <w:rPr>
                <w:rFonts w:ascii="Cambria Math" w:hAnsi="Cambria Math"/>
                <w:i/>
              </w:rPr>
            </m:ctrlPr>
          </m:sSubPr>
          <m:e>
            <m:r>
              <w:rPr>
                <w:rFonts w:ascii="Cambria Math" w:hAnsi="Cambria Math"/>
              </w:rPr>
              <m:t>h</m:t>
            </m:r>
          </m:e>
          <m:sub>
            <m:r>
              <w:rPr>
                <w:rFonts w:ascii="Cambria Math" w:hAnsi="Cambria Math"/>
              </w:rPr>
              <m:t>WCC</m:t>
            </m:r>
          </m:sub>
        </m:sSub>
      </m:oMath>
      <w:r w:rsidRPr="006A0FA0">
        <w:rPr>
          <w:rFonts w:ascii="Times-Roman" w:hAnsi="Times-Roman" w:cs="Times-Roman"/>
          <w:lang w:bidi="ar-SA"/>
        </w:rPr>
        <w:t xml:space="preserve"> and fault strength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m:rPr>
            <m:sty m:val="bi"/>
          </m:rPr>
          <w:rPr>
            <w:rFonts w:ascii="Cambria Math" w:hAnsi="Cambria Math"/>
          </w:rPr>
          <m:t>=</m:t>
        </m:r>
        <m:d>
          <m:dPr>
            <m:ctrlPr>
              <w:rPr>
                <w:rFonts w:ascii="Cambria Math" w:hAnsi="Cambria Math"/>
                <w:b/>
                <w:bCs/>
              </w:rPr>
            </m:ctrlPr>
          </m:dPr>
          <m:e>
            <m:r>
              <m:rPr>
                <m:sty m:val="b"/>
              </m:rPr>
              <w:rPr>
                <w:rFonts w:ascii="Cambria Math" w:hAnsi="Cambria Math"/>
              </w:rPr>
              <m:t>1-λ</m:t>
            </m:r>
          </m:e>
        </m:d>
        <m:sSup>
          <m:sSupPr>
            <m:ctrlPr>
              <w:rPr>
                <w:rFonts w:ascii="Cambria Math" w:hAnsi="Cambria Math"/>
                <w:b/>
                <w:bCs/>
              </w:rPr>
            </m:ctrlPr>
          </m:sSupPr>
          <m:e>
            <m:r>
              <m:rPr>
                <m:sty m:val="b"/>
              </m:rPr>
              <w:rPr>
                <w:rFonts w:ascii="Cambria Math" w:hAnsi="Cambria Math"/>
              </w:rPr>
              <m:t>μ</m:t>
            </m:r>
          </m:e>
          <m:sup>
            <m:r>
              <m:rPr>
                <m:sty m:val="b"/>
              </m:rPr>
              <w:rPr>
                <w:rFonts w:ascii="Cambria Math" w:hAnsi="Cambria Math"/>
              </w:rPr>
              <m:t>*</m:t>
            </m:r>
          </m:sup>
        </m:sSup>
      </m:oMath>
      <w:r w:rsidR="00ED6B3D" w:rsidRPr="00D86F05">
        <w:rPr>
          <w:rFonts w:ascii="Times-Roman" w:hAnsi="Times-Roman" w:cs="Times-Roman"/>
          <w:lang w:bidi="ar-SA"/>
        </w:rPr>
        <w:t>)</w:t>
      </w:r>
      <w:r w:rsidR="00ED6B3D">
        <w:rPr>
          <w:rFonts w:ascii="Times-Roman" w:hAnsi="Times-Roman" w:cs="Times-Roman"/>
          <w:lang w:bidi="ar-SA"/>
        </w:rPr>
        <w:t>)</w:t>
      </w:r>
      <w:r w:rsidR="00ED6B3D" w:rsidRPr="00D86F05">
        <w:rPr>
          <w:rFonts w:ascii="Times-Roman" w:hAnsi="Times-Roman" w:cs="Times-Roman"/>
          <w:lang w:bidi="ar-SA"/>
        </w:rPr>
        <w:t xml:space="preserve"> </w:t>
      </w:r>
      <w:r w:rsidR="00D2186E" w:rsidRPr="00D2186E">
        <w:rPr>
          <w:rFonts w:ascii="Times-Roman" w:hAnsi="Times-Roman" w:cs="Times-Roman"/>
          <w:lang w:bidi="ar-SA"/>
        </w:rPr>
        <w:t>for plagioclase</w:t>
      </w:r>
      <w:r w:rsidR="00D2186E">
        <w:rPr>
          <w:rFonts w:ascii="Times-Roman" w:hAnsi="Times-Roman" w:cs="Times-Roman"/>
          <w:lang w:bidi="ar-SA"/>
        </w:rPr>
        <w:t xml:space="preserve"> </w:t>
      </w:r>
      <w:r w:rsidR="00D2186E">
        <w:t>r</w:t>
      </w:r>
      <w:r w:rsidR="00D2186E" w:rsidRPr="00976D72">
        <w:t>heolog</w:t>
      </w:r>
      <w:r w:rsidR="00D2186E">
        <w:t>y</w:t>
      </w:r>
      <w:r w:rsidR="00D2186E">
        <w:rPr>
          <w:rFonts w:ascii="Times-Roman" w:hAnsi="Times-Roman" w:cs="Times-Roman"/>
          <w:lang w:bidi="ar-SA"/>
        </w:rPr>
        <w:t xml:space="preserve"> </w:t>
      </w:r>
      <w:r w:rsidR="00D2186E" w:rsidRPr="00D2186E">
        <w:rPr>
          <w:rFonts w:ascii="Times-Roman" w:hAnsi="Times-Roman" w:cs="Times-Roman"/>
          <w:lang w:bidi="ar-SA"/>
        </w:rPr>
        <w:t>with varying pre-exponential factors (A) by orders of magnitude (1, 10, 100, and 1000).</w:t>
      </w:r>
    </w:p>
    <w:p w14:paraId="6ED4B2F7" w14:textId="77777777" w:rsidR="009E6213" w:rsidRPr="00D2186E" w:rsidRDefault="009E6213" w:rsidP="009E6213">
      <w:pPr>
        <w:bidi w:val="0"/>
        <w:spacing w:line="360" w:lineRule="auto"/>
        <w:jc w:val="both"/>
        <w:rPr>
          <w:rFonts w:ascii="Times-Roman" w:hAnsi="Times-Roman" w:cs="Times-Roman"/>
          <w:b/>
          <w:bCs/>
          <w:lang w:bidi="ar-SA"/>
        </w:rPr>
      </w:pPr>
    </w:p>
    <w:tbl>
      <w:tblPr>
        <w:tblStyle w:val="TableGrid"/>
        <w:tblW w:w="10165" w:type="dxa"/>
        <w:jc w:val="center"/>
        <w:tblLook w:val="04A0" w:firstRow="1" w:lastRow="0" w:firstColumn="1" w:lastColumn="0" w:noHBand="0" w:noVBand="1"/>
      </w:tblPr>
      <w:tblGrid>
        <w:gridCol w:w="3149"/>
        <w:gridCol w:w="1568"/>
        <w:gridCol w:w="868"/>
        <w:gridCol w:w="1470"/>
        <w:gridCol w:w="1218"/>
        <w:gridCol w:w="1892"/>
      </w:tblGrid>
      <w:tr w:rsidR="00ED6B3D" w:rsidRPr="00F94E2A" w14:paraId="4687CB16" w14:textId="77777777" w:rsidTr="00F94E2A">
        <w:trPr>
          <w:jc w:val="center"/>
        </w:trPr>
        <w:tc>
          <w:tcPr>
            <w:tcW w:w="3330" w:type="dxa"/>
          </w:tcPr>
          <w:p w14:paraId="3A673C7C" w14:textId="77777777" w:rsidR="00ED6B3D" w:rsidRPr="00F94E2A" w:rsidRDefault="00ED6B3D" w:rsidP="00ED6B3D">
            <w:pPr>
              <w:bidi w:val="0"/>
              <w:spacing w:line="360" w:lineRule="auto"/>
              <w:jc w:val="both"/>
              <w:rPr>
                <w:sz w:val="20"/>
                <w:szCs w:val="20"/>
              </w:rPr>
            </w:pPr>
            <w:r w:rsidRPr="00F94E2A">
              <w:rPr>
                <w:rFonts w:ascii="Times-Roman" w:hAnsi="Times-Roman" w:cs="Times-Roman"/>
                <w:sz w:val="20"/>
                <w:szCs w:val="20"/>
                <w:lang w:bidi="ar-SA"/>
              </w:rPr>
              <w:t>Material</w:t>
            </w:r>
          </w:p>
        </w:tc>
        <w:tc>
          <w:tcPr>
            <w:tcW w:w="1620" w:type="dxa"/>
          </w:tcPr>
          <w:p w14:paraId="2588471A" w14:textId="77777777" w:rsidR="00ED6B3D" w:rsidRPr="00F94E2A" w:rsidRDefault="00ED6B3D" w:rsidP="00ED6B3D">
            <w:pPr>
              <w:bidi w:val="0"/>
              <w:spacing w:line="360" w:lineRule="auto"/>
              <w:jc w:val="both"/>
              <w:rPr>
                <w:sz w:val="20"/>
                <w:szCs w:val="20"/>
              </w:rPr>
            </w:pPr>
            <w:r w:rsidRPr="00F94E2A">
              <w:rPr>
                <w:rFonts w:ascii="Times-Roman" w:hAnsi="Times-Roman" w:cs="Times-Roman"/>
                <w:sz w:val="20"/>
                <w:szCs w:val="20"/>
                <w:lang w:bidi="ar-SA"/>
              </w:rPr>
              <w:t>A (MPa</w:t>
            </w:r>
            <w:r w:rsidRPr="00F94E2A">
              <w:rPr>
                <w:rFonts w:ascii="Arial" w:eastAsia="MTSY" w:hAnsi="Arial" w:cs="Arial"/>
                <w:sz w:val="20"/>
                <w:szCs w:val="20"/>
                <w:vertAlign w:val="superscript"/>
                <w:lang w:bidi="ar-SA"/>
              </w:rPr>
              <w:t>−</w:t>
            </w:r>
            <w:r w:rsidRPr="00F94E2A">
              <w:rPr>
                <w:rFonts w:ascii="Times-Roman" w:hAnsi="Times-Roman" w:cs="Times-Roman"/>
                <w:sz w:val="20"/>
                <w:szCs w:val="20"/>
                <w:vertAlign w:val="superscript"/>
                <w:lang w:bidi="ar-SA"/>
              </w:rPr>
              <w:t>n</w:t>
            </w:r>
            <w:r w:rsidRPr="00F94E2A">
              <w:rPr>
                <w:rFonts w:ascii="Times-Roman" w:hAnsi="Times-Roman" w:cs="Times-Roman"/>
                <w:sz w:val="20"/>
                <w:szCs w:val="20"/>
                <w:lang w:bidi="ar-SA"/>
              </w:rPr>
              <w:t xml:space="preserve"> s</w:t>
            </w:r>
            <w:r w:rsidRPr="00F94E2A">
              <w:rPr>
                <w:rFonts w:ascii="Arial" w:eastAsia="MTSY" w:hAnsi="Arial" w:cs="Arial"/>
                <w:sz w:val="20"/>
                <w:szCs w:val="20"/>
                <w:vertAlign w:val="superscript"/>
                <w:lang w:bidi="ar-SA"/>
              </w:rPr>
              <w:t>−</w:t>
            </w:r>
            <w:r w:rsidRPr="00F94E2A">
              <w:rPr>
                <w:rFonts w:ascii="Times-Roman" w:hAnsi="Times-Roman" w:cs="Times-Roman"/>
                <w:sz w:val="20"/>
                <w:szCs w:val="20"/>
                <w:vertAlign w:val="superscript"/>
                <w:lang w:bidi="ar-SA"/>
              </w:rPr>
              <w:t>1</w:t>
            </w:r>
            <w:r w:rsidRPr="00F94E2A">
              <w:rPr>
                <w:rFonts w:ascii="Times-Roman" w:hAnsi="Times-Roman" w:cs="Times-Roman"/>
                <w:sz w:val="20"/>
                <w:szCs w:val="20"/>
                <w:lang w:bidi="ar-SA"/>
              </w:rPr>
              <w:t>)</w:t>
            </w:r>
          </w:p>
        </w:tc>
        <w:tc>
          <w:tcPr>
            <w:tcW w:w="900" w:type="dxa"/>
          </w:tcPr>
          <w:p w14:paraId="781C730E" w14:textId="77777777" w:rsidR="00ED6B3D" w:rsidRPr="00F94E2A" w:rsidRDefault="00ED6B3D" w:rsidP="00ED6B3D">
            <w:pPr>
              <w:bidi w:val="0"/>
              <w:spacing w:line="360" w:lineRule="auto"/>
              <w:jc w:val="both"/>
              <w:rPr>
                <w:sz w:val="20"/>
                <w:szCs w:val="20"/>
              </w:rPr>
            </w:pPr>
            <w:r w:rsidRPr="00F94E2A">
              <w:rPr>
                <w:sz w:val="20"/>
                <w:szCs w:val="20"/>
              </w:rPr>
              <w:t>n</w:t>
            </w:r>
          </w:p>
        </w:tc>
        <w:tc>
          <w:tcPr>
            <w:tcW w:w="1530" w:type="dxa"/>
          </w:tcPr>
          <w:p w14:paraId="16D66201" w14:textId="7154836F" w:rsidR="00ED6B3D" w:rsidRPr="00F94E2A" w:rsidRDefault="00ED6B3D" w:rsidP="00ED6B3D">
            <w:pPr>
              <w:bidi w:val="0"/>
              <w:spacing w:line="360" w:lineRule="auto"/>
              <w:jc w:val="both"/>
              <w:rPr>
                <w:sz w:val="20"/>
                <w:szCs w:val="20"/>
              </w:rPr>
            </w:pPr>
            <w:r w:rsidRPr="00F94E2A">
              <w:rPr>
                <w:sz w:val="20"/>
                <w:szCs w:val="20"/>
              </w:rPr>
              <w:t>Q (</w:t>
            </w:r>
            <w:r w:rsidRPr="00F94E2A">
              <w:rPr>
                <w:rFonts w:ascii="Times-Roman" w:hAnsi="Times-Roman" w:cs="Times-Roman"/>
                <w:sz w:val="20"/>
                <w:szCs w:val="20"/>
                <w:lang w:bidi="ar-SA"/>
              </w:rPr>
              <w:t>kJ mol</w:t>
            </w:r>
            <w:r w:rsidRPr="00F94E2A">
              <w:rPr>
                <w:rFonts w:ascii="Arial" w:eastAsia="MTSY" w:hAnsi="Arial" w:cs="Arial"/>
                <w:sz w:val="20"/>
                <w:szCs w:val="20"/>
                <w:vertAlign w:val="superscript"/>
                <w:lang w:bidi="ar-SA"/>
              </w:rPr>
              <w:t>−</w:t>
            </w:r>
            <w:r w:rsidRPr="00F94E2A">
              <w:rPr>
                <w:rFonts w:ascii="Times-Roman" w:hAnsi="Times-Roman" w:cs="Times-Roman"/>
                <w:sz w:val="20"/>
                <w:szCs w:val="20"/>
                <w:vertAlign w:val="superscript"/>
                <w:lang w:bidi="ar-SA"/>
              </w:rPr>
              <w:t>1</w:t>
            </w:r>
            <w:r w:rsidRPr="00F94E2A">
              <w:rPr>
                <w:rFonts w:ascii="Times-Roman" w:hAnsi="Times-Roman" w:cs="Times-Roman"/>
                <w:sz w:val="20"/>
                <w:szCs w:val="20"/>
                <w:lang w:bidi="ar-SA"/>
              </w:rPr>
              <w:t>)</w:t>
            </w:r>
          </w:p>
        </w:tc>
        <w:tc>
          <w:tcPr>
            <w:tcW w:w="810" w:type="dxa"/>
          </w:tcPr>
          <w:p w14:paraId="6B3250ED" w14:textId="5FFEF218" w:rsidR="00ED6B3D" w:rsidRPr="00F94E2A" w:rsidRDefault="00000000" w:rsidP="00ED6B3D">
            <w:pPr>
              <w:bidi w:val="0"/>
              <w:spacing w:line="360" w:lineRule="auto"/>
              <w:jc w:val="both"/>
              <w:rPr>
                <w:sz w:val="20"/>
                <w:szCs w:val="20"/>
              </w:rPr>
            </w:pPr>
            <m:oMathPara>
              <m:oMath>
                <m:sSub>
                  <m:sSubPr>
                    <m:ctrlPr>
                      <w:rPr>
                        <w:rFonts w:ascii="Cambria Math" w:hAnsi="Cambria Math"/>
                        <w:i/>
                      </w:rPr>
                    </m:ctrlPr>
                  </m:sSubPr>
                  <m:e>
                    <m:r>
                      <w:rPr>
                        <w:rFonts w:ascii="Cambria Math" w:hAnsi="Cambria Math"/>
                      </w:rPr>
                      <m:t>h</m:t>
                    </m:r>
                  </m:e>
                  <m:sub>
                    <m:r>
                      <w:rPr>
                        <w:rFonts w:ascii="Cambria Math" w:hAnsi="Cambria Math"/>
                      </w:rPr>
                      <m:t>WCC</m:t>
                    </m:r>
                  </m:sub>
                </m:sSub>
                <m:r>
                  <w:rPr>
                    <w:rFonts w:ascii="Cambria Math" w:hAnsi="Cambria Math"/>
                  </w:rPr>
                  <m:t xml:space="preserve"> </m:t>
                </m:r>
                <m:d>
                  <m:dPr>
                    <m:begChr m:val="["/>
                    <m:endChr m:val="]"/>
                    <m:ctrlPr>
                      <w:rPr>
                        <w:rFonts w:ascii="Cambria Math" w:hAnsi="Cambria Math"/>
                        <w:i/>
                      </w:rPr>
                    </m:ctrlPr>
                  </m:dPr>
                  <m:e>
                    <m:r>
                      <w:rPr>
                        <w:rFonts w:ascii="Cambria Math" w:hAnsi="Cambria Math"/>
                      </w:rPr>
                      <m:t>km</m:t>
                    </m:r>
                  </m:e>
                </m:d>
              </m:oMath>
            </m:oMathPara>
          </w:p>
        </w:tc>
        <w:tc>
          <w:tcPr>
            <w:tcW w:w="1975" w:type="dxa"/>
          </w:tcPr>
          <w:p w14:paraId="04578911" w14:textId="308DAD12" w:rsidR="00ED6B3D" w:rsidRPr="00F94E2A" w:rsidRDefault="00000000" w:rsidP="00ED6B3D">
            <w:pPr>
              <w:bidi w:val="0"/>
              <w:spacing w:line="360" w:lineRule="auto"/>
              <w:jc w:val="both"/>
              <w:rPr>
                <w:sz w:val="20"/>
                <w:szCs w:val="20"/>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m:rPr>
                    <m:sty m:val="bi"/>
                  </m:rPr>
                  <w:rPr>
                    <w:rFonts w:ascii="Cambria Math" w:hAnsi="Cambria Math"/>
                  </w:rPr>
                  <m:t>=</m:t>
                </m:r>
                <m:d>
                  <m:dPr>
                    <m:ctrlPr>
                      <w:rPr>
                        <w:rFonts w:ascii="Cambria Math" w:hAnsi="Cambria Math"/>
                        <w:b/>
                        <w:bCs/>
                      </w:rPr>
                    </m:ctrlPr>
                  </m:dPr>
                  <m:e>
                    <m:r>
                      <m:rPr>
                        <m:sty m:val="b"/>
                      </m:rPr>
                      <w:rPr>
                        <w:rFonts w:ascii="Cambria Math" w:hAnsi="Cambria Math"/>
                      </w:rPr>
                      <m:t>1-λ</m:t>
                    </m:r>
                  </m:e>
                </m:d>
                <m:sSup>
                  <m:sSupPr>
                    <m:ctrlPr>
                      <w:rPr>
                        <w:rFonts w:ascii="Cambria Math" w:hAnsi="Cambria Math"/>
                        <w:b/>
                        <w:bCs/>
                      </w:rPr>
                    </m:ctrlPr>
                  </m:sSupPr>
                  <m:e>
                    <m:r>
                      <m:rPr>
                        <m:sty m:val="b"/>
                      </m:rPr>
                      <w:rPr>
                        <w:rFonts w:ascii="Cambria Math" w:hAnsi="Cambria Math"/>
                      </w:rPr>
                      <m:t>μ</m:t>
                    </m:r>
                  </m:e>
                  <m:sup>
                    <m:r>
                      <m:rPr>
                        <m:sty m:val="b"/>
                      </m:rPr>
                      <w:rPr>
                        <w:rFonts w:ascii="Cambria Math" w:hAnsi="Cambria Math"/>
                      </w:rPr>
                      <m:t>*</m:t>
                    </m:r>
                  </m:sup>
                </m:sSup>
              </m:oMath>
            </m:oMathPara>
          </w:p>
        </w:tc>
      </w:tr>
      <w:tr w:rsidR="00BE4678" w:rsidRPr="00F94E2A" w14:paraId="7A197D99" w14:textId="77777777" w:rsidTr="00F94E2A">
        <w:trPr>
          <w:jc w:val="center"/>
        </w:trPr>
        <w:tc>
          <w:tcPr>
            <w:tcW w:w="3330" w:type="dxa"/>
          </w:tcPr>
          <w:p w14:paraId="6286D83E" w14:textId="15E00260" w:rsidR="00BE4678" w:rsidRPr="00F94E2A" w:rsidRDefault="0050354C" w:rsidP="00BE4678">
            <w:pPr>
              <w:bidi w:val="0"/>
              <w:spacing w:line="360" w:lineRule="auto"/>
              <w:jc w:val="both"/>
              <w:rPr>
                <w:rFonts w:cstheme="minorBidi"/>
                <w:sz w:val="20"/>
                <w:szCs w:val="20"/>
                <w:lang w:bidi="ar-SY"/>
              </w:rPr>
            </w:pPr>
            <w:r>
              <w:rPr>
                <w:rFonts w:ascii="Times-Roman" w:hAnsi="Times-Roman" w:cs="Times-Roman"/>
                <w:sz w:val="20"/>
                <w:szCs w:val="20"/>
                <w:lang w:bidi="ar-SA"/>
              </w:rPr>
              <w:t xml:space="preserve">quartzite (wet) (QW) </w:t>
            </w:r>
            <w:r>
              <w:rPr>
                <w:rFonts w:ascii="Times-Roman" w:hAnsi="Times-Roman" w:cs="Times-Roman"/>
                <w:sz w:val="20"/>
                <w:szCs w:val="20"/>
                <w:lang w:bidi="ar-SA"/>
              </w:rPr>
              <w:fldChar w:fldCharType="begin" w:fldLock="1"/>
            </w:r>
            <w:r w:rsidR="00676B7A">
              <w:rPr>
                <w:rFonts w:ascii="Times-Roman" w:hAnsi="Times-Roman" w:cs="Times-Roman"/>
                <w:sz w:val="20"/>
                <w:szCs w:val="20"/>
                <w:lang w:bidi="ar-SA"/>
              </w:rPr>
              <w:instrText>ADDIN CSL_CITATION {"citationItems":[{"id":"ITEM-1","itemData":{"DOI":"10.1029/RG025i006p01219","ISSN":"19449208","abstract":"We review recent results concerning the rheology of the lithosphere with special attention to the following topics: 1) the flexure of the oceanic lithosphere, 2) deformation of the continental lithosphere resulting from vertical surface loads and forces applied at plate margins, 3) the rheological stratification of the continents, 4) strain localization and shear zone development, and 5) strain‐induced crystallographic preferred orientations and anisotropies in body‐wave velocities. We conclude with a section citing the 1983–1986 rock mechanics literature by category. This paper is not subject to U.S. copyright. Published in 1987 by the American Geophysical Union.","author":[{"dropping-particle":"","family":"Kirby","given":"S. H.","non-dropping-particle":"","parse-names":false,"suffix":""},{"dropping-particle":"","family":"Kronenberg","given":"A. K.","non-dropping-particle":"","parse-names":false,"suffix":""}],"container-title":"Reviews of Geophysics","id":"ITEM-1","issue":"6","issued":{"date-parts":[["1987"]]},"title":"Rheology of the lithosphere: Selected topics","type":"article","volume":"25"},"uris":["http://www.mendeley.com/documents/?uuid=bc8d0375-e181-33ee-a8ef-b7776ed20a6b"]}],"mendeley":{"formattedCitation":"&lt;sup&gt;22&lt;/sup&gt;","plainTextFormattedCitation":"22","previouslyFormattedCitation":"&lt;sup&gt;22&lt;/sup&gt;"},"properties":{"noteIndex":0},"schema":"https://github.com/citation-style-language/schema/raw/master/csl-citation.json"}</w:instrText>
            </w:r>
            <w:r>
              <w:rPr>
                <w:rFonts w:ascii="Times-Roman" w:hAnsi="Times-Roman" w:cs="Times-Roman"/>
                <w:sz w:val="20"/>
                <w:szCs w:val="20"/>
                <w:lang w:bidi="ar-SA"/>
              </w:rPr>
              <w:fldChar w:fldCharType="separate"/>
            </w:r>
            <w:r w:rsidR="003E0B39" w:rsidRPr="003E0B39">
              <w:rPr>
                <w:rFonts w:ascii="Times-Roman" w:hAnsi="Times-Roman" w:cs="Times-Roman"/>
                <w:noProof/>
                <w:sz w:val="20"/>
                <w:szCs w:val="20"/>
                <w:vertAlign w:val="superscript"/>
                <w:lang w:bidi="ar-SA"/>
              </w:rPr>
              <w:t>22</w:t>
            </w:r>
            <w:r>
              <w:rPr>
                <w:rFonts w:ascii="Times-Roman" w:hAnsi="Times-Roman" w:cs="Times-Roman"/>
                <w:sz w:val="20"/>
                <w:szCs w:val="20"/>
                <w:lang w:bidi="ar-SA"/>
              </w:rPr>
              <w:fldChar w:fldCharType="end"/>
            </w:r>
            <w:r w:rsidR="00BE4678" w:rsidRPr="00F94E2A">
              <w:rPr>
                <w:rFonts w:ascii="Times-Roman" w:hAnsi="Times-Roman" w:cs="Times-Roman"/>
                <w:sz w:val="20"/>
                <w:szCs w:val="20"/>
                <w:lang w:bidi="ar-SA"/>
              </w:rPr>
              <w:t xml:space="preserve"> (</w:t>
            </w:r>
            <w:r w:rsidR="006A0FA0">
              <w:rPr>
                <w:rFonts w:ascii="Times-Roman" w:hAnsi="Times-Roman" w:cs="Times-Roman"/>
                <w:sz w:val="20"/>
                <w:szCs w:val="20"/>
                <w:lang w:bidi="ar-SA"/>
              </w:rPr>
              <w:t>f</w:t>
            </w:r>
            <w:r w:rsidR="00BE4678" w:rsidRPr="00F94E2A">
              <w:rPr>
                <w:rFonts w:ascii="Times-Roman" w:hAnsi="Times-Roman" w:cs="Times-Roman"/>
                <w:sz w:val="20"/>
                <w:szCs w:val="20"/>
                <w:lang w:bidi="ar-SA"/>
              </w:rPr>
              <w:t>1)</w:t>
            </w:r>
            <w:r w:rsidR="00BE4678" w:rsidRPr="00F94E2A">
              <w:rPr>
                <w:rFonts w:ascii="Times-Roman" w:hAnsi="Times-Roman" w:cstheme="minorBidi"/>
                <w:sz w:val="20"/>
                <w:szCs w:val="20"/>
              </w:rPr>
              <w:t xml:space="preserve"> </w:t>
            </w:r>
          </w:p>
        </w:tc>
        <w:tc>
          <w:tcPr>
            <w:tcW w:w="1620" w:type="dxa"/>
          </w:tcPr>
          <w:p w14:paraId="6A22A6C6" w14:textId="78BBC6D1" w:rsidR="00BE4678" w:rsidRPr="00F94E2A" w:rsidRDefault="00BE4678" w:rsidP="00BE4678">
            <w:pPr>
              <w:bidi w:val="0"/>
              <w:spacing w:line="360" w:lineRule="auto"/>
              <w:jc w:val="both"/>
              <w:rPr>
                <w:sz w:val="20"/>
                <w:szCs w:val="20"/>
              </w:rPr>
            </w:pPr>
            <w:r w:rsidRPr="00F94E2A">
              <w:rPr>
                <w:sz w:val="20"/>
                <w:szCs w:val="20"/>
              </w:rPr>
              <w:t>3.2e-4</w:t>
            </w:r>
          </w:p>
        </w:tc>
        <w:tc>
          <w:tcPr>
            <w:tcW w:w="900" w:type="dxa"/>
          </w:tcPr>
          <w:p w14:paraId="4E64FB7B" w14:textId="35F9980B" w:rsidR="00BE4678" w:rsidRPr="00F94E2A" w:rsidRDefault="00BE4678" w:rsidP="00BE4678">
            <w:pPr>
              <w:bidi w:val="0"/>
              <w:spacing w:line="360" w:lineRule="auto"/>
              <w:jc w:val="both"/>
              <w:rPr>
                <w:sz w:val="20"/>
                <w:szCs w:val="20"/>
              </w:rPr>
            </w:pPr>
            <w:r w:rsidRPr="00F94E2A">
              <w:rPr>
                <w:sz w:val="20"/>
                <w:szCs w:val="20"/>
              </w:rPr>
              <w:t>2.3</w:t>
            </w:r>
          </w:p>
        </w:tc>
        <w:tc>
          <w:tcPr>
            <w:tcW w:w="1530" w:type="dxa"/>
          </w:tcPr>
          <w:p w14:paraId="2A7B681D" w14:textId="524322AC" w:rsidR="00BE4678" w:rsidRPr="00F94E2A" w:rsidRDefault="00BE4678" w:rsidP="00BE4678">
            <w:pPr>
              <w:bidi w:val="0"/>
              <w:spacing w:line="360" w:lineRule="auto"/>
              <w:jc w:val="both"/>
              <w:rPr>
                <w:sz w:val="20"/>
                <w:szCs w:val="20"/>
              </w:rPr>
            </w:pPr>
            <w:r w:rsidRPr="00F94E2A">
              <w:rPr>
                <w:sz w:val="20"/>
                <w:szCs w:val="20"/>
              </w:rPr>
              <w:t>154</w:t>
            </w:r>
          </w:p>
        </w:tc>
        <w:tc>
          <w:tcPr>
            <w:tcW w:w="810" w:type="dxa"/>
          </w:tcPr>
          <w:p w14:paraId="7048AA99" w14:textId="6FDFE6A4" w:rsidR="00BE4678" w:rsidRPr="00F94E2A" w:rsidRDefault="00BE4678" w:rsidP="00BE4678">
            <w:pPr>
              <w:bidi w:val="0"/>
              <w:spacing w:line="360" w:lineRule="auto"/>
              <w:jc w:val="both"/>
              <w:rPr>
                <w:sz w:val="20"/>
                <w:szCs w:val="20"/>
              </w:rPr>
            </w:pPr>
            <w:r>
              <w:rPr>
                <w:sz w:val="20"/>
                <w:szCs w:val="20"/>
              </w:rPr>
              <w:t>24.4</w:t>
            </w:r>
          </w:p>
        </w:tc>
        <w:tc>
          <w:tcPr>
            <w:tcW w:w="1975" w:type="dxa"/>
          </w:tcPr>
          <w:p w14:paraId="2EC5B495" w14:textId="4911A945" w:rsidR="00BE4678" w:rsidRPr="00F94E2A" w:rsidRDefault="00BE4678" w:rsidP="00BE4678">
            <w:pPr>
              <w:bidi w:val="0"/>
              <w:spacing w:line="360" w:lineRule="auto"/>
              <w:jc w:val="both"/>
              <w:rPr>
                <w:sz w:val="20"/>
                <w:szCs w:val="20"/>
              </w:rPr>
            </w:pPr>
            <w:r>
              <w:t>0.19</w:t>
            </w:r>
          </w:p>
        </w:tc>
      </w:tr>
      <w:tr w:rsidR="00BE4678" w:rsidRPr="00F94E2A" w14:paraId="421BF937" w14:textId="77777777" w:rsidTr="00F94E2A">
        <w:trPr>
          <w:jc w:val="center"/>
        </w:trPr>
        <w:tc>
          <w:tcPr>
            <w:tcW w:w="3330" w:type="dxa"/>
          </w:tcPr>
          <w:p w14:paraId="3EF451EA" w14:textId="14522F4F" w:rsidR="00BE4678" w:rsidRPr="00F94E2A" w:rsidRDefault="00BE4678" w:rsidP="00BE4678">
            <w:pPr>
              <w:bidi w:val="0"/>
              <w:spacing w:line="360" w:lineRule="auto"/>
              <w:jc w:val="both"/>
              <w:rPr>
                <w:sz w:val="20"/>
                <w:szCs w:val="20"/>
              </w:rPr>
            </w:pPr>
            <w:r w:rsidRPr="00F94E2A">
              <w:rPr>
                <w:rFonts w:ascii="Times-Roman" w:hAnsi="Times-Roman" w:cs="Times-Roman"/>
                <w:sz w:val="20"/>
                <w:szCs w:val="20"/>
                <w:lang w:bidi="ar-SA"/>
              </w:rPr>
              <w:t>quartzite (wet) (QW) (</w:t>
            </w:r>
            <w:r w:rsidR="006A0FA0">
              <w:rPr>
                <w:rFonts w:ascii="Times-Roman" w:hAnsi="Times-Roman" w:cs="Times-Roman"/>
                <w:sz w:val="20"/>
                <w:szCs w:val="20"/>
                <w:lang w:bidi="ar-SA"/>
              </w:rPr>
              <w:t>f</w:t>
            </w:r>
            <w:r w:rsidRPr="00F94E2A">
              <w:rPr>
                <w:rFonts w:ascii="Times-Roman" w:hAnsi="Times-Roman" w:cs="Times-Roman"/>
                <w:sz w:val="20"/>
                <w:szCs w:val="20"/>
                <w:lang w:bidi="ar-SA"/>
              </w:rPr>
              <w:t>10)</w:t>
            </w:r>
          </w:p>
        </w:tc>
        <w:tc>
          <w:tcPr>
            <w:tcW w:w="1620" w:type="dxa"/>
          </w:tcPr>
          <w:p w14:paraId="3DF7573F" w14:textId="38799F86" w:rsidR="00BE4678" w:rsidRPr="00F94E2A" w:rsidRDefault="00BE4678" w:rsidP="00BE4678">
            <w:pPr>
              <w:bidi w:val="0"/>
              <w:spacing w:line="360" w:lineRule="auto"/>
              <w:jc w:val="both"/>
              <w:rPr>
                <w:sz w:val="20"/>
                <w:szCs w:val="20"/>
              </w:rPr>
            </w:pPr>
            <w:r w:rsidRPr="00F94E2A">
              <w:rPr>
                <w:sz w:val="20"/>
                <w:szCs w:val="20"/>
              </w:rPr>
              <w:t>10*(3. 2e-4)</w:t>
            </w:r>
          </w:p>
        </w:tc>
        <w:tc>
          <w:tcPr>
            <w:tcW w:w="900" w:type="dxa"/>
          </w:tcPr>
          <w:p w14:paraId="54DAF28A" w14:textId="2433183B" w:rsidR="00BE4678" w:rsidRPr="00F94E2A" w:rsidRDefault="00BE4678" w:rsidP="00BE4678">
            <w:pPr>
              <w:bidi w:val="0"/>
              <w:spacing w:line="360" w:lineRule="auto"/>
              <w:jc w:val="both"/>
              <w:rPr>
                <w:sz w:val="20"/>
                <w:szCs w:val="20"/>
              </w:rPr>
            </w:pPr>
            <w:r w:rsidRPr="00F94E2A">
              <w:rPr>
                <w:sz w:val="20"/>
                <w:szCs w:val="20"/>
              </w:rPr>
              <w:t>2.3</w:t>
            </w:r>
          </w:p>
        </w:tc>
        <w:tc>
          <w:tcPr>
            <w:tcW w:w="1530" w:type="dxa"/>
          </w:tcPr>
          <w:p w14:paraId="0B3F7463" w14:textId="7496094E" w:rsidR="00BE4678" w:rsidRPr="00F94E2A" w:rsidRDefault="00BE4678" w:rsidP="00BE4678">
            <w:pPr>
              <w:bidi w:val="0"/>
              <w:spacing w:line="360" w:lineRule="auto"/>
              <w:jc w:val="both"/>
              <w:rPr>
                <w:sz w:val="20"/>
                <w:szCs w:val="20"/>
              </w:rPr>
            </w:pPr>
            <w:r w:rsidRPr="00F94E2A">
              <w:rPr>
                <w:sz w:val="20"/>
                <w:szCs w:val="20"/>
              </w:rPr>
              <w:t>154</w:t>
            </w:r>
          </w:p>
        </w:tc>
        <w:tc>
          <w:tcPr>
            <w:tcW w:w="810" w:type="dxa"/>
          </w:tcPr>
          <w:p w14:paraId="27674F91" w14:textId="61145155" w:rsidR="00BE4678" w:rsidRPr="00F94E2A" w:rsidRDefault="00BE4678" w:rsidP="00BE4678">
            <w:pPr>
              <w:bidi w:val="0"/>
              <w:spacing w:line="360" w:lineRule="auto"/>
              <w:jc w:val="both"/>
              <w:rPr>
                <w:sz w:val="20"/>
                <w:szCs w:val="20"/>
              </w:rPr>
            </w:pPr>
            <w:r>
              <w:rPr>
                <w:sz w:val="20"/>
                <w:szCs w:val="20"/>
              </w:rPr>
              <w:t>18.5</w:t>
            </w:r>
          </w:p>
        </w:tc>
        <w:tc>
          <w:tcPr>
            <w:tcW w:w="1975" w:type="dxa"/>
          </w:tcPr>
          <w:p w14:paraId="4164298B" w14:textId="6CA87FC4" w:rsidR="00BE4678" w:rsidRPr="00F94E2A" w:rsidRDefault="00BE4678" w:rsidP="00BE4678">
            <w:pPr>
              <w:bidi w:val="0"/>
              <w:spacing w:line="360" w:lineRule="auto"/>
              <w:jc w:val="both"/>
              <w:rPr>
                <w:sz w:val="20"/>
                <w:szCs w:val="20"/>
              </w:rPr>
            </w:pPr>
            <w:r>
              <w:t>0.14</w:t>
            </w:r>
          </w:p>
        </w:tc>
      </w:tr>
      <w:tr w:rsidR="00BE4678" w:rsidRPr="00F94E2A" w14:paraId="2744CD63" w14:textId="77777777" w:rsidTr="00F94E2A">
        <w:trPr>
          <w:jc w:val="center"/>
        </w:trPr>
        <w:tc>
          <w:tcPr>
            <w:tcW w:w="3330" w:type="dxa"/>
          </w:tcPr>
          <w:p w14:paraId="46349AE8" w14:textId="2FEDB2C1" w:rsidR="00BE4678" w:rsidRPr="00F94E2A" w:rsidRDefault="00BE4678" w:rsidP="00BE4678">
            <w:pPr>
              <w:bidi w:val="0"/>
              <w:spacing w:line="360" w:lineRule="auto"/>
              <w:jc w:val="both"/>
              <w:rPr>
                <w:sz w:val="20"/>
                <w:szCs w:val="20"/>
              </w:rPr>
            </w:pPr>
            <w:r w:rsidRPr="00F94E2A">
              <w:rPr>
                <w:rFonts w:ascii="Times-Roman" w:hAnsi="Times-Roman" w:cs="Times-Roman"/>
                <w:sz w:val="20"/>
                <w:szCs w:val="20"/>
                <w:lang w:bidi="ar-SA"/>
              </w:rPr>
              <w:t>quartzite (wet) (QW) (</w:t>
            </w:r>
            <w:r w:rsidR="006A0FA0">
              <w:rPr>
                <w:rFonts w:ascii="Times-Roman" w:hAnsi="Times-Roman" w:cs="Times-Roman"/>
                <w:sz w:val="20"/>
                <w:szCs w:val="20"/>
                <w:lang w:bidi="ar-SA"/>
              </w:rPr>
              <w:t>f</w:t>
            </w:r>
            <w:r w:rsidRPr="00F94E2A">
              <w:rPr>
                <w:rFonts w:ascii="Times-Roman" w:hAnsi="Times-Roman" w:cs="Times-Roman"/>
                <w:sz w:val="20"/>
                <w:szCs w:val="20"/>
                <w:lang w:bidi="ar-SA"/>
              </w:rPr>
              <w:t>100)</w:t>
            </w:r>
          </w:p>
        </w:tc>
        <w:tc>
          <w:tcPr>
            <w:tcW w:w="1620" w:type="dxa"/>
          </w:tcPr>
          <w:p w14:paraId="6B278DA5" w14:textId="738177BC" w:rsidR="00BE4678" w:rsidRPr="00F94E2A" w:rsidRDefault="00BE4678" w:rsidP="00BE4678">
            <w:pPr>
              <w:bidi w:val="0"/>
              <w:spacing w:line="360" w:lineRule="auto"/>
              <w:jc w:val="both"/>
              <w:rPr>
                <w:sz w:val="20"/>
                <w:szCs w:val="20"/>
              </w:rPr>
            </w:pPr>
            <w:r w:rsidRPr="00F94E2A">
              <w:rPr>
                <w:sz w:val="20"/>
                <w:szCs w:val="20"/>
              </w:rPr>
              <w:t>100*(3. 2e-4)</w:t>
            </w:r>
          </w:p>
        </w:tc>
        <w:tc>
          <w:tcPr>
            <w:tcW w:w="900" w:type="dxa"/>
          </w:tcPr>
          <w:p w14:paraId="6771EB33" w14:textId="2D572E9A" w:rsidR="00BE4678" w:rsidRPr="00F94E2A" w:rsidRDefault="00BE4678" w:rsidP="00BE4678">
            <w:pPr>
              <w:bidi w:val="0"/>
              <w:spacing w:line="360" w:lineRule="auto"/>
              <w:jc w:val="both"/>
              <w:rPr>
                <w:sz w:val="20"/>
                <w:szCs w:val="20"/>
              </w:rPr>
            </w:pPr>
            <w:r w:rsidRPr="00F94E2A">
              <w:rPr>
                <w:sz w:val="20"/>
                <w:szCs w:val="20"/>
              </w:rPr>
              <w:t>2.3</w:t>
            </w:r>
          </w:p>
        </w:tc>
        <w:tc>
          <w:tcPr>
            <w:tcW w:w="1530" w:type="dxa"/>
          </w:tcPr>
          <w:p w14:paraId="46B099C7" w14:textId="3AEFF9F6" w:rsidR="00BE4678" w:rsidRPr="00F94E2A" w:rsidRDefault="00BE4678" w:rsidP="00BE4678">
            <w:pPr>
              <w:bidi w:val="0"/>
              <w:spacing w:line="360" w:lineRule="auto"/>
              <w:jc w:val="both"/>
              <w:rPr>
                <w:sz w:val="20"/>
                <w:szCs w:val="20"/>
              </w:rPr>
            </w:pPr>
            <w:r w:rsidRPr="00F94E2A">
              <w:rPr>
                <w:sz w:val="20"/>
                <w:szCs w:val="20"/>
              </w:rPr>
              <w:t>154</w:t>
            </w:r>
          </w:p>
        </w:tc>
        <w:tc>
          <w:tcPr>
            <w:tcW w:w="810" w:type="dxa"/>
          </w:tcPr>
          <w:p w14:paraId="57D3B340" w14:textId="173A69D5" w:rsidR="00BE4678" w:rsidRPr="00F94E2A" w:rsidRDefault="00BE4678" w:rsidP="00BE4678">
            <w:pPr>
              <w:bidi w:val="0"/>
              <w:spacing w:line="360" w:lineRule="auto"/>
              <w:jc w:val="both"/>
              <w:rPr>
                <w:sz w:val="20"/>
                <w:szCs w:val="20"/>
              </w:rPr>
            </w:pPr>
            <w:r>
              <w:rPr>
                <w:sz w:val="20"/>
                <w:szCs w:val="20"/>
              </w:rPr>
              <w:t>13.8</w:t>
            </w:r>
          </w:p>
        </w:tc>
        <w:tc>
          <w:tcPr>
            <w:tcW w:w="1975" w:type="dxa"/>
          </w:tcPr>
          <w:p w14:paraId="6F907012" w14:textId="36FACBF3" w:rsidR="00BE4678" w:rsidRPr="00F94E2A" w:rsidRDefault="00BE4678" w:rsidP="00BE4678">
            <w:pPr>
              <w:bidi w:val="0"/>
              <w:spacing w:line="360" w:lineRule="auto"/>
              <w:jc w:val="both"/>
              <w:rPr>
                <w:sz w:val="20"/>
                <w:szCs w:val="20"/>
              </w:rPr>
            </w:pPr>
            <w:r>
              <w:t>0.1</w:t>
            </w:r>
          </w:p>
        </w:tc>
      </w:tr>
      <w:tr w:rsidR="00BE4678" w:rsidRPr="00F94E2A" w14:paraId="6668B0BF" w14:textId="77777777" w:rsidTr="00F94E2A">
        <w:trPr>
          <w:jc w:val="center"/>
        </w:trPr>
        <w:tc>
          <w:tcPr>
            <w:tcW w:w="3330" w:type="dxa"/>
          </w:tcPr>
          <w:p w14:paraId="158817B9" w14:textId="4CEF73C6" w:rsidR="00BE4678" w:rsidRPr="00F94E2A" w:rsidRDefault="00BE4678" w:rsidP="00BE4678">
            <w:pPr>
              <w:bidi w:val="0"/>
              <w:spacing w:line="360" w:lineRule="auto"/>
              <w:jc w:val="both"/>
              <w:rPr>
                <w:sz w:val="20"/>
                <w:szCs w:val="20"/>
              </w:rPr>
            </w:pPr>
            <w:r w:rsidRPr="00F94E2A">
              <w:rPr>
                <w:rFonts w:ascii="Times-Roman" w:hAnsi="Times-Roman" w:cs="Times-Roman"/>
                <w:sz w:val="20"/>
                <w:szCs w:val="20"/>
                <w:lang w:bidi="ar-SA"/>
              </w:rPr>
              <w:t>quartzite (wet) (QW) (</w:t>
            </w:r>
            <w:r w:rsidR="006A0FA0">
              <w:rPr>
                <w:rFonts w:ascii="Times-Roman" w:hAnsi="Times-Roman" w:cs="Times-Roman"/>
                <w:sz w:val="20"/>
                <w:szCs w:val="20"/>
                <w:lang w:bidi="ar-SA"/>
              </w:rPr>
              <w:t>f</w:t>
            </w:r>
            <w:r w:rsidRPr="00F94E2A">
              <w:rPr>
                <w:rFonts w:ascii="Times-Roman" w:hAnsi="Times-Roman" w:cs="Times-Roman"/>
                <w:sz w:val="20"/>
                <w:szCs w:val="20"/>
                <w:lang w:bidi="ar-SA"/>
              </w:rPr>
              <w:t>1000)</w:t>
            </w:r>
          </w:p>
        </w:tc>
        <w:tc>
          <w:tcPr>
            <w:tcW w:w="1620" w:type="dxa"/>
          </w:tcPr>
          <w:p w14:paraId="2102D5FF" w14:textId="5BDFED82" w:rsidR="00BE4678" w:rsidRPr="00F94E2A" w:rsidRDefault="00BE4678" w:rsidP="00BE4678">
            <w:pPr>
              <w:bidi w:val="0"/>
              <w:spacing w:line="360" w:lineRule="auto"/>
              <w:jc w:val="both"/>
              <w:rPr>
                <w:sz w:val="20"/>
                <w:szCs w:val="20"/>
              </w:rPr>
            </w:pPr>
            <w:r w:rsidRPr="00F94E2A">
              <w:rPr>
                <w:sz w:val="20"/>
                <w:szCs w:val="20"/>
              </w:rPr>
              <w:t>1000*(3. 2e-4)</w:t>
            </w:r>
          </w:p>
        </w:tc>
        <w:tc>
          <w:tcPr>
            <w:tcW w:w="900" w:type="dxa"/>
          </w:tcPr>
          <w:p w14:paraId="04D85D8C" w14:textId="3FCFB7E3" w:rsidR="00BE4678" w:rsidRPr="00F94E2A" w:rsidRDefault="00BE4678" w:rsidP="00BE4678">
            <w:pPr>
              <w:bidi w:val="0"/>
              <w:spacing w:line="360" w:lineRule="auto"/>
              <w:jc w:val="both"/>
              <w:rPr>
                <w:sz w:val="20"/>
                <w:szCs w:val="20"/>
              </w:rPr>
            </w:pPr>
            <w:r w:rsidRPr="00F94E2A">
              <w:rPr>
                <w:sz w:val="20"/>
                <w:szCs w:val="20"/>
              </w:rPr>
              <w:t>2.3</w:t>
            </w:r>
          </w:p>
        </w:tc>
        <w:tc>
          <w:tcPr>
            <w:tcW w:w="1530" w:type="dxa"/>
          </w:tcPr>
          <w:p w14:paraId="5A5548E4" w14:textId="23551954" w:rsidR="00BE4678" w:rsidRPr="00F94E2A" w:rsidRDefault="00BE4678" w:rsidP="00BE4678">
            <w:pPr>
              <w:bidi w:val="0"/>
              <w:spacing w:line="360" w:lineRule="auto"/>
              <w:jc w:val="both"/>
              <w:rPr>
                <w:sz w:val="20"/>
                <w:szCs w:val="20"/>
              </w:rPr>
            </w:pPr>
            <w:r w:rsidRPr="00F94E2A">
              <w:rPr>
                <w:sz w:val="20"/>
                <w:szCs w:val="20"/>
              </w:rPr>
              <w:t>154</w:t>
            </w:r>
          </w:p>
        </w:tc>
        <w:tc>
          <w:tcPr>
            <w:tcW w:w="810" w:type="dxa"/>
          </w:tcPr>
          <w:p w14:paraId="0BA68FB6" w14:textId="4E6EEC43" w:rsidR="00BE4678" w:rsidRPr="00F94E2A" w:rsidRDefault="00BE4678" w:rsidP="00BE4678">
            <w:pPr>
              <w:bidi w:val="0"/>
              <w:spacing w:line="360" w:lineRule="auto"/>
              <w:jc w:val="both"/>
              <w:rPr>
                <w:sz w:val="20"/>
                <w:szCs w:val="20"/>
              </w:rPr>
            </w:pPr>
            <w:r>
              <w:rPr>
                <w:sz w:val="20"/>
                <w:szCs w:val="20"/>
              </w:rPr>
              <w:t>9.8</w:t>
            </w:r>
          </w:p>
        </w:tc>
        <w:tc>
          <w:tcPr>
            <w:tcW w:w="1975" w:type="dxa"/>
          </w:tcPr>
          <w:p w14:paraId="0FE3E63A" w14:textId="106AAF05" w:rsidR="00BE4678" w:rsidRPr="00F94E2A" w:rsidRDefault="00BE4678" w:rsidP="00BE4678">
            <w:pPr>
              <w:bidi w:val="0"/>
              <w:spacing w:line="360" w:lineRule="auto"/>
              <w:jc w:val="both"/>
              <w:rPr>
                <w:sz w:val="20"/>
                <w:szCs w:val="20"/>
              </w:rPr>
            </w:pPr>
            <w:r>
              <w:t>0.07</w:t>
            </w:r>
          </w:p>
        </w:tc>
      </w:tr>
    </w:tbl>
    <w:p w14:paraId="405597C3" w14:textId="3B247A78" w:rsidR="007C495B" w:rsidRDefault="0062313C" w:rsidP="0092199A">
      <w:pPr>
        <w:bidi w:val="0"/>
        <w:spacing w:line="360" w:lineRule="auto"/>
        <w:jc w:val="both"/>
        <w:rPr>
          <w:rFonts w:ascii="Times-Roman" w:hAnsi="Times-Roman" w:cs="Times-Roman"/>
          <w:lang w:bidi="ar-SA"/>
        </w:rPr>
      </w:pPr>
      <w:r w:rsidRPr="006A0FA0">
        <w:rPr>
          <w:rFonts w:ascii="Times-Roman" w:hAnsi="Times-Roman" w:cs="Times-Roman"/>
          <w:lang w:bidi="ar-SA"/>
        </w:rPr>
        <w:t xml:space="preserve">Supplementary Table </w:t>
      </w:r>
      <w:r>
        <w:rPr>
          <w:rFonts w:ascii="Times-Roman" w:hAnsi="Times-Roman" w:cs="Times-Roman"/>
          <w:lang w:bidi="ar-SA"/>
        </w:rPr>
        <w:t>6</w:t>
      </w:r>
      <w:r w:rsidRPr="006A0FA0">
        <w:rPr>
          <w:rFonts w:ascii="Times-Roman" w:hAnsi="Times-Roman" w:cs="Times-Roman"/>
          <w:lang w:bidi="ar-SA"/>
        </w:rPr>
        <w:t xml:space="preserve">:  </w:t>
      </w:r>
      <w:r>
        <w:rPr>
          <w:rFonts w:ascii="Times-Roman" w:hAnsi="Times-Roman" w:cs="Times-Roman"/>
          <w:lang w:bidi="ar-SA"/>
        </w:rPr>
        <w:t>b</w:t>
      </w:r>
      <w:r w:rsidRPr="00D2186E">
        <w:rPr>
          <w:rFonts w:ascii="Times-Roman" w:hAnsi="Times-Roman" w:cs="Times-Roman"/>
          <w:lang w:bidi="ar-SA"/>
        </w:rPr>
        <w:t xml:space="preserve">est-fit model parameters </w:t>
      </w:r>
      <w:r w:rsidRPr="006A0FA0">
        <w:rPr>
          <w:rFonts w:ascii="Times-Roman" w:hAnsi="Times-Roman" w:cs="Times-Roman"/>
          <w:lang w:bidi="ar-SA"/>
        </w:rPr>
        <w:t xml:space="preserve">(channel thickness </w:t>
      </w:r>
      <m:oMath>
        <m:sSub>
          <m:sSubPr>
            <m:ctrlPr>
              <w:rPr>
                <w:rFonts w:ascii="Cambria Math" w:hAnsi="Cambria Math"/>
                <w:i/>
              </w:rPr>
            </m:ctrlPr>
          </m:sSubPr>
          <m:e>
            <m:r>
              <w:rPr>
                <w:rFonts w:ascii="Cambria Math" w:hAnsi="Cambria Math"/>
              </w:rPr>
              <m:t>h</m:t>
            </m:r>
          </m:e>
          <m:sub>
            <m:r>
              <w:rPr>
                <w:rFonts w:ascii="Cambria Math" w:hAnsi="Cambria Math"/>
              </w:rPr>
              <m:t>WCC</m:t>
            </m:r>
          </m:sub>
        </m:sSub>
      </m:oMath>
      <w:r w:rsidRPr="006A0FA0">
        <w:rPr>
          <w:rFonts w:ascii="Times-Roman" w:hAnsi="Times-Roman" w:cs="Times-Roman"/>
          <w:lang w:bidi="ar-SA"/>
        </w:rPr>
        <w:t xml:space="preserve"> and fault strength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m:rPr>
            <m:sty m:val="bi"/>
          </m:rPr>
          <w:rPr>
            <w:rFonts w:ascii="Cambria Math" w:hAnsi="Cambria Math"/>
          </w:rPr>
          <m:t>=</m:t>
        </m:r>
        <m:d>
          <m:dPr>
            <m:ctrlPr>
              <w:rPr>
                <w:rFonts w:ascii="Cambria Math" w:hAnsi="Cambria Math"/>
                <w:b/>
                <w:bCs/>
              </w:rPr>
            </m:ctrlPr>
          </m:dPr>
          <m:e>
            <m:r>
              <m:rPr>
                <m:sty m:val="b"/>
              </m:rPr>
              <w:rPr>
                <w:rFonts w:ascii="Cambria Math" w:hAnsi="Cambria Math"/>
              </w:rPr>
              <m:t>1-λ</m:t>
            </m:r>
          </m:e>
        </m:d>
        <m:sSup>
          <m:sSupPr>
            <m:ctrlPr>
              <w:rPr>
                <w:rFonts w:ascii="Cambria Math" w:hAnsi="Cambria Math"/>
                <w:b/>
                <w:bCs/>
              </w:rPr>
            </m:ctrlPr>
          </m:sSupPr>
          <m:e>
            <m:r>
              <m:rPr>
                <m:sty m:val="b"/>
              </m:rPr>
              <w:rPr>
                <w:rFonts w:ascii="Cambria Math" w:hAnsi="Cambria Math"/>
              </w:rPr>
              <m:t>μ</m:t>
            </m:r>
          </m:e>
          <m:sup>
            <m:r>
              <m:rPr>
                <m:sty m:val="b"/>
              </m:rPr>
              <w:rPr>
                <w:rFonts w:ascii="Cambria Math" w:hAnsi="Cambria Math"/>
              </w:rPr>
              <m:t>*</m:t>
            </m:r>
          </m:sup>
        </m:sSup>
      </m:oMath>
      <w:r w:rsidR="00ED6B3D" w:rsidRPr="00D86F05">
        <w:rPr>
          <w:rFonts w:ascii="Times-Roman" w:hAnsi="Times-Roman" w:cs="Times-Roman"/>
          <w:lang w:bidi="ar-SA"/>
        </w:rPr>
        <w:t>)</w:t>
      </w:r>
      <w:r w:rsidR="00ED6B3D">
        <w:rPr>
          <w:rFonts w:ascii="Times-Roman" w:hAnsi="Times-Roman" w:cs="Times-Roman"/>
          <w:lang w:bidi="ar-SA"/>
        </w:rPr>
        <w:t>)</w:t>
      </w:r>
      <w:r w:rsidR="00ED6B3D" w:rsidRPr="00D86F05">
        <w:rPr>
          <w:rFonts w:ascii="Times-Roman" w:hAnsi="Times-Roman" w:cs="Times-Roman"/>
          <w:lang w:bidi="ar-SA"/>
        </w:rPr>
        <w:t xml:space="preserve"> </w:t>
      </w:r>
      <w:r w:rsidRPr="00D2186E">
        <w:rPr>
          <w:rFonts w:ascii="Times-Roman" w:hAnsi="Times-Roman" w:cs="Times-Roman"/>
          <w:lang w:bidi="ar-SA"/>
        </w:rPr>
        <w:t xml:space="preserve">for </w:t>
      </w:r>
      <w:r>
        <w:rPr>
          <w:rFonts w:ascii="Times-Roman" w:hAnsi="Times-Roman" w:cs="Times-Roman"/>
          <w:lang w:bidi="ar-SA"/>
        </w:rPr>
        <w:t xml:space="preserve">wet </w:t>
      </w:r>
      <w:r w:rsidRPr="0062313C">
        <w:rPr>
          <w:rFonts w:ascii="Times-Roman" w:hAnsi="Times-Roman" w:cs="Times-Roman"/>
          <w:lang w:bidi="ar-SA"/>
        </w:rPr>
        <w:t>quartzite rheology</w:t>
      </w:r>
      <w:r>
        <w:rPr>
          <w:rFonts w:ascii="Times-Roman" w:hAnsi="Times-Roman" w:cs="Times-Roman"/>
          <w:lang w:bidi="ar-SA"/>
        </w:rPr>
        <w:t xml:space="preserve"> </w:t>
      </w:r>
      <w:r w:rsidRPr="00D2186E">
        <w:rPr>
          <w:rFonts w:ascii="Times-Roman" w:hAnsi="Times-Roman" w:cs="Times-Roman"/>
          <w:lang w:bidi="ar-SA"/>
        </w:rPr>
        <w:t>with varying pre-exponential factors (A) by orders of magnitude (1, 10, 100, and 1000).</w:t>
      </w:r>
    </w:p>
    <w:p w14:paraId="06CBBCEE" w14:textId="77777777" w:rsidR="008557ED" w:rsidRPr="0092199A" w:rsidRDefault="008557ED" w:rsidP="008557ED">
      <w:pPr>
        <w:bidi w:val="0"/>
        <w:spacing w:line="360" w:lineRule="auto"/>
        <w:jc w:val="both"/>
        <w:rPr>
          <w:rFonts w:ascii="Times-Roman" w:hAnsi="Times-Roman" w:cs="Times-Roman"/>
          <w:b/>
          <w:bCs/>
          <w:rtl/>
          <w:lang w:bidi="ar-SA"/>
        </w:rPr>
      </w:pPr>
    </w:p>
    <w:p w14:paraId="118E2322" w14:textId="5219EAA6" w:rsidR="007C495B" w:rsidRPr="00B828DB" w:rsidRDefault="00AB1340" w:rsidP="00623644">
      <w:pPr>
        <w:bidi w:val="0"/>
        <w:rPr>
          <w:b/>
          <w:bCs/>
          <w:noProof/>
        </w:rPr>
      </w:pPr>
      <w:r w:rsidRPr="00B828DB">
        <w:rPr>
          <w:b/>
          <w:bCs/>
          <w:noProof/>
        </w:rPr>
        <w:t>References</w:t>
      </w:r>
    </w:p>
    <w:p w14:paraId="0506F02E" w14:textId="7E1B7A5D" w:rsidR="00676B7A" w:rsidRPr="00676B7A" w:rsidRDefault="00AB1340" w:rsidP="00676B7A">
      <w:pPr>
        <w:widowControl w:val="0"/>
        <w:autoSpaceDE w:val="0"/>
        <w:autoSpaceDN w:val="0"/>
        <w:adjustRightInd w:val="0"/>
        <w:spacing w:line="240" w:lineRule="auto"/>
        <w:ind w:left="640" w:hanging="640"/>
        <w:rPr>
          <w:noProof/>
        </w:rPr>
      </w:pPr>
      <w:r>
        <w:rPr>
          <w:noProof/>
          <w:rtl/>
        </w:rPr>
        <w:fldChar w:fldCharType="begin" w:fldLock="1"/>
      </w:r>
      <w:r>
        <w:rPr>
          <w:noProof/>
        </w:rPr>
        <w:instrText>ADDIN Mendeley Bibliography CSL_BIBLIOGRAPHY</w:instrText>
      </w:r>
      <w:r>
        <w:rPr>
          <w:noProof/>
          <w:rtl/>
        </w:rPr>
        <w:instrText xml:space="preserve"> </w:instrText>
      </w:r>
      <w:r>
        <w:rPr>
          <w:noProof/>
          <w:rtl/>
        </w:rPr>
        <w:fldChar w:fldCharType="separate"/>
      </w:r>
      <w:r w:rsidR="00676B7A" w:rsidRPr="00676B7A">
        <w:rPr>
          <w:noProof/>
        </w:rPr>
        <w:t>1.</w:t>
      </w:r>
      <w:r w:rsidR="00676B7A" w:rsidRPr="00676B7A">
        <w:rPr>
          <w:noProof/>
        </w:rPr>
        <w:tab/>
        <w:t xml:space="preserve">Cowie, P. A., Scholz, C. H., Roberts, G. P., Faure Walker, J. P. &amp; Steer, P. Viscous roots of active seismogenic faults revealed by geologic slip rate variations. </w:t>
      </w:r>
      <w:r w:rsidR="00676B7A" w:rsidRPr="00676B7A">
        <w:rPr>
          <w:i/>
          <w:iCs/>
          <w:noProof/>
        </w:rPr>
        <w:t>Nat. Geosci.</w:t>
      </w:r>
      <w:r w:rsidR="00676B7A" w:rsidRPr="00676B7A">
        <w:rPr>
          <w:noProof/>
        </w:rPr>
        <w:t xml:space="preserve"> </w:t>
      </w:r>
      <w:r w:rsidR="00676B7A" w:rsidRPr="00676B7A">
        <w:rPr>
          <w:b/>
          <w:bCs/>
          <w:noProof/>
        </w:rPr>
        <w:t>6</w:t>
      </w:r>
      <w:r w:rsidR="00676B7A" w:rsidRPr="00676B7A">
        <w:rPr>
          <w:noProof/>
        </w:rPr>
        <w:t>, (2013).</w:t>
      </w:r>
    </w:p>
    <w:p w14:paraId="7638CFD4" w14:textId="77777777" w:rsidR="00676B7A" w:rsidRPr="00676B7A" w:rsidRDefault="00676B7A" w:rsidP="00676B7A">
      <w:pPr>
        <w:widowControl w:val="0"/>
        <w:autoSpaceDE w:val="0"/>
        <w:autoSpaceDN w:val="0"/>
        <w:adjustRightInd w:val="0"/>
        <w:spacing w:line="240" w:lineRule="auto"/>
        <w:ind w:left="640" w:hanging="640"/>
        <w:rPr>
          <w:noProof/>
        </w:rPr>
      </w:pPr>
      <w:r w:rsidRPr="00676B7A">
        <w:rPr>
          <w:noProof/>
        </w:rPr>
        <w:t>2.</w:t>
      </w:r>
      <w:r w:rsidRPr="00676B7A">
        <w:rPr>
          <w:noProof/>
        </w:rPr>
        <w:tab/>
        <w:t xml:space="preserve">Faure Walker, J. P. </w:t>
      </w:r>
      <w:r w:rsidRPr="00676B7A">
        <w:rPr>
          <w:i/>
          <w:iCs/>
          <w:noProof/>
        </w:rPr>
        <w:t>et al.</w:t>
      </w:r>
      <w:r w:rsidRPr="00676B7A">
        <w:rPr>
          <w:noProof/>
        </w:rPr>
        <w:t xml:space="preserve"> Relationship between topography, rates of extension and mantle dynamics in the actively-extending Italian Apennines. </w:t>
      </w:r>
      <w:r w:rsidRPr="00676B7A">
        <w:rPr>
          <w:i/>
          <w:iCs/>
          <w:noProof/>
        </w:rPr>
        <w:t>Earth Planet. Sci. Lett.</w:t>
      </w:r>
      <w:r w:rsidRPr="00676B7A">
        <w:rPr>
          <w:noProof/>
        </w:rPr>
        <w:t xml:space="preserve"> </w:t>
      </w:r>
      <w:r w:rsidRPr="00676B7A">
        <w:rPr>
          <w:b/>
          <w:bCs/>
          <w:noProof/>
        </w:rPr>
        <w:t>325</w:t>
      </w:r>
      <w:r w:rsidRPr="00676B7A">
        <w:rPr>
          <w:noProof/>
        </w:rPr>
        <w:t>–</w:t>
      </w:r>
      <w:r w:rsidRPr="00676B7A">
        <w:rPr>
          <w:b/>
          <w:bCs/>
          <w:noProof/>
        </w:rPr>
        <w:t>326</w:t>
      </w:r>
      <w:r w:rsidRPr="00676B7A">
        <w:rPr>
          <w:noProof/>
        </w:rPr>
        <w:t>, (2012).</w:t>
      </w:r>
    </w:p>
    <w:p w14:paraId="7C89DDEA" w14:textId="77777777" w:rsidR="00676B7A" w:rsidRPr="00676B7A" w:rsidRDefault="00676B7A" w:rsidP="00676B7A">
      <w:pPr>
        <w:widowControl w:val="0"/>
        <w:autoSpaceDE w:val="0"/>
        <w:autoSpaceDN w:val="0"/>
        <w:adjustRightInd w:val="0"/>
        <w:spacing w:line="240" w:lineRule="auto"/>
        <w:ind w:left="640" w:hanging="640"/>
        <w:rPr>
          <w:noProof/>
        </w:rPr>
      </w:pPr>
      <w:r w:rsidRPr="00676B7A">
        <w:rPr>
          <w:noProof/>
        </w:rPr>
        <w:t>3.</w:t>
      </w:r>
      <w:r w:rsidRPr="00676B7A">
        <w:rPr>
          <w:noProof/>
        </w:rPr>
        <w:tab/>
        <w:t xml:space="preserve">Chiarabba, C. &amp; De Gori, P. The seismogenic thickness in Italy: constraints on potential magnitude and seismic hazard. </w:t>
      </w:r>
      <w:r w:rsidRPr="00676B7A">
        <w:rPr>
          <w:i/>
          <w:iCs/>
          <w:noProof/>
        </w:rPr>
        <w:t>Terra Nov.</w:t>
      </w:r>
      <w:r w:rsidRPr="00676B7A">
        <w:rPr>
          <w:noProof/>
        </w:rPr>
        <w:t xml:space="preserve"> </w:t>
      </w:r>
      <w:r w:rsidRPr="00676B7A">
        <w:rPr>
          <w:b/>
          <w:bCs/>
          <w:noProof/>
        </w:rPr>
        <w:t>28</w:t>
      </w:r>
      <w:r w:rsidRPr="00676B7A">
        <w:rPr>
          <w:noProof/>
        </w:rPr>
        <w:t>, (2016).</w:t>
      </w:r>
    </w:p>
    <w:p w14:paraId="50135B69" w14:textId="77777777" w:rsidR="00676B7A" w:rsidRPr="00676B7A" w:rsidRDefault="00676B7A" w:rsidP="00676B7A">
      <w:pPr>
        <w:widowControl w:val="0"/>
        <w:autoSpaceDE w:val="0"/>
        <w:autoSpaceDN w:val="0"/>
        <w:adjustRightInd w:val="0"/>
        <w:spacing w:line="240" w:lineRule="auto"/>
        <w:ind w:left="640" w:hanging="640"/>
        <w:rPr>
          <w:noProof/>
        </w:rPr>
      </w:pPr>
      <w:r w:rsidRPr="00676B7A">
        <w:rPr>
          <w:noProof/>
        </w:rPr>
        <w:t>4.</w:t>
      </w:r>
      <w:r w:rsidRPr="00676B7A">
        <w:rPr>
          <w:noProof/>
        </w:rPr>
        <w:tab/>
        <w:t xml:space="preserve">Boncio, P., Tinari, D. P., Lavecchia, G., Visini, F. &amp; Milana, G. The instrumental seismicity of the Abruzzo Region in Central Italy (1981-2003): Seismotectonic implications. </w:t>
      </w:r>
      <w:r w:rsidRPr="00676B7A">
        <w:rPr>
          <w:i/>
          <w:iCs/>
          <w:noProof/>
        </w:rPr>
        <w:t>Boll. della Soc. Geol. Ital.</w:t>
      </w:r>
      <w:r w:rsidRPr="00676B7A">
        <w:rPr>
          <w:noProof/>
        </w:rPr>
        <w:t xml:space="preserve"> </w:t>
      </w:r>
      <w:r w:rsidRPr="00676B7A">
        <w:rPr>
          <w:b/>
          <w:bCs/>
          <w:noProof/>
        </w:rPr>
        <w:t>128</w:t>
      </w:r>
      <w:r w:rsidRPr="00676B7A">
        <w:rPr>
          <w:noProof/>
        </w:rPr>
        <w:t>, (2009).</w:t>
      </w:r>
    </w:p>
    <w:p w14:paraId="11A6994C" w14:textId="77777777" w:rsidR="00676B7A" w:rsidRPr="00676B7A" w:rsidRDefault="00676B7A" w:rsidP="00676B7A">
      <w:pPr>
        <w:widowControl w:val="0"/>
        <w:autoSpaceDE w:val="0"/>
        <w:autoSpaceDN w:val="0"/>
        <w:adjustRightInd w:val="0"/>
        <w:spacing w:line="240" w:lineRule="auto"/>
        <w:ind w:left="640" w:hanging="640"/>
        <w:rPr>
          <w:noProof/>
        </w:rPr>
      </w:pPr>
      <w:r w:rsidRPr="00676B7A">
        <w:rPr>
          <w:noProof/>
        </w:rPr>
        <w:t>5.</w:t>
      </w:r>
      <w:r w:rsidRPr="00676B7A">
        <w:rPr>
          <w:noProof/>
        </w:rPr>
        <w:tab/>
        <w:t xml:space="preserve">Menichelli, I., Bianchi, I. &amp; Chiarabba, C. A lower crust shear zone facilitates delamination and continental subduction under the Apennines. </w:t>
      </w:r>
      <w:r w:rsidRPr="00676B7A">
        <w:rPr>
          <w:i/>
          <w:iCs/>
          <w:noProof/>
        </w:rPr>
        <w:t>Commun. Earth Environ.</w:t>
      </w:r>
      <w:r w:rsidRPr="00676B7A">
        <w:rPr>
          <w:noProof/>
        </w:rPr>
        <w:t xml:space="preserve"> </w:t>
      </w:r>
      <w:r w:rsidRPr="00676B7A">
        <w:rPr>
          <w:b/>
          <w:bCs/>
          <w:noProof/>
        </w:rPr>
        <w:t>5</w:t>
      </w:r>
      <w:r w:rsidRPr="00676B7A">
        <w:rPr>
          <w:noProof/>
        </w:rPr>
        <w:t>, (2024).</w:t>
      </w:r>
    </w:p>
    <w:p w14:paraId="3F53BD65" w14:textId="77777777" w:rsidR="00676B7A" w:rsidRPr="00676B7A" w:rsidRDefault="00676B7A" w:rsidP="00676B7A">
      <w:pPr>
        <w:widowControl w:val="0"/>
        <w:autoSpaceDE w:val="0"/>
        <w:autoSpaceDN w:val="0"/>
        <w:adjustRightInd w:val="0"/>
        <w:spacing w:line="240" w:lineRule="auto"/>
        <w:ind w:left="640" w:hanging="640"/>
        <w:rPr>
          <w:noProof/>
        </w:rPr>
      </w:pPr>
      <w:r w:rsidRPr="00676B7A">
        <w:rPr>
          <w:noProof/>
        </w:rPr>
        <w:t>6.</w:t>
      </w:r>
      <w:r w:rsidRPr="00676B7A">
        <w:rPr>
          <w:noProof/>
        </w:rPr>
        <w:tab/>
      </w:r>
      <w:r w:rsidRPr="00676B7A">
        <w:rPr>
          <w:i/>
          <w:iCs/>
          <w:noProof/>
        </w:rPr>
        <w:t>Anatomy of an Orogen: the Apennines and Adjacent Mediterranean Basins</w:t>
      </w:r>
      <w:r w:rsidRPr="00676B7A">
        <w:rPr>
          <w:noProof/>
        </w:rPr>
        <w:t xml:space="preserve">. </w:t>
      </w:r>
      <w:r w:rsidRPr="00676B7A">
        <w:rPr>
          <w:i/>
          <w:iCs/>
          <w:noProof/>
        </w:rPr>
        <w:t>Anatomy of an Orogen: the Apennines and Adjacent Mediterranean Basins</w:t>
      </w:r>
      <w:r w:rsidRPr="00676B7A">
        <w:rPr>
          <w:noProof/>
        </w:rPr>
        <w:t xml:space="preserve"> (2001). doi:10.1007/978-94-015-9829-3.</w:t>
      </w:r>
    </w:p>
    <w:p w14:paraId="0A959BCB" w14:textId="77777777" w:rsidR="00676B7A" w:rsidRPr="00676B7A" w:rsidRDefault="00676B7A" w:rsidP="00676B7A">
      <w:pPr>
        <w:widowControl w:val="0"/>
        <w:autoSpaceDE w:val="0"/>
        <w:autoSpaceDN w:val="0"/>
        <w:adjustRightInd w:val="0"/>
        <w:spacing w:line="240" w:lineRule="auto"/>
        <w:ind w:left="640" w:hanging="640"/>
        <w:rPr>
          <w:noProof/>
        </w:rPr>
      </w:pPr>
      <w:r w:rsidRPr="00676B7A">
        <w:rPr>
          <w:noProof/>
        </w:rPr>
        <w:t>7.</w:t>
      </w:r>
      <w:r w:rsidRPr="00676B7A">
        <w:rPr>
          <w:noProof/>
        </w:rPr>
        <w:tab/>
        <w:t xml:space="preserve">Panda, D., Mondal, A. &amp; Kundu, B. Eastward “glacier-like flow” of the Tibetan crust constrained from power-law rheology. </w:t>
      </w:r>
      <w:r w:rsidRPr="00676B7A">
        <w:rPr>
          <w:i/>
          <w:iCs/>
          <w:noProof/>
        </w:rPr>
        <w:t>J. Asian Earth Sci.</w:t>
      </w:r>
      <w:r w:rsidRPr="00676B7A">
        <w:rPr>
          <w:noProof/>
        </w:rPr>
        <w:t xml:space="preserve"> </w:t>
      </w:r>
      <w:r w:rsidRPr="00676B7A">
        <w:rPr>
          <w:b/>
          <w:bCs/>
          <w:noProof/>
        </w:rPr>
        <w:t>177</w:t>
      </w:r>
      <w:r w:rsidRPr="00676B7A">
        <w:rPr>
          <w:noProof/>
        </w:rPr>
        <w:t>, (2019).</w:t>
      </w:r>
    </w:p>
    <w:p w14:paraId="288674E4" w14:textId="77777777" w:rsidR="00676B7A" w:rsidRPr="00676B7A" w:rsidRDefault="00676B7A" w:rsidP="00676B7A">
      <w:pPr>
        <w:widowControl w:val="0"/>
        <w:autoSpaceDE w:val="0"/>
        <w:autoSpaceDN w:val="0"/>
        <w:adjustRightInd w:val="0"/>
        <w:spacing w:line="240" w:lineRule="auto"/>
        <w:ind w:left="640" w:hanging="640"/>
        <w:rPr>
          <w:noProof/>
        </w:rPr>
      </w:pPr>
      <w:r w:rsidRPr="00676B7A">
        <w:rPr>
          <w:noProof/>
        </w:rPr>
        <w:t>8.</w:t>
      </w:r>
      <w:r w:rsidRPr="00676B7A">
        <w:rPr>
          <w:noProof/>
        </w:rPr>
        <w:tab/>
        <w:t xml:space="preserve">Clark, M. K. &amp; Royden, L. H. Topographic ooze: Building the eastern margin of Tibet by lower crustal flow. </w:t>
      </w:r>
      <w:r w:rsidRPr="00676B7A">
        <w:rPr>
          <w:i/>
          <w:iCs/>
          <w:noProof/>
        </w:rPr>
        <w:t>Geology</w:t>
      </w:r>
      <w:r w:rsidRPr="00676B7A">
        <w:rPr>
          <w:noProof/>
        </w:rPr>
        <w:t xml:space="preserve"> </w:t>
      </w:r>
      <w:r w:rsidRPr="00676B7A">
        <w:rPr>
          <w:b/>
          <w:bCs/>
          <w:noProof/>
        </w:rPr>
        <w:t>28</w:t>
      </w:r>
      <w:r w:rsidRPr="00676B7A">
        <w:rPr>
          <w:noProof/>
        </w:rPr>
        <w:t>, (2000).</w:t>
      </w:r>
    </w:p>
    <w:p w14:paraId="493F26DE" w14:textId="77777777" w:rsidR="00676B7A" w:rsidRPr="00676B7A" w:rsidRDefault="00676B7A" w:rsidP="00676B7A">
      <w:pPr>
        <w:widowControl w:val="0"/>
        <w:autoSpaceDE w:val="0"/>
        <w:autoSpaceDN w:val="0"/>
        <w:adjustRightInd w:val="0"/>
        <w:spacing w:line="240" w:lineRule="auto"/>
        <w:ind w:left="640" w:hanging="640"/>
        <w:rPr>
          <w:noProof/>
        </w:rPr>
      </w:pPr>
      <w:r w:rsidRPr="00676B7A">
        <w:rPr>
          <w:noProof/>
        </w:rPr>
        <w:t>9.</w:t>
      </w:r>
      <w:r w:rsidRPr="00676B7A">
        <w:rPr>
          <w:noProof/>
        </w:rPr>
        <w:tab/>
        <w:t xml:space="preserve">Yang, Y. </w:t>
      </w:r>
      <w:r w:rsidRPr="00676B7A">
        <w:rPr>
          <w:i/>
          <w:iCs/>
          <w:noProof/>
        </w:rPr>
        <w:t>et al.</w:t>
      </w:r>
      <w:r w:rsidRPr="00676B7A">
        <w:rPr>
          <w:noProof/>
        </w:rPr>
        <w:t xml:space="preserve"> A synoptic view of the distribution and connectivity of the mid-crustal low velocity zone beneath Tibet. </w:t>
      </w:r>
      <w:r w:rsidRPr="00676B7A">
        <w:rPr>
          <w:i/>
          <w:iCs/>
          <w:noProof/>
        </w:rPr>
        <w:t>Journal of Geophysical Research: Solid Earth</w:t>
      </w:r>
      <w:r w:rsidRPr="00676B7A">
        <w:rPr>
          <w:noProof/>
        </w:rPr>
        <w:t xml:space="preserve"> vol. 117 at https://doi.org/10.1029/2011JB008810 (2012).</w:t>
      </w:r>
    </w:p>
    <w:p w14:paraId="16C2FCE6" w14:textId="77777777" w:rsidR="00676B7A" w:rsidRPr="00676B7A" w:rsidRDefault="00676B7A" w:rsidP="00676B7A">
      <w:pPr>
        <w:widowControl w:val="0"/>
        <w:autoSpaceDE w:val="0"/>
        <w:autoSpaceDN w:val="0"/>
        <w:adjustRightInd w:val="0"/>
        <w:spacing w:line="240" w:lineRule="auto"/>
        <w:ind w:left="640" w:hanging="640"/>
        <w:rPr>
          <w:noProof/>
        </w:rPr>
      </w:pPr>
      <w:r w:rsidRPr="00676B7A">
        <w:rPr>
          <w:noProof/>
        </w:rPr>
        <w:t>10.</w:t>
      </w:r>
      <w:r w:rsidRPr="00676B7A">
        <w:rPr>
          <w:noProof/>
        </w:rPr>
        <w:tab/>
        <w:t xml:space="preserve">Bao, X., Song, X. &amp; Li, J. High-resolution lithospheric structure beneath Mainland China from ambient noise and earthquake surface-wave tomography. </w:t>
      </w:r>
      <w:r w:rsidRPr="00676B7A">
        <w:rPr>
          <w:i/>
          <w:iCs/>
          <w:noProof/>
        </w:rPr>
        <w:t>Earth Planet. Sci. Lett.</w:t>
      </w:r>
      <w:r w:rsidRPr="00676B7A">
        <w:rPr>
          <w:noProof/>
        </w:rPr>
        <w:t xml:space="preserve"> </w:t>
      </w:r>
      <w:r w:rsidRPr="00676B7A">
        <w:rPr>
          <w:b/>
          <w:bCs/>
          <w:noProof/>
        </w:rPr>
        <w:t>417</w:t>
      </w:r>
      <w:r w:rsidRPr="00676B7A">
        <w:rPr>
          <w:noProof/>
        </w:rPr>
        <w:t>, (2015).</w:t>
      </w:r>
    </w:p>
    <w:p w14:paraId="516CCCC2" w14:textId="77777777" w:rsidR="00676B7A" w:rsidRPr="00676B7A" w:rsidRDefault="00676B7A" w:rsidP="00676B7A">
      <w:pPr>
        <w:widowControl w:val="0"/>
        <w:autoSpaceDE w:val="0"/>
        <w:autoSpaceDN w:val="0"/>
        <w:adjustRightInd w:val="0"/>
        <w:spacing w:line="240" w:lineRule="auto"/>
        <w:ind w:left="640" w:hanging="640"/>
        <w:rPr>
          <w:noProof/>
        </w:rPr>
      </w:pPr>
      <w:r w:rsidRPr="00676B7A">
        <w:rPr>
          <w:noProof/>
        </w:rPr>
        <w:lastRenderedPageBreak/>
        <w:t>11.</w:t>
      </w:r>
      <w:r w:rsidRPr="00676B7A">
        <w:rPr>
          <w:noProof/>
        </w:rPr>
        <w:tab/>
        <w:t xml:space="preserve">Zhang, Z. </w:t>
      </w:r>
      <w:r w:rsidRPr="00676B7A">
        <w:rPr>
          <w:i/>
          <w:iCs/>
          <w:noProof/>
        </w:rPr>
        <w:t>et al.</w:t>
      </w:r>
      <w:r w:rsidRPr="00676B7A">
        <w:rPr>
          <w:noProof/>
        </w:rPr>
        <w:t xml:space="preserve"> An overview of the crustal structure of the Tibetan plateau after 35 years of deep seismic soundings. </w:t>
      </w:r>
      <w:r w:rsidRPr="00676B7A">
        <w:rPr>
          <w:i/>
          <w:iCs/>
          <w:noProof/>
        </w:rPr>
        <w:t>J. Asian Earth Sci.</w:t>
      </w:r>
      <w:r w:rsidRPr="00676B7A">
        <w:rPr>
          <w:noProof/>
        </w:rPr>
        <w:t xml:space="preserve"> </w:t>
      </w:r>
      <w:r w:rsidRPr="00676B7A">
        <w:rPr>
          <w:b/>
          <w:bCs/>
          <w:noProof/>
        </w:rPr>
        <w:t>40</w:t>
      </w:r>
      <w:r w:rsidRPr="00676B7A">
        <w:rPr>
          <w:noProof/>
        </w:rPr>
        <w:t>, (2011).</w:t>
      </w:r>
    </w:p>
    <w:p w14:paraId="55F81A13" w14:textId="77777777" w:rsidR="00676B7A" w:rsidRPr="00676B7A" w:rsidRDefault="00676B7A" w:rsidP="00676B7A">
      <w:pPr>
        <w:widowControl w:val="0"/>
        <w:autoSpaceDE w:val="0"/>
        <w:autoSpaceDN w:val="0"/>
        <w:adjustRightInd w:val="0"/>
        <w:spacing w:line="240" w:lineRule="auto"/>
        <w:ind w:left="640" w:hanging="640"/>
        <w:rPr>
          <w:noProof/>
        </w:rPr>
      </w:pPr>
      <w:r w:rsidRPr="00676B7A">
        <w:rPr>
          <w:noProof/>
        </w:rPr>
        <w:t>12.</w:t>
      </w:r>
      <w:r w:rsidRPr="00676B7A">
        <w:rPr>
          <w:noProof/>
        </w:rPr>
        <w:tab/>
        <w:t xml:space="preserve">Wei, S. </w:t>
      </w:r>
      <w:r w:rsidRPr="00676B7A">
        <w:rPr>
          <w:i/>
          <w:iCs/>
          <w:noProof/>
        </w:rPr>
        <w:t>et al.</w:t>
      </w:r>
      <w:r w:rsidRPr="00676B7A">
        <w:rPr>
          <w:noProof/>
        </w:rPr>
        <w:t xml:space="preserve"> Regional earthquakes in northern Tibetan Plateau: Implications for lithospheric strength in Tibet. </w:t>
      </w:r>
      <w:r w:rsidRPr="00676B7A">
        <w:rPr>
          <w:i/>
          <w:iCs/>
          <w:noProof/>
        </w:rPr>
        <w:t>Geophys. Res. Lett.</w:t>
      </w:r>
      <w:r w:rsidRPr="00676B7A">
        <w:rPr>
          <w:noProof/>
        </w:rPr>
        <w:t xml:space="preserve"> </w:t>
      </w:r>
      <w:r w:rsidRPr="00676B7A">
        <w:rPr>
          <w:b/>
          <w:bCs/>
          <w:noProof/>
        </w:rPr>
        <w:t>37</w:t>
      </w:r>
      <w:r w:rsidRPr="00676B7A">
        <w:rPr>
          <w:noProof/>
        </w:rPr>
        <w:t>, (2010).</w:t>
      </w:r>
    </w:p>
    <w:p w14:paraId="2A0D1E73" w14:textId="77777777" w:rsidR="00676B7A" w:rsidRPr="00676B7A" w:rsidRDefault="00676B7A" w:rsidP="00676B7A">
      <w:pPr>
        <w:widowControl w:val="0"/>
        <w:autoSpaceDE w:val="0"/>
        <w:autoSpaceDN w:val="0"/>
        <w:adjustRightInd w:val="0"/>
        <w:spacing w:line="240" w:lineRule="auto"/>
        <w:ind w:left="640" w:hanging="640"/>
        <w:rPr>
          <w:noProof/>
        </w:rPr>
      </w:pPr>
      <w:r w:rsidRPr="00676B7A">
        <w:rPr>
          <w:noProof/>
        </w:rPr>
        <w:t>13.</w:t>
      </w:r>
      <w:r w:rsidRPr="00676B7A">
        <w:rPr>
          <w:noProof/>
        </w:rPr>
        <w:tab/>
        <w:t xml:space="preserve">Andronicos, C. L., Velasco, A. A. &amp; Hurtado, J. M. Large-scale deformation in the India-Asia collision constrained by earthquakes and topography. </w:t>
      </w:r>
      <w:r w:rsidRPr="00676B7A">
        <w:rPr>
          <w:i/>
          <w:iCs/>
          <w:noProof/>
        </w:rPr>
        <w:t>Terra Nov.</w:t>
      </w:r>
      <w:r w:rsidRPr="00676B7A">
        <w:rPr>
          <w:noProof/>
        </w:rPr>
        <w:t xml:space="preserve"> </w:t>
      </w:r>
      <w:r w:rsidRPr="00676B7A">
        <w:rPr>
          <w:b/>
          <w:bCs/>
          <w:noProof/>
        </w:rPr>
        <w:t>19</w:t>
      </w:r>
      <w:r w:rsidRPr="00676B7A">
        <w:rPr>
          <w:noProof/>
        </w:rPr>
        <w:t>, (2007).</w:t>
      </w:r>
    </w:p>
    <w:p w14:paraId="5455E98F" w14:textId="77777777" w:rsidR="00676B7A" w:rsidRPr="00676B7A" w:rsidRDefault="00676B7A" w:rsidP="00676B7A">
      <w:pPr>
        <w:widowControl w:val="0"/>
        <w:autoSpaceDE w:val="0"/>
        <w:autoSpaceDN w:val="0"/>
        <w:adjustRightInd w:val="0"/>
        <w:spacing w:line="240" w:lineRule="auto"/>
        <w:ind w:left="640" w:hanging="640"/>
        <w:rPr>
          <w:noProof/>
        </w:rPr>
      </w:pPr>
      <w:r w:rsidRPr="00676B7A">
        <w:rPr>
          <w:noProof/>
        </w:rPr>
        <w:t>14.</w:t>
      </w:r>
      <w:r w:rsidRPr="00676B7A">
        <w:rPr>
          <w:noProof/>
        </w:rPr>
        <w:tab/>
        <w:t xml:space="preserve">Liu, Q. Y. </w:t>
      </w:r>
      <w:r w:rsidRPr="00676B7A">
        <w:rPr>
          <w:i/>
          <w:iCs/>
          <w:noProof/>
        </w:rPr>
        <w:t>et al.</w:t>
      </w:r>
      <w:r w:rsidRPr="00676B7A">
        <w:rPr>
          <w:noProof/>
        </w:rPr>
        <w:t xml:space="preserve"> Eastward expansion of the Tibetan Plateau by crustal flow and strain partitioning across faults. </w:t>
      </w:r>
      <w:r w:rsidRPr="00676B7A">
        <w:rPr>
          <w:i/>
          <w:iCs/>
          <w:noProof/>
        </w:rPr>
        <w:t>Nat. Geosci.</w:t>
      </w:r>
      <w:r w:rsidRPr="00676B7A">
        <w:rPr>
          <w:noProof/>
        </w:rPr>
        <w:t xml:space="preserve"> </w:t>
      </w:r>
      <w:r w:rsidRPr="00676B7A">
        <w:rPr>
          <w:b/>
          <w:bCs/>
          <w:noProof/>
        </w:rPr>
        <w:t>7</w:t>
      </w:r>
      <w:r w:rsidRPr="00676B7A">
        <w:rPr>
          <w:noProof/>
        </w:rPr>
        <w:t>, (2014).</w:t>
      </w:r>
    </w:p>
    <w:p w14:paraId="7EEDED3C" w14:textId="77777777" w:rsidR="00676B7A" w:rsidRPr="00676B7A" w:rsidRDefault="00676B7A" w:rsidP="00676B7A">
      <w:pPr>
        <w:widowControl w:val="0"/>
        <w:autoSpaceDE w:val="0"/>
        <w:autoSpaceDN w:val="0"/>
        <w:adjustRightInd w:val="0"/>
        <w:spacing w:line="240" w:lineRule="auto"/>
        <w:ind w:left="640" w:hanging="640"/>
        <w:rPr>
          <w:noProof/>
        </w:rPr>
      </w:pPr>
      <w:r w:rsidRPr="00676B7A">
        <w:rPr>
          <w:noProof/>
        </w:rPr>
        <w:t>15.</w:t>
      </w:r>
      <w:r w:rsidRPr="00676B7A">
        <w:rPr>
          <w:noProof/>
        </w:rPr>
        <w:tab/>
        <w:t xml:space="preserve">Jiang, G. </w:t>
      </w:r>
      <w:r w:rsidRPr="00676B7A">
        <w:rPr>
          <w:i/>
          <w:iCs/>
          <w:noProof/>
        </w:rPr>
        <w:t>et al.</w:t>
      </w:r>
      <w:r w:rsidRPr="00676B7A">
        <w:rPr>
          <w:noProof/>
        </w:rPr>
        <w:t xml:space="preserve"> Terrestrial heat flow of continental China: Updated dataset and tectonic implications. </w:t>
      </w:r>
      <w:r w:rsidRPr="00676B7A">
        <w:rPr>
          <w:i/>
          <w:iCs/>
          <w:noProof/>
        </w:rPr>
        <w:t>Tectonophysics</w:t>
      </w:r>
      <w:r w:rsidRPr="00676B7A">
        <w:rPr>
          <w:noProof/>
        </w:rPr>
        <w:t xml:space="preserve"> </w:t>
      </w:r>
      <w:r w:rsidRPr="00676B7A">
        <w:rPr>
          <w:b/>
          <w:bCs/>
          <w:noProof/>
        </w:rPr>
        <w:t>753</w:t>
      </w:r>
      <w:r w:rsidRPr="00676B7A">
        <w:rPr>
          <w:noProof/>
        </w:rPr>
        <w:t>, (2019).</w:t>
      </w:r>
    </w:p>
    <w:p w14:paraId="08B31248" w14:textId="77777777" w:rsidR="00676B7A" w:rsidRPr="00676B7A" w:rsidRDefault="00676B7A" w:rsidP="00676B7A">
      <w:pPr>
        <w:widowControl w:val="0"/>
        <w:autoSpaceDE w:val="0"/>
        <w:autoSpaceDN w:val="0"/>
        <w:adjustRightInd w:val="0"/>
        <w:spacing w:line="240" w:lineRule="auto"/>
        <w:ind w:left="640" w:hanging="640"/>
        <w:rPr>
          <w:noProof/>
        </w:rPr>
      </w:pPr>
      <w:r w:rsidRPr="00676B7A">
        <w:rPr>
          <w:noProof/>
        </w:rPr>
        <w:t>16.</w:t>
      </w:r>
      <w:r w:rsidRPr="00676B7A">
        <w:rPr>
          <w:noProof/>
        </w:rPr>
        <w:tab/>
        <w:t xml:space="preserve">Wang, Q. </w:t>
      </w:r>
      <w:r w:rsidRPr="00676B7A">
        <w:rPr>
          <w:i/>
          <w:iCs/>
          <w:noProof/>
        </w:rPr>
        <w:t>et al.</w:t>
      </w:r>
      <w:r w:rsidRPr="00676B7A">
        <w:rPr>
          <w:noProof/>
        </w:rPr>
        <w:t xml:space="preserve"> Pliocene-Quaternary crustal melting in central and northern Tibet and insights into crustal flow. </w:t>
      </w:r>
      <w:r w:rsidRPr="00676B7A">
        <w:rPr>
          <w:i/>
          <w:iCs/>
          <w:noProof/>
        </w:rPr>
        <w:t>Nat. Commun.</w:t>
      </w:r>
      <w:r w:rsidRPr="00676B7A">
        <w:rPr>
          <w:noProof/>
        </w:rPr>
        <w:t xml:space="preserve"> </w:t>
      </w:r>
      <w:r w:rsidRPr="00676B7A">
        <w:rPr>
          <w:b/>
          <w:bCs/>
          <w:noProof/>
        </w:rPr>
        <w:t>7</w:t>
      </w:r>
      <w:r w:rsidRPr="00676B7A">
        <w:rPr>
          <w:noProof/>
        </w:rPr>
        <w:t>, (2016).</w:t>
      </w:r>
    </w:p>
    <w:p w14:paraId="58D114D1" w14:textId="77777777" w:rsidR="00676B7A" w:rsidRPr="00676B7A" w:rsidRDefault="00676B7A" w:rsidP="00676B7A">
      <w:pPr>
        <w:widowControl w:val="0"/>
        <w:autoSpaceDE w:val="0"/>
        <w:autoSpaceDN w:val="0"/>
        <w:adjustRightInd w:val="0"/>
        <w:spacing w:line="240" w:lineRule="auto"/>
        <w:ind w:left="640" w:hanging="640"/>
        <w:rPr>
          <w:noProof/>
        </w:rPr>
      </w:pPr>
      <w:r w:rsidRPr="00676B7A">
        <w:rPr>
          <w:noProof/>
        </w:rPr>
        <w:t>17.</w:t>
      </w:r>
      <w:r w:rsidRPr="00676B7A">
        <w:rPr>
          <w:noProof/>
        </w:rPr>
        <w:tab/>
        <w:t xml:space="preserve">Chen, J. </w:t>
      </w:r>
      <w:r w:rsidRPr="00676B7A">
        <w:rPr>
          <w:i/>
          <w:iCs/>
          <w:noProof/>
        </w:rPr>
        <w:t>et al.</w:t>
      </w:r>
      <w:r w:rsidRPr="00676B7A">
        <w:rPr>
          <w:noProof/>
        </w:rPr>
        <w:t xml:space="preserve"> Melting conditions in the modern Tibetan crust since the Miocene. </w:t>
      </w:r>
      <w:r w:rsidRPr="00676B7A">
        <w:rPr>
          <w:i/>
          <w:iCs/>
          <w:noProof/>
        </w:rPr>
        <w:t>Nat. Commun.</w:t>
      </w:r>
      <w:r w:rsidRPr="00676B7A">
        <w:rPr>
          <w:noProof/>
        </w:rPr>
        <w:t xml:space="preserve"> </w:t>
      </w:r>
      <w:r w:rsidRPr="00676B7A">
        <w:rPr>
          <w:b/>
          <w:bCs/>
          <w:noProof/>
        </w:rPr>
        <w:t>9</w:t>
      </w:r>
      <w:r w:rsidRPr="00676B7A">
        <w:rPr>
          <w:noProof/>
        </w:rPr>
        <w:t>, (2018).</w:t>
      </w:r>
    </w:p>
    <w:p w14:paraId="68188CC3" w14:textId="77777777" w:rsidR="00676B7A" w:rsidRPr="00676B7A" w:rsidRDefault="00676B7A" w:rsidP="00676B7A">
      <w:pPr>
        <w:widowControl w:val="0"/>
        <w:autoSpaceDE w:val="0"/>
        <w:autoSpaceDN w:val="0"/>
        <w:adjustRightInd w:val="0"/>
        <w:spacing w:line="240" w:lineRule="auto"/>
        <w:ind w:left="640" w:hanging="640"/>
        <w:rPr>
          <w:noProof/>
        </w:rPr>
      </w:pPr>
      <w:r w:rsidRPr="00676B7A">
        <w:rPr>
          <w:noProof/>
        </w:rPr>
        <w:t>18.</w:t>
      </w:r>
      <w:r w:rsidRPr="00676B7A">
        <w:rPr>
          <w:noProof/>
        </w:rPr>
        <w:tab/>
        <w:t xml:space="preserve">Zhang, X. Z. </w:t>
      </w:r>
      <w:r w:rsidRPr="00676B7A">
        <w:rPr>
          <w:i/>
          <w:iCs/>
          <w:noProof/>
        </w:rPr>
        <w:t>et al.</w:t>
      </w:r>
      <w:r w:rsidRPr="00676B7A">
        <w:rPr>
          <w:noProof/>
        </w:rPr>
        <w:t xml:space="preserve"> Tibetan Plateau growth linked to crustal thermal transitions since the Miocene. </w:t>
      </w:r>
      <w:r w:rsidRPr="00676B7A">
        <w:rPr>
          <w:i/>
          <w:iCs/>
          <w:noProof/>
        </w:rPr>
        <w:t>Geology</w:t>
      </w:r>
      <w:r w:rsidRPr="00676B7A">
        <w:rPr>
          <w:noProof/>
        </w:rPr>
        <w:t xml:space="preserve"> </w:t>
      </w:r>
      <w:r w:rsidRPr="00676B7A">
        <w:rPr>
          <w:b/>
          <w:bCs/>
          <w:noProof/>
        </w:rPr>
        <w:t>50</w:t>
      </w:r>
      <w:r w:rsidRPr="00676B7A">
        <w:rPr>
          <w:noProof/>
        </w:rPr>
        <w:t>, (2022).</w:t>
      </w:r>
    </w:p>
    <w:p w14:paraId="10DCF1D4" w14:textId="77777777" w:rsidR="00676B7A" w:rsidRPr="00676B7A" w:rsidRDefault="00676B7A" w:rsidP="00676B7A">
      <w:pPr>
        <w:widowControl w:val="0"/>
        <w:autoSpaceDE w:val="0"/>
        <w:autoSpaceDN w:val="0"/>
        <w:adjustRightInd w:val="0"/>
        <w:spacing w:line="240" w:lineRule="auto"/>
        <w:ind w:left="640" w:hanging="640"/>
        <w:rPr>
          <w:noProof/>
        </w:rPr>
      </w:pPr>
      <w:r w:rsidRPr="00676B7A">
        <w:rPr>
          <w:noProof/>
        </w:rPr>
        <w:t>19.</w:t>
      </w:r>
      <w:r w:rsidRPr="00676B7A">
        <w:rPr>
          <w:noProof/>
        </w:rPr>
        <w:tab/>
        <w:t xml:space="preserve">Unsworth, M. J. </w:t>
      </w:r>
      <w:r w:rsidRPr="00676B7A">
        <w:rPr>
          <w:i/>
          <w:iCs/>
          <w:noProof/>
        </w:rPr>
        <w:t>et al.</w:t>
      </w:r>
      <w:r w:rsidRPr="00676B7A">
        <w:rPr>
          <w:noProof/>
        </w:rPr>
        <w:t xml:space="preserve"> Crustal rheology of the Himalaya and Southern Tibet inferred from magnetotelluric data. </w:t>
      </w:r>
      <w:r w:rsidRPr="00676B7A">
        <w:rPr>
          <w:i/>
          <w:iCs/>
          <w:noProof/>
        </w:rPr>
        <w:t>Nature</w:t>
      </w:r>
      <w:r w:rsidRPr="00676B7A">
        <w:rPr>
          <w:noProof/>
        </w:rPr>
        <w:t xml:space="preserve"> </w:t>
      </w:r>
      <w:r w:rsidRPr="00676B7A">
        <w:rPr>
          <w:b/>
          <w:bCs/>
          <w:noProof/>
        </w:rPr>
        <w:t>438</w:t>
      </w:r>
      <w:r w:rsidRPr="00676B7A">
        <w:rPr>
          <w:noProof/>
        </w:rPr>
        <w:t>, (2005).</w:t>
      </w:r>
    </w:p>
    <w:p w14:paraId="07361574" w14:textId="77777777" w:rsidR="00676B7A" w:rsidRPr="00676B7A" w:rsidRDefault="00676B7A" w:rsidP="00676B7A">
      <w:pPr>
        <w:widowControl w:val="0"/>
        <w:autoSpaceDE w:val="0"/>
        <w:autoSpaceDN w:val="0"/>
        <w:adjustRightInd w:val="0"/>
        <w:spacing w:line="240" w:lineRule="auto"/>
        <w:ind w:left="640" w:hanging="640"/>
        <w:rPr>
          <w:noProof/>
        </w:rPr>
      </w:pPr>
      <w:r w:rsidRPr="00676B7A">
        <w:rPr>
          <w:noProof/>
        </w:rPr>
        <w:t>20.</w:t>
      </w:r>
      <w:r w:rsidRPr="00676B7A">
        <w:rPr>
          <w:noProof/>
        </w:rPr>
        <w:tab/>
        <w:t xml:space="preserve">Royden, L. H., Burchfiel, B. C. &amp; Van Der Hilst, R. D. The geological evolution of the Tibetan plateau. </w:t>
      </w:r>
      <w:r w:rsidRPr="00676B7A">
        <w:rPr>
          <w:i/>
          <w:iCs/>
          <w:noProof/>
        </w:rPr>
        <w:t>Science</w:t>
      </w:r>
      <w:r w:rsidRPr="00676B7A">
        <w:rPr>
          <w:noProof/>
        </w:rPr>
        <w:t xml:space="preserve"> vol. 321 at https://doi.org/10.1126/science.1155371 (2008).</w:t>
      </w:r>
    </w:p>
    <w:p w14:paraId="40E1C8E6" w14:textId="77777777" w:rsidR="00676B7A" w:rsidRPr="00676B7A" w:rsidRDefault="00676B7A" w:rsidP="00676B7A">
      <w:pPr>
        <w:widowControl w:val="0"/>
        <w:autoSpaceDE w:val="0"/>
        <w:autoSpaceDN w:val="0"/>
        <w:adjustRightInd w:val="0"/>
        <w:spacing w:line="240" w:lineRule="auto"/>
        <w:ind w:left="640" w:hanging="640"/>
        <w:rPr>
          <w:noProof/>
        </w:rPr>
      </w:pPr>
      <w:r w:rsidRPr="00676B7A">
        <w:rPr>
          <w:noProof/>
        </w:rPr>
        <w:t>21.</w:t>
      </w:r>
      <w:r w:rsidRPr="00676B7A">
        <w:rPr>
          <w:noProof/>
        </w:rPr>
        <w:tab/>
        <w:t xml:space="preserve">Richter, B., Stünitz, H. &amp; Heilbronner, R. The brittle-to-viscous transition in polycrystalline quartz: An experimental study. </w:t>
      </w:r>
      <w:r w:rsidRPr="00676B7A">
        <w:rPr>
          <w:i/>
          <w:iCs/>
          <w:noProof/>
        </w:rPr>
        <w:t>J. Struct. Geol.</w:t>
      </w:r>
      <w:r w:rsidRPr="00676B7A">
        <w:rPr>
          <w:noProof/>
        </w:rPr>
        <w:t xml:space="preserve"> </w:t>
      </w:r>
      <w:r w:rsidRPr="00676B7A">
        <w:rPr>
          <w:b/>
          <w:bCs/>
          <w:noProof/>
        </w:rPr>
        <w:t>114</w:t>
      </w:r>
      <w:r w:rsidRPr="00676B7A">
        <w:rPr>
          <w:noProof/>
        </w:rPr>
        <w:t>, (2018).</w:t>
      </w:r>
    </w:p>
    <w:p w14:paraId="30E4FD84" w14:textId="77777777" w:rsidR="00676B7A" w:rsidRPr="00676B7A" w:rsidRDefault="00676B7A" w:rsidP="00676B7A">
      <w:pPr>
        <w:widowControl w:val="0"/>
        <w:autoSpaceDE w:val="0"/>
        <w:autoSpaceDN w:val="0"/>
        <w:adjustRightInd w:val="0"/>
        <w:spacing w:line="240" w:lineRule="auto"/>
        <w:ind w:left="640" w:hanging="640"/>
        <w:rPr>
          <w:noProof/>
        </w:rPr>
      </w:pPr>
      <w:r w:rsidRPr="00676B7A">
        <w:rPr>
          <w:noProof/>
        </w:rPr>
        <w:t>22.</w:t>
      </w:r>
      <w:r w:rsidRPr="00676B7A">
        <w:rPr>
          <w:noProof/>
        </w:rPr>
        <w:tab/>
        <w:t xml:space="preserve">Kirby, S. H. &amp; Kronenberg, A. K. Rheology of the lithosphere: Selected topics. </w:t>
      </w:r>
      <w:r w:rsidRPr="00676B7A">
        <w:rPr>
          <w:i/>
          <w:iCs/>
          <w:noProof/>
        </w:rPr>
        <w:t>Reviews of Geophysics</w:t>
      </w:r>
      <w:r w:rsidRPr="00676B7A">
        <w:rPr>
          <w:noProof/>
        </w:rPr>
        <w:t xml:space="preserve"> vol. 25 at https://doi.org/10.1029/RG025i006p01219 (1987).</w:t>
      </w:r>
    </w:p>
    <w:p w14:paraId="5BDE8240" w14:textId="77777777" w:rsidR="00676B7A" w:rsidRPr="00676B7A" w:rsidRDefault="00676B7A" w:rsidP="00676B7A">
      <w:pPr>
        <w:widowControl w:val="0"/>
        <w:autoSpaceDE w:val="0"/>
        <w:autoSpaceDN w:val="0"/>
        <w:adjustRightInd w:val="0"/>
        <w:spacing w:line="240" w:lineRule="auto"/>
        <w:ind w:left="640" w:hanging="640"/>
        <w:rPr>
          <w:noProof/>
        </w:rPr>
      </w:pPr>
      <w:r w:rsidRPr="00676B7A">
        <w:rPr>
          <w:noProof/>
        </w:rPr>
        <w:t>23.</w:t>
      </w:r>
      <w:r w:rsidRPr="00676B7A">
        <w:rPr>
          <w:noProof/>
        </w:rPr>
        <w:tab/>
        <w:t xml:space="preserve">Kirby, S. H. Rheology of the lithosphere. </w:t>
      </w:r>
      <w:r w:rsidRPr="00676B7A">
        <w:rPr>
          <w:i/>
          <w:iCs/>
          <w:noProof/>
        </w:rPr>
        <w:t>Reviews of Geophysics</w:t>
      </w:r>
      <w:r w:rsidRPr="00676B7A">
        <w:rPr>
          <w:noProof/>
        </w:rPr>
        <w:t xml:space="preserve"> vol. 21 at https://doi.org/10.1029/RG021i006p01458 (1983).</w:t>
      </w:r>
    </w:p>
    <w:p w14:paraId="0237AE2A" w14:textId="77777777" w:rsidR="00676B7A" w:rsidRPr="00676B7A" w:rsidRDefault="00676B7A" w:rsidP="00676B7A">
      <w:pPr>
        <w:widowControl w:val="0"/>
        <w:autoSpaceDE w:val="0"/>
        <w:autoSpaceDN w:val="0"/>
        <w:adjustRightInd w:val="0"/>
        <w:spacing w:line="240" w:lineRule="auto"/>
        <w:ind w:left="640" w:hanging="640"/>
        <w:rPr>
          <w:noProof/>
        </w:rPr>
      </w:pPr>
      <w:r w:rsidRPr="00676B7A">
        <w:rPr>
          <w:noProof/>
        </w:rPr>
        <w:t>24.</w:t>
      </w:r>
      <w:r w:rsidRPr="00676B7A">
        <w:rPr>
          <w:noProof/>
        </w:rPr>
        <w:tab/>
        <w:t xml:space="preserve">Hirth, G., Teyssier, C. &amp; Dunlap, W. J. An evaluation of quartzite flow laws based on comparisons between experimentally and naturally deformed rocks. </w:t>
      </w:r>
      <w:r w:rsidRPr="00676B7A">
        <w:rPr>
          <w:i/>
          <w:iCs/>
          <w:noProof/>
        </w:rPr>
        <w:t>Int. J. Earth Sci.</w:t>
      </w:r>
      <w:r w:rsidRPr="00676B7A">
        <w:rPr>
          <w:noProof/>
        </w:rPr>
        <w:t xml:space="preserve"> </w:t>
      </w:r>
      <w:r w:rsidRPr="00676B7A">
        <w:rPr>
          <w:b/>
          <w:bCs/>
          <w:noProof/>
        </w:rPr>
        <w:t>90</w:t>
      </w:r>
      <w:r w:rsidRPr="00676B7A">
        <w:rPr>
          <w:noProof/>
        </w:rPr>
        <w:t>, (2001).</w:t>
      </w:r>
    </w:p>
    <w:p w14:paraId="533C6A1A" w14:textId="016046CC" w:rsidR="00AB1340" w:rsidRDefault="00AB1340" w:rsidP="00623644">
      <w:pPr>
        <w:bidi w:val="0"/>
        <w:rPr>
          <w:noProof/>
        </w:rPr>
      </w:pPr>
      <w:r>
        <w:rPr>
          <w:noProof/>
          <w:rtl/>
        </w:rPr>
        <w:fldChar w:fldCharType="end"/>
      </w:r>
    </w:p>
    <w:p w14:paraId="69C8959A" w14:textId="77777777" w:rsidR="007C495B" w:rsidRDefault="007C495B" w:rsidP="00623644">
      <w:pPr>
        <w:bidi w:val="0"/>
        <w:rPr>
          <w:noProof/>
        </w:rPr>
      </w:pPr>
    </w:p>
    <w:p w14:paraId="1C4B820A" w14:textId="77777777" w:rsidR="007C495B" w:rsidRDefault="007C495B" w:rsidP="00623644">
      <w:pPr>
        <w:bidi w:val="0"/>
        <w:rPr>
          <w:noProof/>
        </w:rPr>
      </w:pPr>
    </w:p>
    <w:p w14:paraId="6E638146" w14:textId="77777777" w:rsidR="007C495B" w:rsidRDefault="007C495B" w:rsidP="00623644">
      <w:pPr>
        <w:bidi w:val="0"/>
        <w:rPr>
          <w:noProof/>
        </w:rPr>
      </w:pPr>
    </w:p>
    <w:p w14:paraId="120BEB77" w14:textId="77777777" w:rsidR="00E61904" w:rsidRDefault="00E61904" w:rsidP="00623644">
      <w:pPr>
        <w:bidi w:val="0"/>
        <w:spacing w:before="240" w:after="240"/>
        <w:rPr>
          <w:sz w:val="28"/>
          <w:szCs w:val="28"/>
          <w:highlight w:val="yellow"/>
        </w:rPr>
      </w:pPr>
    </w:p>
    <w:p w14:paraId="5E575C5F" w14:textId="77777777" w:rsidR="00E61904" w:rsidRDefault="00E61904" w:rsidP="00623644">
      <w:pPr>
        <w:bidi w:val="0"/>
        <w:rPr>
          <w:rFonts w:ascii="Cambria Math" w:eastAsia="Cambria Math" w:hAnsi="Cambria Math" w:cs="Cambria Math"/>
          <w:sz w:val="28"/>
          <w:szCs w:val="28"/>
        </w:rPr>
      </w:pPr>
    </w:p>
    <w:sectPr w:rsidR="00E61904">
      <w:pgSz w:w="11906" w:h="16838"/>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DDB19C" w14:textId="77777777" w:rsidR="001866D3" w:rsidRDefault="001866D3" w:rsidP="00196986">
      <w:pPr>
        <w:spacing w:after="0" w:line="240" w:lineRule="auto"/>
      </w:pPr>
      <w:r>
        <w:separator/>
      </w:r>
    </w:p>
  </w:endnote>
  <w:endnote w:type="continuationSeparator" w:id="0">
    <w:p w14:paraId="34C2485A" w14:textId="77777777" w:rsidR="001866D3" w:rsidRDefault="001866D3" w:rsidP="00196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TMI">
    <w:altName w:val="Yu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TSY">
    <w:altName w:val="Malgun Gothic"/>
    <w:panose1 w:val="00000000000000000000"/>
    <w:charset w:val="81"/>
    <w:family w:val="auto"/>
    <w:notTrueType/>
    <w:pitch w:val="default"/>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41BE23" w14:textId="77777777" w:rsidR="001866D3" w:rsidRDefault="001866D3" w:rsidP="00196986">
      <w:pPr>
        <w:spacing w:after="0" w:line="240" w:lineRule="auto"/>
      </w:pPr>
      <w:r>
        <w:separator/>
      </w:r>
    </w:p>
  </w:footnote>
  <w:footnote w:type="continuationSeparator" w:id="0">
    <w:p w14:paraId="5F39396C" w14:textId="77777777" w:rsidR="001866D3" w:rsidRDefault="001866D3" w:rsidP="001969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E9788F"/>
    <w:multiLevelType w:val="multilevel"/>
    <w:tmpl w:val="B80062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08132B0"/>
    <w:multiLevelType w:val="hybridMultilevel"/>
    <w:tmpl w:val="4EB27476"/>
    <w:lvl w:ilvl="0" w:tplc="3C6C614A">
      <w:start w:val="1"/>
      <w:numFmt w:val="decimal"/>
      <w:lvlText w:val="%1."/>
      <w:lvlJc w:val="left"/>
      <w:pPr>
        <w:ind w:left="720" w:hanging="360"/>
      </w:pPr>
      <w:rPr>
        <w:rFont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20701A"/>
    <w:multiLevelType w:val="multilevel"/>
    <w:tmpl w:val="DED2D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C2010CF"/>
    <w:multiLevelType w:val="hybridMultilevel"/>
    <w:tmpl w:val="D6B8CA8A"/>
    <w:lvl w:ilvl="0" w:tplc="4D483FC4">
      <w:start w:val="1"/>
      <w:numFmt w:val="decimal"/>
      <w:lvlText w:val="%1."/>
      <w:lvlJc w:val="left"/>
      <w:pPr>
        <w:ind w:left="1080" w:hanging="360"/>
      </w:pPr>
      <w:rPr>
        <w:rFonts w:ascii="Calibri" w:eastAsia="Calibri" w:hAnsi="Calibri" w:cs="Calibri" w:hint="default"/>
        <w:color w:val="auto"/>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42C14F9"/>
    <w:multiLevelType w:val="multilevel"/>
    <w:tmpl w:val="CC8ED842"/>
    <w:lvl w:ilvl="0">
      <w:start w:val="1"/>
      <w:numFmt w:val="decimal"/>
      <w:pStyle w:val="Heading7"/>
      <w:lvlText w:val="%1."/>
      <w:lvlJc w:val="left"/>
      <w:pPr>
        <w:ind w:left="360" w:hanging="360"/>
      </w:pPr>
      <w:rPr>
        <w:rFonts w:ascii="Calibri" w:eastAsia="Calibri" w:hAnsi="Calibri" w:cs="Calibri" w:hint="default"/>
        <w:b/>
        <w:bCs/>
        <w:color w:val="auto"/>
        <w:sz w:val="28"/>
        <w:szCs w:val="28"/>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7C117965"/>
    <w:multiLevelType w:val="multilevel"/>
    <w:tmpl w:val="F97A7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4126806">
    <w:abstractNumId w:val="2"/>
  </w:num>
  <w:num w:numId="2" w16cid:durableId="1136067904">
    <w:abstractNumId w:val="5"/>
  </w:num>
  <w:num w:numId="3" w16cid:durableId="1209534562">
    <w:abstractNumId w:val="1"/>
  </w:num>
  <w:num w:numId="4" w16cid:durableId="1060834895">
    <w:abstractNumId w:val="3"/>
  </w:num>
  <w:num w:numId="5" w16cid:durableId="1021475765">
    <w:abstractNumId w:val="4"/>
  </w:num>
  <w:num w:numId="6" w16cid:durableId="69498784">
    <w:abstractNumId w:val="0"/>
  </w:num>
  <w:num w:numId="7" w16cid:durableId="1116633348">
    <w:abstractNumId w:val="4"/>
    <w:lvlOverride w:ilvl="0">
      <w:startOverride w:val="1"/>
    </w:lvlOverride>
    <w:lvlOverride w:ilvl="1">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904"/>
    <w:rsid w:val="00000A1F"/>
    <w:rsid w:val="000018CE"/>
    <w:rsid w:val="00004F50"/>
    <w:rsid w:val="00012AC4"/>
    <w:rsid w:val="000240AB"/>
    <w:rsid w:val="00025A43"/>
    <w:rsid w:val="00037D1F"/>
    <w:rsid w:val="00040B6B"/>
    <w:rsid w:val="00046978"/>
    <w:rsid w:val="000543D6"/>
    <w:rsid w:val="000546CF"/>
    <w:rsid w:val="00055373"/>
    <w:rsid w:val="00060E44"/>
    <w:rsid w:val="00071AD7"/>
    <w:rsid w:val="0007247F"/>
    <w:rsid w:val="00074FD8"/>
    <w:rsid w:val="000B744E"/>
    <w:rsid w:val="000B79AF"/>
    <w:rsid w:val="000C2A22"/>
    <w:rsid w:val="000D1FF1"/>
    <w:rsid w:val="000D353C"/>
    <w:rsid w:val="000F434D"/>
    <w:rsid w:val="00102C4E"/>
    <w:rsid w:val="00120822"/>
    <w:rsid w:val="0012303B"/>
    <w:rsid w:val="0012354C"/>
    <w:rsid w:val="00124B4C"/>
    <w:rsid w:val="00124F73"/>
    <w:rsid w:val="00127EF7"/>
    <w:rsid w:val="001310CF"/>
    <w:rsid w:val="001361EA"/>
    <w:rsid w:val="0014045F"/>
    <w:rsid w:val="00143108"/>
    <w:rsid w:val="00146BA1"/>
    <w:rsid w:val="00153E38"/>
    <w:rsid w:val="00184C3D"/>
    <w:rsid w:val="001863C0"/>
    <w:rsid w:val="001866D3"/>
    <w:rsid w:val="00196986"/>
    <w:rsid w:val="00197DAD"/>
    <w:rsid w:val="001A2D82"/>
    <w:rsid w:val="001A6E55"/>
    <w:rsid w:val="001A7173"/>
    <w:rsid w:val="001B57FE"/>
    <w:rsid w:val="001C3389"/>
    <w:rsid w:val="001D30EB"/>
    <w:rsid w:val="001D47D5"/>
    <w:rsid w:val="001D6D7C"/>
    <w:rsid w:val="001D76BE"/>
    <w:rsid w:val="001E6BA1"/>
    <w:rsid w:val="001F4EC8"/>
    <w:rsid w:val="001F7921"/>
    <w:rsid w:val="001F7CD3"/>
    <w:rsid w:val="0020543F"/>
    <w:rsid w:val="00211D3E"/>
    <w:rsid w:val="00213570"/>
    <w:rsid w:val="00214604"/>
    <w:rsid w:val="00215EE5"/>
    <w:rsid w:val="002204E5"/>
    <w:rsid w:val="00227B90"/>
    <w:rsid w:val="0023058C"/>
    <w:rsid w:val="00233E64"/>
    <w:rsid w:val="00266C7A"/>
    <w:rsid w:val="00283837"/>
    <w:rsid w:val="0029671D"/>
    <w:rsid w:val="002B5D3B"/>
    <w:rsid w:val="002D23E3"/>
    <w:rsid w:val="002E0EED"/>
    <w:rsid w:val="002E760E"/>
    <w:rsid w:val="002F609A"/>
    <w:rsid w:val="00305957"/>
    <w:rsid w:val="003062C6"/>
    <w:rsid w:val="003206E5"/>
    <w:rsid w:val="00320968"/>
    <w:rsid w:val="003231F4"/>
    <w:rsid w:val="00324F84"/>
    <w:rsid w:val="003373D8"/>
    <w:rsid w:val="00353DCF"/>
    <w:rsid w:val="0035769C"/>
    <w:rsid w:val="00365910"/>
    <w:rsid w:val="00370B66"/>
    <w:rsid w:val="00384AFC"/>
    <w:rsid w:val="00394822"/>
    <w:rsid w:val="003A04F2"/>
    <w:rsid w:val="003A4C19"/>
    <w:rsid w:val="003B4C93"/>
    <w:rsid w:val="003C3C09"/>
    <w:rsid w:val="003D2066"/>
    <w:rsid w:val="003E0B39"/>
    <w:rsid w:val="003E1A46"/>
    <w:rsid w:val="004066D0"/>
    <w:rsid w:val="004178B5"/>
    <w:rsid w:val="004266A8"/>
    <w:rsid w:val="004309F5"/>
    <w:rsid w:val="0043659B"/>
    <w:rsid w:val="00443CAB"/>
    <w:rsid w:val="00445282"/>
    <w:rsid w:val="004649B8"/>
    <w:rsid w:val="00473EE6"/>
    <w:rsid w:val="00475A9B"/>
    <w:rsid w:val="00477844"/>
    <w:rsid w:val="00477905"/>
    <w:rsid w:val="0048526D"/>
    <w:rsid w:val="0048598A"/>
    <w:rsid w:val="004A1803"/>
    <w:rsid w:val="004B3736"/>
    <w:rsid w:val="004B45D3"/>
    <w:rsid w:val="004B641E"/>
    <w:rsid w:val="004D2381"/>
    <w:rsid w:val="004F1982"/>
    <w:rsid w:val="004F61F4"/>
    <w:rsid w:val="0050353A"/>
    <w:rsid w:val="0050354C"/>
    <w:rsid w:val="00506259"/>
    <w:rsid w:val="0053759F"/>
    <w:rsid w:val="00541024"/>
    <w:rsid w:val="00545850"/>
    <w:rsid w:val="00550994"/>
    <w:rsid w:val="00555A60"/>
    <w:rsid w:val="00555E09"/>
    <w:rsid w:val="00572E75"/>
    <w:rsid w:val="0057707D"/>
    <w:rsid w:val="00577F30"/>
    <w:rsid w:val="00581768"/>
    <w:rsid w:val="005915F2"/>
    <w:rsid w:val="005B111F"/>
    <w:rsid w:val="005B326B"/>
    <w:rsid w:val="005B3DC3"/>
    <w:rsid w:val="005B50A6"/>
    <w:rsid w:val="005B72D7"/>
    <w:rsid w:val="005C7F5F"/>
    <w:rsid w:val="005D3475"/>
    <w:rsid w:val="005D7BFA"/>
    <w:rsid w:val="005E3F92"/>
    <w:rsid w:val="005F713E"/>
    <w:rsid w:val="00614C07"/>
    <w:rsid w:val="0062313C"/>
    <w:rsid w:val="00623644"/>
    <w:rsid w:val="006272E6"/>
    <w:rsid w:val="006437FF"/>
    <w:rsid w:val="006451A8"/>
    <w:rsid w:val="00651A5D"/>
    <w:rsid w:val="00661B47"/>
    <w:rsid w:val="00662C81"/>
    <w:rsid w:val="00662F27"/>
    <w:rsid w:val="00663C27"/>
    <w:rsid w:val="00676B7A"/>
    <w:rsid w:val="00681B34"/>
    <w:rsid w:val="006871B9"/>
    <w:rsid w:val="006A00D7"/>
    <w:rsid w:val="006A0FA0"/>
    <w:rsid w:val="006A1887"/>
    <w:rsid w:val="006B6A87"/>
    <w:rsid w:val="006C74A6"/>
    <w:rsid w:val="006F4E97"/>
    <w:rsid w:val="006F5DC0"/>
    <w:rsid w:val="00703567"/>
    <w:rsid w:val="007041E4"/>
    <w:rsid w:val="0071554E"/>
    <w:rsid w:val="00730BB9"/>
    <w:rsid w:val="00732DBE"/>
    <w:rsid w:val="00735082"/>
    <w:rsid w:val="00735CA8"/>
    <w:rsid w:val="007364C4"/>
    <w:rsid w:val="00746E48"/>
    <w:rsid w:val="007476AD"/>
    <w:rsid w:val="0076110D"/>
    <w:rsid w:val="007735AB"/>
    <w:rsid w:val="00790B0B"/>
    <w:rsid w:val="007B2B2E"/>
    <w:rsid w:val="007B7311"/>
    <w:rsid w:val="007C0440"/>
    <w:rsid w:val="007C3FAF"/>
    <w:rsid w:val="007C495B"/>
    <w:rsid w:val="007D0AD9"/>
    <w:rsid w:val="007D1843"/>
    <w:rsid w:val="007D444D"/>
    <w:rsid w:val="007E1A70"/>
    <w:rsid w:val="007F4115"/>
    <w:rsid w:val="007F7E5F"/>
    <w:rsid w:val="008021D0"/>
    <w:rsid w:val="00813366"/>
    <w:rsid w:val="00816409"/>
    <w:rsid w:val="00824F41"/>
    <w:rsid w:val="0083233F"/>
    <w:rsid w:val="0084293A"/>
    <w:rsid w:val="00854CC2"/>
    <w:rsid w:val="008557ED"/>
    <w:rsid w:val="00862558"/>
    <w:rsid w:val="008644FA"/>
    <w:rsid w:val="008758CE"/>
    <w:rsid w:val="00877572"/>
    <w:rsid w:val="008806BD"/>
    <w:rsid w:val="00882E95"/>
    <w:rsid w:val="00890194"/>
    <w:rsid w:val="008920D2"/>
    <w:rsid w:val="00894C45"/>
    <w:rsid w:val="008A20C9"/>
    <w:rsid w:val="008A2240"/>
    <w:rsid w:val="008A3D36"/>
    <w:rsid w:val="008B22AE"/>
    <w:rsid w:val="008B7674"/>
    <w:rsid w:val="008B7D32"/>
    <w:rsid w:val="008D1229"/>
    <w:rsid w:val="008E0745"/>
    <w:rsid w:val="008E2583"/>
    <w:rsid w:val="008E2D06"/>
    <w:rsid w:val="008E72E0"/>
    <w:rsid w:val="008F11CD"/>
    <w:rsid w:val="008F1211"/>
    <w:rsid w:val="0092199A"/>
    <w:rsid w:val="00924532"/>
    <w:rsid w:val="0093432A"/>
    <w:rsid w:val="00936114"/>
    <w:rsid w:val="00940DF1"/>
    <w:rsid w:val="009565AE"/>
    <w:rsid w:val="009666C5"/>
    <w:rsid w:val="00966D16"/>
    <w:rsid w:val="00967AC2"/>
    <w:rsid w:val="00976D72"/>
    <w:rsid w:val="00983FF2"/>
    <w:rsid w:val="00990A08"/>
    <w:rsid w:val="00993C57"/>
    <w:rsid w:val="009A2D12"/>
    <w:rsid w:val="009B4F6F"/>
    <w:rsid w:val="009C3651"/>
    <w:rsid w:val="009E0204"/>
    <w:rsid w:val="009E13A8"/>
    <w:rsid w:val="009E6213"/>
    <w:rsid w:val="00A061F4"/>
    <w:rsid w:val="00A11BD1"/>
    <w:rsid w:val="00A13E3C"/>
    <w:rsid w:val="00A16B42"/>
    <w:rsid w:val="00A261C6"/>
    <w:rsid w:val="00A27C69"/>
    <w:rsid w:val="00A473F9"/>
    <w:rsid w:val="00A5591A"/>
    <w:rsid w:val="00A63DC3"/>
    <w:rsid w:val="00A81406"/>
    <w:rsid w:val="00A8162B"/>
    <w:rsid w:val="00A90883"/>
    <w:rsid w:val="00A92583"/>
    <w:rsid w:val="00A9433C"/>
    <w:rsid w:val="00AA5791"/>
    <w:rsid w:val="00AA7E73"/>
    <w:rsid w:val="00AB1340"/>
    <w:rsid w:val="00AD03B9"/>
    <w:rsid w:val="00AE410E"/>
    <w:rsid w:val="00AE584D"/>
    <w:rsid w:val="00AE7436"/>
    <w:rsid w:val="00B11731"/>
    <w:rsid w:val="00B32F9B"/>
    <w:rsid w:val="00B34497"/>
    <w:rsid w:val="00B3755E"/>
    <w:rsid w:val="00B46CD8"/>
    <w:rsid w:val="00B5541C"/>
    <w:rsid w:val="00B6006C"/>
    <w:rsid w:val="00B60C39"/>
    <w:rsid w:val="00B63F27"/>
    <w:rsid w:val="00B67F7B"/>
    <w:rsid w:val="00B76FF1"/>
    <w:rsid w:val="00B80AF8"/>
    <w:rsid w:val="00B82186"/>
    <w:rsid w:val="00B828DB"/>
    <w:rsid w:val="00B865E5"/>
    <w:rsid w:val="00B9554F"/>
    <w:rsid w:val="00B971B7"/>
    <w:rsid w:val="00BA51F4"/>
    <w:rsid w:val="00BB602A"/>
    <w:rsid w:val="00BC39EA"/>
    <w:rsid w:val="00BC726C"/>
    <w:rsid w:val="00BD0BFF"/>
    <w:rsid w:val="00BD3966"/>
    <w:rsid w:val="00BE4134"/>
    <w:rsid w:val="00BE4678"/>
    <w:rsid w:val="00BE745E"/>
    <w:rsid w:val="00BF18CF"/>
    <w:rsid w:val="00BF3DAC"/>
    <w:rsid w:val="00C0161E"/>
    <w:rsid w:val="00C0169F"/>
    <w:rsid w:val="00C2133D"/>
    <w:rsid w:val="00C260F1"/>
    <w:rsid w:val="00C30A63"/>
    <w:rsid w:val="00C31454"/>
    <w:rsid w:val="00C334DD"/>
    <w:rsid w:val="00C359D8"/>
    <w:rsid w:val="00C37C3D"/>
    <w:rsid w:val="00C80388"/>
    <w:rsid w:val="00C808BE"/>
    <w:rsid w:val="00C8149E"/>
    <w:rsid w:val="00C8785A"/>
    <w:rsid w:val="00C90F69"/>
    <w:rsid w:val="00C92B8B"/>
    <w:rsid w:val="00CA63FE"/>
    <w:rsid w:val="00CB044F"/>
    <w:rsid w:val="00CB3353"/>
    <w:rsid w:val="00CC594E"/>
    <w:rsid w:val="00CD33FB"/>
    <w:rsid w:val="00CD6C7B"/>
    <w:rsid w:val="00CE5368"/>
    <w:rsid w:val="00CF2342"/>
    <w:rsid w:val="00D03B61"/>
    <w:rsid w:val="00D119BE"/>
    <w:rsid w:val="00D2186E"/>
    <w:rsid w:val="00D23F02"/>
    <w:rsid w:val="00D4246E"/>
    <w:rsid w:val="00D524A7"/>
    <w:rsid w:val="00D67F3F"/>
    <w:rsid w:val="00D73BF8"/>
    <w:rsid w:val="00D8136D"/>
    <w:rsid w:val="00D86F05"/>
    <w:rsid w:val="00DA7CDD"/>
    <w:rsid w:val="00DB0303"/>
    <w:rsid w:val="00DE7DF2"/>
    <w:rsid w:val="00DF67C7"/>
    <w:rsid w:val="00E003D8"/>
    <w:rsid w:val="00E01888"/>
    <w:rsid w:val="00E020EB"/>
    <w:rsid w:val="00E4668E"/>
    <w:rsid w:val="00E60A74"/>
    <w:rsid w:val="00E61904"/>
    <w:rsid w:val="00E62467"/>
    <w:rsid w:val="00E652A0"/>
    <w:rsid w:val="00E7162F"/>
    <w:rsid w:val="00E7223E"/>
    <w:rsid w:val="00E7313C"/>
    <w:rsid w:val="00E81289"/>
    <w:rsid w:val="00E852C1"/>
    <w:rsid w:val="00EA0A0C"/>
    <w:rsid w:val="00EA112F"/>
    <w:rsid w:val="00EA21B8"/>
    <w:rsid w:val="00ED51E9"/>
    <w:rsid w:val="00ED6B3D"/>
    <w:rsid w:val="00EE7CA2"/>
    <w:rsid w:val="00EF542F"/>
    <w:rsid w:val="00F102AF"/>
    <w:rsid w:val="00F17389"/>
    <w:rsid w:val="00F17969"/>
    <w:rsid w:val="00F30D95"/>
    <w:rsid w:val="00F37C43"/>
    <w:rsid w:val="00F44120"/>
    <w:rsid w:val="00F56B80"/>
    <w:rsid w:val="00F64752"/>
    <w:rsid w:val="00F64809"/>
    <w:rsid w:val="00F77A24"/>
    <w:rsid w:val="00F82918"/>
    <w:rsid w:val="00F87CD0"/>
    <w:rsid w:val="00F94E2A"/>
    <w:rsid w:val="00FB2660"/>
    <w:rsid w:val="00FD57D5"/>
    <w:rsid w:val="00FE5681"/>
    <w:rsid w:val="00FE7051"/>
    <w:rsid w:val="00FF164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6EBACA"/>
  <w15:docId w15:val="{F4031FDE-F9FC-44C6-91A5-0F1ADE620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he-IL"/>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3F02"/>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ListParagraph"/>
    <w:next w:val="Normal"/>
    <w:link w:val="Heading7Char"/>
    <w:uiPriority w:val="9"/>
    <w:unhideWhenUsed/>
    <w:qFormat/>
    <w:rsid w:val="008A20C9"/>
    <w:pPr>
      <w:numPr>
        <w:numId w:val="5"/>
      </w:numPr>
      <w:shd w:val="clear" w:color="auto" w:fill="FFFFFF"/>
      <w:bidi w:val="0"/>
      <w:spacing w:before="100" w:beforeAutospacing="1" w:after="120" w:line="240" w:lineRule="auto"/>
      <w:jc w:val="both"/>
      <w:outlineLvl w:val="6"/>
    </w:pPr>
    <w:rPr>
      <w:sz w:val="28"/>
      <w:szCs w:val="28"/>
    </w:rPr>
  </w:style>
  <w:style w:type="paragraph" w:styleId="Heading8">
    <w:name w:val="heading 8"/>
    <w:basedOn w:val="Normal"/>
    <w:next w:val="Normal"/>
    <w:link w:val="Heading8Char"/>
    <w:uiPriority w:val="9"/>
    <w:unhideWhenUsed/>
    <w:qFormat/>
    <w:rsid w:val="008A20C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NormalWeb">
    <w:name w:val="Normal (Web)"/>
    <w:basedOn w:val="Normal"/>
    <w:uiPriority w:val="99"/>
    <w:unhideWhenUsed/>
    <w:rsid w:val="00AE157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2D3BAA"/>
    <w:rPr>
      <w:color w:val="808080"/>
    </w:rPr>
  </w:style>
  <w:style w:type="character" w:styleId="CommentReference">
    <w:name w:val="annotation reference"/>
    <w:basedOn w:val="DefaultParagraphFont"/>
    <w:uiPriority w:val="99"/>
    <w:semiHidden/>
    <w:unhideWhenUsed/>
    <w:rsid w:val="004C3206"/>
    <w:rPr>
      <w:sz w:val="16"/>
      <w:szCs w:val="16"/>
    </w:rPr>
  </w:style>
  <w:style w:type="paragraph" w:styleId="CommentText">
    <w:name w:val="annotation text"/>
    <w:basedOn w:val="Normal"/>
    <w:link w:val="CommentTextChar"/>
    <w:uiPriority w:val="99"/>
    <w:unhideWhenUsed/>
    <w:rsid w:val="004C3206"/>
    <w:pPr>
      <w:spacing w:line="240" w:lineRule="auto"/>
    </w:pPr>
    <w:rPr>
      <w:sz w:val="20"/>
      <w:szCs w:val="20"/>
    </w:rPr>
  </w:style>
  <w:style w:type="character" w:customStyle="1" w:styleId="CommentTextChar">
    <w:name w:val="Comment Text Char"/>
    <w:basedOn w:val="DefaultParagraphFont"/>
    <w:link w:val="CommentText"/>
    <w:uiPriority w:val="99"/>
    <w:rsid w:val="004C3206"/>
    <w:rPr>
      <w:sz w:val="20"/>
      <w:szCs w:val="20"/>
    </w:rPr>
  </w:style>
  <w:style w:type="paragraph" w:styleId="CommentSubject">
    <w:name w:val="annotation subject"/>
    <w:basedOn w:val="CommentText"/>
    <w:next w:val="CommentText"/>
    <w:link w:val="CommentSubjectChar"/>
    <w:uiPriority w:val="99"/>
    <w:semiHidden/>
    <w:unhideWhenUsed/>
    <w:rsid w:val="004C3206"/>
    <w:rPr>
      <w:b/>
      <w:bCs/>
    </w:rPr>
  </w:style>
  <w:style w:type="character" w:customStyle="1" w:styleId="CommentSubjectChar">
    <w:name w:val="Comment Subject Char"/>
    <w:basedOn w:val="CommentTextChar"/>
    <w:link w:val="CommentSubject"/>
    <w:uiPriority w:val="99"/>
    <w:semiHidden/>
    <w:rsid w:val="004C3206"/>
    <w:rPr>
      <w:b/>
      <w:bCs/>
      <w:sz w:val="20"/>
      <w:szCs w:val="20"/>
    </w:rPr>
  </w:style>
  <w:style w:type="paragraph" w:styleId="BalloonText">
    <w:name w:val="Balloon Text"/>
    <w:basedOn w:val="Normal"/>
    <w:link w:val="BalloonTextChar"/>
    <w:uiPriority w:val="99"/>
    <w:semiHidden/>
    <w:unhideWhenUsed/>
    <w:rsid w:val="004C3206"/>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4C3206"/>
    <w:rPr>
      <w:rFonts w:ascii="Tahoma" w:hAnsi="Tahoma" w:cs="Tahoma"/>
      <w:sz w:val="18"/>
      <w:szCs w:val="1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196986"/>
    <w:pPr>
      <w:tabs>
        <w:tab w:val="center" w:pos="4320"/>
        <w:tab w:val="right" w:pos="8640"/>
      </w:tabs>
      <w:spacing w:after="0" w:line="240" w:lineRule="auto"/>
    </w:pPr>
  </w:style>
  <w:style w:type="character" w:customStyle="1" w:styleId="HeaderChar">
    <w:name w:val="Header Char"/>
    <w:basedOn w:val="DefaultParagraphFont"/>
    <w:link w:val="Header"/>
    <w:uiPriority w:val="99"/>
    <w:rsid w:val="00196986"/>
  </w:style>
  <w:style w:type="paragraph" w:styleId="Footer">
    <w:name w:val="footer"/>
    <w:basedOn w:val="Normal"/>
    <w:link w:val="FooterChar"/>
    <w:uiPriority w:val="99"/>
    <w:unhideWhenUsed/>
    <w:rsid w:val="00196986"/>
    <w:pPr>
      <w:tabs>
        <w:tab w:val="center" w:pos="4320"/>
        <w:tab w:val="right" w:pos="8640"/>
      </w:tabs>
      <w:spacing w:after="0" w:line="240" w:lineRule="auto"/>
    </w:pPr>
  </w:style>
  <w:style w:type="character" w:customStyle="1" w:styleId="FooterChar">
    <w:name w:val="Footer Char"/>
    <w:basedOn w:val="DefaultParagraphFont"/>
    <w:link w:val="Footer"/>
    <w:uiPriority w:val="99"/>
    <w:rsid w:val="00196986"/>
  </w:style>
  <w:style w:type="character" w:styleId="Hyperlink">
    <w:name w:val="Hyperlink"/>
    <w:basedOn w:val="DefaultParagraphFont"/>
    <w:uiPriority w:val="99"/>
    <w:unhideWhenUsed/>
    <w:rsid w:val="001D47D5"/>
    <w:rPr>
      <w:color w:val="0563C1" w:themeColor="hyperlink"/>
      <w:u w:val="single"/>
    </w:rPr>
  </w:style>
  <w:style w:type="character" w:styleId="UnresolvedMention">
    <w:name w:val="Unresolved Mention"/>
    <w:basedOn w:val="DefaultParagraphFont"/>
    <w:uiPriority w:val="99"/>
    <w:semiHidden/>
    <w:unhideWhenUsed/>
    <w:rsid w:val="001D47D5"/>
    <w:rPr>
      <w:color w:val="605E5C"/>
      <w:shd w:val="clear" w:color="auto" w:fill="E1DFDD"/>
    </w:rPr>
  </w:style>
  <w:style w:type="paragraph" w:styleId="ListParagraph">
    <w:name w:val="List Paragraph"/>
    <w:basedOn w:val="Normal"/>
    <w:uiPriority w:val="34"/>
    <w:qFormat/>
    <w:rsid w:val="001D47D5"/>
    <w:pPr>
      <w:ind w:left="720"/>
      <w:contextualSpacing/>
    </w:pPr>
  </w:style>
  <w:style w:type="paragraph" w:styleId="TOCHeading">
    <w:name w:val="TOC Heading"/>
    <w:basedOn w:val="Heading1"/>
    <w:next w:val="Normal"/>
    <w:uiPriority w:val="39"/>
    <w:unhideWhenUsed/>
    <w:qFormat/>
    <w:rsid w:val="008A20C9"/>
    <w:pPr>
      <w:bidi w:val="0"/>
      <w:spacing w:before="240" w:after="0"/>
      <w:outlineLvl w:val="9"/>
    </w:pPr>
    <w:rPr>
      <w:rFonts w:asciiTheme="majorHAnsi" w:eastAsiaTheme="majorEastAsia" w:hAnsiTheme="majorHAnsi" w:cstheme="majorBidi"/>
      <w:b w:val="0"/>
      <w:color w:val="2E74B5" w:themeColor="accent1" w:themeShade="BF"/>
      <w:sz w:val="32"/>
      <w:szCs w:val="32"/>
      <w:lang w:bidi="ar-SA"/>
    </w:rPr>
  </w:style>
  <w:style w:type="character" w:customStyle="1" w:styleId="Heading7Char">
    <w:name w:val="Heading 7 Char"/>
    <w:basedOn w:val="DefaultParagraphFont"/>
    <w:link w:val="Heading7"/>
    <w:uiPriority w:val="9"/>
    <w:rsid w:val="008A20C9"/>
    <w:rPr>
      <w:sz w:val="28"/>
      <w:szCs w:val="28"/>
      <w:shd w:val="clear" w:color="auto" w:fill="FFFFFF"/>
    </w:rPr>
  </w:style>
  <w:style w:type="character" w:customStyle="1" w:styleId="Heading8Char">
    <w:name w:val="Heading 8 Char"/>
    <w:basedOn w:val="DefaultParagraphFont"/>
    <w:link w:val="Heading8"/>
    <w:uiPriority w:val="9"/>
    <w:rsid w:val="008A20C9"/>
    <w:rPr>
      <w:rFonts w:asciiTheme="majorHAnsi" w:eastAsiaTheme="majorEastAsia" w:hAnsiTheme="majorHAnsi" w:cstheme="majorBidi"/>
      <w:color w:val="272727" w:themeColor="text1" w:themeTint="D8"/>
      <w:sz w:val="21"/>
      <w:szCs w:val="21"/>
    </w:rPr>
  </w:style>
  <w:style w:type="character" w:customStyle="1" w:styleId="katex-mathml">
    <w:name w:val="katex-mathml"/>
    <w:basedOn w:val="DefaultParagraphFont"/>
    <w:rsid w:val="00F30D95"/>
  </w:style>
  <w:style w:type="character" w:customStyle="1" w:styleId="mord">
    <w:name w:val="mord"/>
    <w:basedOn w:val="DefaultParagraphFont"/>
    <w:rsid w:val="00F30D95"/>
  </w:style>
  <w:style w:type="character" w:customStyle="1" w:styleId="vlist-s">
    <w:name w:val="vlist-s"/>
    <w:basedOn w:val="DefaultParagraphFont"/>
    <w:rsid w:val="00F30D95"/>
  </w:style>
  <w:style w:type="character" w:customStyle="1" w:styleId="mrel">
    <w:name w:val="mrel"/>
    <w:basedOn w:val="DefaultParagraphFont"/>
    <w:rsid w:val="00F30D95"/>
  </w:style>
  <w:style w:type="character" w:customStyle="1" w:styleId="mbin">
    <w:name w:val="mbin"/>
    <w:basedOn w:val="DefaultParagraphFont"/>
    <w:rsid w:val="00F30D95"/>
  </w:style>
  <w:style w:type="table" w:styleId="TableGrid">
    <w:name w:val="Table Grid"/>
    <w:basedOn w:val="TableNormal"/>
    <w:uiPriority w:val="39"/>
    <w:rsid w:val="00CB33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B7D32"/>
    <w:pPr>
      <w:spacing w:after="0" w:line="240" w:lineRule="auto"/>
    </w:pPr>
  </w:style>
  <w:style w:type="character" w:styleId="Strong">
    <w:name w:val="Strong"/>
    <w:basedOn w:val="DefaultParagraphFont"/>
    <w:uiPriority w:val="22"/>
    <w:qFormat/>
    <w:rsid w:val="007E1A70"/>
    <w:rPr>
      <w:b/>
      <w:bCs/>
    </w:rPr>
  </w:style>
  <w:style w:type="paragraph" w:styleId="Revision">
    <w:name w:val="Revision"/>
    <w:hidden/>
    <w:uiPriority w:val="99"/>
    <w:semiHidden/>
    <w:rsid w:val="00DA7CDD"/>
    <w:pPr>
      <w:bidi w:val="0"/>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8027">
      <w:bodyDiv w:val="1"/>
      <w:marLeft w:val="0"/>
      <w:marRight w:val="0"/>
      <w:marTop w:val="0"/>
      <w:marBottom w:val="0"/>
      <w:divBdr>
        <w:top w:val="none" w:sz="0" w:space="0" w:color="auto"/>
        <w:left w:val="none" w:sz="0" w:space="0" w:color="auto"/>
        <w:bottom w:val="none" w:sz="0" w:space="0" w:color="auto"/>
        <w:right w:val="none" w:sz="0" w:space="0" w:color="auto"/>
      </w:divBdr>
      <w:divsChild>
        <w:div w:id="283387970">
          <w:marLeft w:val="0"/>
          <w:marRight w:val="0"/>
          <w:marTop w:val="0"/>
          <w:marBottom w:val="0"/>
          <w:divBdr>
            <w:top w:val="none" w:sz="0" w:space="0" w:color="auto"/>
            <w:left w:val="none" w:sz="0" w:space="0" w:color="auto"/>
            <w:bottom w:val="none" w:sz="0" w:space="0" w:color="auto"/>
            <w:right w:val="none" w:sz="0" w:space="0" w:color="auto"/>
          </w:divBdr>
          <w:divsChild>
            <w:div w:id="1642417792">
              <w:marLeft w:val="0"/>
              <w:marRight w:val="0"/>
              <w:marTop w:val="0"/>
              <w:marBottom w:val="0"/>
              <w:divBdr>
                <w:top w:val="none" w:sz="0" w:space="0" w:color="auto"/>
                <w:left w:val="none" w:sz="0" w:space="0" w:color="auto"/>
                <w:bottom w:val="none" w:sz="0" w:space="0" w:color="auto"/>
                <w:right w:val="none" w:sz="0" w:space="0" w:color="auto"/>
              </w:divBdr>
              <w:divsChild>
                <w:div w:id="1437555667">
                  <w:marLeft w:val="0"/>
                  <w:marRight w:val="0"/>
                  <w:marTop w:val="0"/>
                  <w:marBottom w:val="0"/>
                  <w:divBdr>
                    <w:top w:val="none" w:sz="0" w:space="0" w:color="auto"/>
                    <w:left w:val="none" w:sz="0" w:space="0" w:color="auto"/>
                    <w:bottom w:val="none" w:sz="0" w:space="0" w:color="auto"/>
                    <w:right w:val="none" w:sz="0" w:space="0" w:color="auto"/>
                  </w:divBdr>
                  <w:divsChild>
                    <w:div w:id="10461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719657">
      <w:bodyDiv w:val="1"/>
      <w:marLeft w:val="0"/>
      <w:marRight w:val="0"/>
      <w:marTop w:val="0"/>
      <w:marBottom w:val="0"/>
      <w:divBdr>
        <w:top w:val="none" w:sz="0" w:space="0" w:color="auto"/>
        <w:left w:val="none" w:sz="0" w:space="0" w:color="auto"/>
        <w:bottom w:val="none" w:sz="0" w:space="0" w:color="auto"/>
        <w:right w:val="none" w:sz="0" w:space="0" w:color="auto"/>
      </w:divBdr>
    </w:div>
    <w:div w:id="425460302">
      <w:bodyDiv w:val="1"/>
      <w:marLeft w:val="0"/>
      <w:marRight w:val="0"/>
      <w:marTop w:val="0"/>
      <w:marBottom w:val="0"/>
      <w:divBdr>
        <w:top w:val="none" w:sz="0" w:space="0" w:color="auto"/>
        <w:left w:val="none" w:sz="0" w:space="0" w:color="auto"/>
        <w:bottom w:val="none" w:sz="0" w:space="0" w:color="auto"/>
        <w:right w:val="none" w:sz="0" w:space="0" w:color="auto"/>
      </w:divBdr>
    </w:div>
    <w:div w:id="432477067">
      <w:bodyDiv w:val="1"/>
      <w:marLeft w:val="0"/>
      <w:marRight w:val="0"/>
      <w:marTop w:val="0"/>
      <w:marBottom w:val="0"/>
      <w:divBdr>
        <w:top w:val="none" w:sz="0" w:space="0" w:color="auto"/>
        <w:left w:val="none" w:sz="0" w:space="0" w:color="auto"/>
        <w:bottom w:val="none" w:sz="0" w:space="0" w:color="auto"/>
        <w:right w:val="none" w:sz="0" w:space="0" w:color="auto"/>
      </w:divBdr>
    </w:div>
    <w:div w:id="462431932">
      <w:bodyDiv w:val="1"/>
      <w:marLeft w:val="0"/>
      <w:marRight w:val="0"/>
      <w:marTop w:val="0"/>
      <w:marBottom w:val="0"/>
      <w:divBdr>
        <w:top w:val="none" w:sz="0" w:space="0" w:color="auto"/>
        <w:left w:val="none" w:sz="0" w:space="0" w:color="auto"/>
        <w:bottom w:val="none" w:sz="0" w:space="0" w:color="auto"/>
        <w:right w:val="none" w:sz="0" w:space="0" w:color="auto"/>
      </w:divBdr>
      <w:divsChild>
        <w:div w:id="1695692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5093497">
      <w:bodyDiv w:val="1"/>
      <w:marLeft w:val="0"/>
      <w:marRight w:val="0"/>
      <w:marTop w:val="0"/>
      <w:marBottom w:val="0"/>
      <w:divBdr>
        <w:top w:val="none" w:sz="0" w:space="0" w:color="auto"/>
        <w:left w:val="none" w:sz="0" w:space="0" w:color="auto"/>
        <w:bottom w:val="none" w:sz="0" w:space="0" w:color="auto"/>
        <w:right w:val="none" w:sz="0" w:space="0" w:color="auto"/>
      </w:divBdr>
    </w:div>
    <w:div w:id="529880242">
      <w:bodyDiv w:val="1"/>
      <w:marLeft w:val="0"/>
      <w:marRight w:val="0"/>
      <w:marTop w:val="0"/>
      <w:marBottom w:val="0"/>
      <w:divBdr>
        <w:top w:val="none" w:sz="0" w:space="0" w:color="auto"/>
        <w:left w:val="none" w:sz="0" w:space="0" w:color="auto"/>
        <w:bottom w:val="none" w:sz="0" w:space="0" w:color="auto"/>
        <w:right w:val="none" w:sz="0" w:space="0" w:color="auto"/>
      </w:divBdr>
    </w:div>
    <w:div w:id="685060123">
      <w:bodyDiv w:val="1"/>
      <w:marLeft w:val="0"/>
      <w:marRight w:val="0"/>
      <w:marTop w:val="0"/>
      <w:marBottom w:val="0"/>
      <w:divBdr>
        <w:top w:val="none" w:sz="0" w:space="0" w:color="auto"/>
        <w:left w:val="none" w:sz="0" w:space="0" w:color="auto"/>
        <w:bottom w:val="none" w:sz="0" w:space="0" w:color="auto"/>
        <w:right w:val="none" w:sz="0" w:space="0" w:color="auto"/>
      </w:divBdr>
    </w:div>
    <w:div w:id="714157769">
      <w:bodyDiv w:val="1"/>
      <w:marLeft w:val="0"/>
      <w:marRight w:val="0"/>
      <w:marTop w:val="0"/>
      <w:marBottom w:val="0"/>
      <w:divBdr>
        <w:top w:val="none" w:sz="0" w:space="0" w:color="auto"/>
        <w:left w:val="none" w:sz="0" w:space="0" w:color="auto"/>
        <w:bottom w:val="none" w:sz="0" w:space="0" w:color="auto"/>
        <w:right w:val="none" w:sz="0" w:space="0" w:color="auto"/>
      </w:divBdr>
      <w:divsChild>
        <w:div w:id="13075169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9138569">
      <w:bodyDiv w:val="1"/>
      <w:marLeft w:val="0"/>
      <w:marRight w:val="0"/>
      <w:marTop w:val="0"/>
      <w:marBottom w:val="0"/>
      <w:divBdr>
        <w:top w:val="none" w:sz="0" w:space="0" w:color="auto"/>
        <w:left w:val="none" w:sz="0" w:space="0" w:color="auto"/>
        <w:bottom w:val="none" w:sz="0" w:space="0" w:color="auto"/>
        <w:right w:val="none" w:sz="0" w:space="0" w:color="auto"/>
      </w:divBdr>
      <w:divsChild>
        <w:div w:id="18611663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0607066">
      <w:bodyDiv w:val="1"/>
      <w:marLeft w:val="0"/>
      <w:marRight w:val="0"/>
      <w:marTop w:val="0"/>
      <w:marBottom w:val="0"/>
      <w:divBdr>
        <w:top w:val="none" w:sz="0" w:space="0" w:color="auto"/>
        <w:left w:val="none" w:sz="0" w:space="0" w:color="auto"/>
        <w:bottom w:val="none" w:sz="0" w:space="0" w:color="auto"/>
        <w:right w:val="none" w:sz="0" w:space="0" w:color="auto"/>
      </w:divBdr>
    </w:div>
    <w:div w:id="936792744">
      <w:bodyDiv w:val="1"/>
      <w:marLeft w:val="0"/>
      <w:marRight w:val="0"/>
      <w:marTop w:val="0"/>
      <w:marBottom w:val="0"/>
      <w:divBdr>
        <w:top w:val="none" w:sz="0" w:space="0" w:color="auto"/>
        <w:left w:val="none" w:sz="0" w:space="0" w:color="auto"/>
        <w:bottom w:val="none" w:sz="0" w:space="0" w:color="auto"/>
        <w:right w:val="none" w:sz="0" w:space="0" w:color="auto"/>
      </w:divBdr>
    </w:div>
    <w:div w:id="936793262">
      <w:bodyDiv w:val="1"/>
      <w:marLeft w:val="0"/>
      <w:marRight w:val="0"/>
      <w:marTop w:val="0"/>
      <w:marBottom w:val="0"/>
      <w:divBdr>
        <w:top w:val="none" w:sz="0" w:space="0" w:color="auto"/>
        <w:left w:val="none" w:sz="0" w:space="0" w:color="auto"/>
        <w:bottom w:val="none" w:sz="0" w:space="0" w:color="auto"/>
        <w:right w:val="none" w:sz="0" w:space="0" w:color="auto"/>
      </w:divBdr>
      <w:divsChild>
        <w:div w:id="14470415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1769031">
      <w:bodyDiv w:val="1"/>
      <w:marLeft w:val="0"/>
      <w:marRight w:val="0"/>
      <w:marTop w:val="0"/>
      <w:marBottom w:val="0"/>
      <w:divBdr>
        <w:top w:val="none" w:sz="0" w:space="0" w:color="auto"/>
        <w:left w:val="none" w:sz="0" w:space="0" w:color="auto"/>
        <w:bottom w:val="none" w:sz="0" w:space="0" w:color="auto"/>
        <w:right w:val="none" w:sz="0" w:space="0" w:color="auto"/>
      </w:divBdr>
    </w:div>
    <w:div w:id="946817168">
      <w:bodyDiv w:val="1"/>
      <w:marLeft w:val="0"/>
      <w:marRight w:val="0"/>
      <w:marTop w:val="0"/>
      <w:marBottom w:val="0"/>
      <w:divBdr>
        <w:top w:val="none" w:sz="0" w:space="0" w:color="auto"/>
        <w:left w:val="none" w:sz="0" w:space="0" w:color="auto"/>
        <w:bottom w:val="none" w:sz="0" w:space="0" w:color="auto"/>
        <w:right w:val="none" w:sz="0" w:space="0" w:color="auto"/>
      </w:divBdr>
    </w:div>
    <w:div w:id="1090082790">
      <w:bodyDiv w:val="1"/>
      <w:marLeft w:val="0"/>
      <w:marRight w:val="0"/>
      <w:marTop w:val="0"/>
      <w:marBottom w:val="0"/>
      <w:divBdr>
        <w:top w:val="none" w:sz="0" w:space="0" w:color="auto"/>
        <w:left w:val="none" w:sz="0" w:space="0" w:color="auto"/>
        <w:bottom w:val="none" w:sz="0" w:space="0" w:color="auto"/>
        <w:right w:val="none" w:sz="0" w:space="0" w:color="auto"/>
      </w:divBdr>
      <w:divsChild>
        <w:div w:id="1309435983">
          <w:marLeft w:val="0"/>
          <w:marRight w:val="0"/>
          <w:marTop w:val="0"/>
          <w:marBottom w:val="0"/>
          <w:divBdr>
            <w:top w:val="none" w:sz="0" w:space="0" w:color="auto"/>
            <w:left w:val="none" w:sz="0" w:space="0" w:color="auto"/>
            <w:bottom w:val="none" w:sz="0" w:space="0" w:color="auto"/>
            <w:right w:val="none" w:sz="0" w:space="0" w:color="auto"/>
          </w:divBdr>
        </w:div>
      </w:divsChild>
    </w:div>
    <w:div w:id="1110274444">
      <w:bodyDiv w:val="1"/>
      <w:marLeft w:val="0"/>
      <w:marRight w:val="0"/>
      <w:marTop w:val="0"/>
      <w:marBottom w:val="0"/>
      <w:divBdr>
        <w:top w:val="none" w:sz="0" w:space="0" w:color="auto"/>
        <w:left w:val="none" w:sz="0" w:space="0" w:color="auto"/>
        <w:bottom w:val="none" w:sz="0" w:space="0" w:color="auto"/>
        <w:right w:val="none" w:sz="0" w:space="0" w:color="auto"/>
      </w:divBdr>
      <w:divsChild>
        <w:div w:id="94403951">
          <w:marLeft w:val="0"/>
          <w:marRight w:val="0"/>
          <w:marTop w:val="0"/>
          <w:marBottom w:val="0"/>
          <w:divBdr>
            <w:top w:val="none" w:sz="0" w:space="0" w:color="auto"/>
            <w:left w:val="none" w:sz="0" w:space="0" w:color="auto"/>
            <w:bottom w:val="none" w:sz="0" w:space="0" w:color="auto"/>
            <w:right w:val="none" w:sz="0" w:space="0" w:color="auto"/>
          </w:divBdr>
        </w:div>
      </w:divsChild>
    </w:div>
    <w:div w:id="1114326856">
      <w:bodyDiv w:val="1"/>
      <w:marLeft w:val="0"/>
      <w:marRight w:val="0"/>
      <w:marTop w:val="0"/>
      <w:marBottom w:val="0"/>
      <w:divBdr>
        <w:top w:val="none" w:sz="0" w:space="0" w:color="auto"/>
        <w:left w:val="none" w:sz="0" w:space="0" w:color="auto"/>
        <w:bottom w:val="none" w:sz="0" w:space="0" w:color="auto"/>
        <w:right w:val="none" w:sz="0" w:space="0" w:color="auto"/>
      </w:divBdr>
    </w:div>
    <w:div w:id="1138916165">
      <w:bodyDiv w:val="1"/>
      <w:marLeft w:val="0"/>
      <w:marRight w:val="0"/>
      <w:marTop w:val="0"/>
      <w:marBottom w:val="0"/>
      <w:divBdr>
        <w:top w:val="none" w:sz="0" w:space="0" w:color="auto"/>
        <w:left w:val="none" w:sz="0" w:space="0" w:color="auto"/>
        <w:bottom w:val="none" w:sz="0" w:space="0" w:color="auto"/>
        <w:right w:val="none" w:sz="0" w:space="0" w:color="auto"/>
      </w:divBdr>
    </w:div>
    <w:div w:id="1152911573">
      <w:bodyDiv w:val="1"/>
      <w:marLeft w:val="0"/>
      <w:marRight w:val="0"/>
      <w:marTop w:val="0"/>
      <w:marBottom w:val="0"/>
      <w:divBdr>
        <w:top w:val="none" w:sz="0" w:space="0" w:color="auto"/>
        <w:left w:val="none" w:sz="0" w:space="0" w:color="auto"/>
        <w:bottom w:val="none" w:sz="0" w:space="0" w:color="auto"/>
        <w:right w:val="none" w:sz="0" w:space="0" w:color="auto"/>
      </w:divBdr>
      <w:divsChild>
        <w:div w:id="404454121">
          <w:marLeft w:val="-225"/>
          <w:marRight w:val="-225"/>
          <w:marTop w:val="0"/>
          <w:marBottom w:val="0"/>
          <w:divBdr>
            <w:top w:val="none" w:sz="0" w:space="0" w:color="auto"/>
            <w:left w:val="none" w:sz="0" w:space="0" w:color="auto"/>
            <w:bottom w:val="none" w:sz="0" w:space="0" w:color="auto"/>
            <w:right w:val="none" w:sz="0" w:space="0" w:color="auto"/>
          </w:divBdr>
          <w:divsChild>
            <w:div w:id="445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930862">
      <w:bodyDiv w:val="1"/>
      <w:marLeft w:val="0"/>
      <w:marRight w:val="0"/>
      <w:marTop w:val="0"/>
      <w:marBottom w:val="0"/>
      <w:divBdr>
        <w:top w:val="none" w:sz="0" w:space="0" w:color="auto"/>
        <w:left w:val="none" w:sz="0" w:space="0" w:color="auto"/>
        <w:bottom w:val="none" w:sz="0" w:space="0" w:color="auto"/>
        <w:right w:val="none" w:sz="0" w:space="0" w:color="auto"/>
      </w:divBdr>
    </w:div>
    <w:div w:id="1182352413">
      <w:bodyDiv w:val="1"/>
      <w:marLeft w:val="0"/>
      <w:marRight w:val="0"/>
      <w:marTop w:val="0"/>
      <w:marBottom w:val="0"/>
      <w:divBdr>
        <w:top w:val="none" w:sz="0" w:space="0" w:color="auto"/>
        <w:left w:val="none" w:sz="0" w:space="0" w:color="auto"/>
        <w:bottom w:val="none" w:sz="0" w:space="0" w:color="auto"/>
        <w:right w:val="none" w:sz="0" w:space="0" w:color="auto"/>
      </w:divBdr>
    </w:div>
    <w:div w:id="1244342820">
      <w:bodyDiv w:val="1"/>
      <w:marLeft w:val="0"/>
      <w:marRight w:val="0"/>
      <w:marTop w:val="0"/>
      <w:marBottom w:val="0"/>
      <w:divBdr>
        <w:top w:val="none" w:sz="0" w:space="0" w:color="auto"/>
        <w:left w:val="none" w:sz="0" w:space="0" w:color="auto"/>
        <w:bottom w:val="none" w:sz="0" w:space="0" w:color="auto"/>
        <w:right w:val="none" w:sz="0" w:space="0" w:color="auto"/>
      </w:divBdr>
      <w:divsChild>
        <w:div w:id="1877886529">
          <w:marLeft w:val="0"/>
          <w:marRight w:val="0"/>
          <w:marTop w:val="0"/>
          <w:marBottom w:val="0"/>
          <w:divBdr>
            <w:top w:val="none" w:sz="0" w:space="0" w:color="auto"/>
            <w:left w:val="none" w:sz="0" w:space="0" w:color="auto"/>
            <w:bottom w:val="none" w:sz="0" w:space="0" w:color="auto"/>
            <w:right w:val="none" w:sz="0" w:space="0" w:color="auto"/>
          </w:divBdr>
          <w:divsChild>
            <w:div w:id="1959097732">
              <w:marLeft w:val="0"/>
              <w:marRight w:val="0"/>
              <w:marTop w:val="0"/>
              <w:marBottom w:val="0"/>
              <w:divBdr>
                <w:top w:val="none" w:sz="0" w:space="0" w:color="auto"/>
                <w:left w:val="none" w:sz="0" w:space="0" w:color="auto"/>
                <w:bottom w:val="none" w:sz="0" w:space="0" w:color="auto"/>
                <w:right w:val="none" w:sz="0" w:space="0" w:color="auto"/>
              </w:divBdr>
              <w:divsChild>
                <w:div w:id="1081483196">
                  <w:marLeft w:val="0"/>
                  <w:marRight w:val="0"/>
                  <w:marTop w:val="0"/>
                  <w:marBottom w:val="0"/>
                  <w:divBdr>
                    <w:top w:val="none" w:sz="0" w:space="0" w:color="auto"/>
                    <w:left w:val="none" w:sz="0" w:space="0" w:color="auto"/>
                    <w:bottom w:val="none" w:sz="0" w:space="0" w:color="auto"/>
                    <w:right w:val="none" w:sz="0" w:space="0" w:color="auto"/>
                  </w:divBdr>
                  <w:divsChild>
                    <w:div w:id="110134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515785">
      <w:bodyDiv w:val="1"/>
      <w:marLeft w:val="0"/>
      <w:marRight w:val="0"/>
      <w:marTop w:val="0"/>
      <w:marBottom w:val="0"/>
      <w:divBdr>
        <w:top w:val="none" w:sz="0" w:space="0" w:color="auto"/>
        <w:left w:val="none" w:sz="0" w:space="0" w:color="auto"/>
        <w:bottom w:val="none" w:sz="0" w:space="0" w:color="auto"/>
        <w:right w:val="none" w:sz="0" w:space="0" w:color="auto"/>
      </w:divBdr>
    </w:div>
    <w:div w:id="1446120411">
      <w:bodyDiv w:val="1"/>
      <w:marLeft w:val="0"/>
      <w:marRight w:val="0"/>
      <w:marTop w:val="0"/>
      <w:marBottom w:val="0"/>
      <w:divBdr>
        <w:top w:val="none" w:sz="0" w:space="0" w:color="auto"/>
        <w:left w:val="none" w:sz="0" w:space="0" w:color="auto"/>
        <w:bottom w:val="none" w:sz="0" w:space="0" w:color="auto"/>
        <w:right w:val="none" w:sz="0" w:space="0" w:color="auto"/>
      </w:divBdr>
      <w:divsChild>
        <w:div w:id="1417088510">
          <w:marLeft w:val="0"/>
          <w:marRight w:val="0"/>
          <w:marTop w:val="0"/>
          <w:marBottom w:val="0"/>
          <w:divBdr>
            <w:top w:val="none" w:sz="0" w:space="0" w:color="auto"/>
            <w:left w:val="none" w:sz="0" w:space="0" w:color="auto"/>
            <w:bottom w:val="none" w:sz="0" w:space="0" w:color="auto"/>
            <w:right w:val="none" w:sz="0" w:space="0" w:color="auto"/>
          </w:divBdr>
          <w:divsChild>
            <w:div w:id="544946122">
              <w:marLeft w:val="0"/>
              <w:marRight w:val="0"/>
              <w:marTop w:val="0"/>
              <w:marBottom w:val="0"/>
              <w:divBdr>
                <w:top w:val="none" w:sz="0" w:space="0" w:color="auto"/>
                <w:left w:val="none" w:sz="0" w:space="0" w:color="auto"/>
                <w:bottom w:val="none" w:sz="0" w:space="0" w:color="auto"/>
                <w:right w:val="none" w:sz="0" w:space="0" w:color="auto"/>
              </w:divBdr>
              <w:divsChild>
                <w:div w:id="1920677496">
                  <w:marLeft w:val="0"/>
                  <w:marRight w:val="0"/>
                  <w:marTop w:val="0"/>
                  <w:marBottom w:val="0"/>
                  <w:divBdr>
                    <w:top w:val="none" w:sz="0" w:space="0" w:color="auto"/>
                    <w:left w:val="none" w:sz="0" w:space="0" w:color="auto"/>
                    <w:bottom w:val="none" w:sz="0" w:space="0" w:color="auto"/>
                    <w:right w:val="none" w:sz="0" w:space="0" w:color="auto"/>
                  </w:divBdr>
                  <w:divsChild>
                    <w:div w:id="64343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329446">
      <w:bodyDiv w:val="1"/>
      <w:marLeft w:val="0"/>
      <w:marRight w:val="0"/>
      <w:marTop w:val="0"/>
      <w:marBottom w:val="0"/>
      <w:divBdr>
        <w:top w:val="none" w:sz="0" w:space="0" w:color="auto"/>
        <w:left w:val="none" w:sz="0" w:space="0" w:color="auto"/>
        <w:bottom w:val="none" w:sz="0" w:space="0" w:color="auto"/>
        <w:right w:val="none" w:sz="0" w:space="0" w:color="auto"/>
      </w:divBdr>
    </w:div>
    <w:div w:id="1649440107">
      <w:bodyDiv w:val="1"/>
      <w:marLeft w:val="0"/>
      <w:marRight w:val="0"/>
      <w:marTop w:val="0"/>
      <w:marBottom w:val="0"/>
      <w:divBdr>
        <w:top w:val="none" w:sz="0" w:space="0" w:color="auto"/>
        <w:left w:val="none" w:sz="0" w:space="0" w:color="auto"/>
        <w:bottom w:val="none" w:sz="0" w:space="0" w:color="auto"/>
        <w:right w:val="none" w:sz="0" w:space="0" w:color="auto"/>
      </w:divBdr>
    </w:div>
    <w:div w:id="1667247574">
      <w:bodyDiv w:val="1"/>
      <w:marLeft w:val="0"/>
      <w:marRight w:val="0"/>
      <w:marTop w:val="0"/>
      <w:marBottom w:val="0"/>
      <w:divBdr>
        <w:top w:val="none" w:sz="0" w:space="0" w:color="auto"/>
        <w:left w:val="none" w:sz="0" w:space="0" w:color="auto"/>
        <w:bottom w:val="none" w:sz="0" w:space="0" w:color="auto"/>
        <w:right w:val="none" w:sz="0" w:space="0" w:color="auto"/>
      </w:divBdr>
    </w:div>
    <w:div w:id="1783107137">
      <w:bodyDiv w:val="1"/>
      <w:marLeft w:val="0"/>
      <w:marRight w:val="0"/>
      <w:marTop w:val="0"/>
      <w:marBottom w:val="0"/>
      <w:divBdr>
        <w:top w:val="none" w:sz="0" w:space="0" w:color="auto"/>
        <w:left w:val="none" w:sz="0" w:space="0" w:color="auto"/>
        <w:bottom w:val="none" w:sz="0" w:space="0" w:color="auto"/>
        <w:right w:val="none" w:sz="0" w:space="0" w:color="auto"/>
      </w:divBdr>
    </w:div>
    <w:div w:id="20725346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mailto:rawi.dawood@mail.huji.ac.il" TargetMode="External"/><Relationship Id="rId14" Type="http://schemas.openxmlformats.org/officeDocument/2006/relationships/image" Target="media/image5.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L0g1vSztyCYgMp2GcaZAjDHA8Q==">CgMxLjAi1AEKC0FBQUJLaDFTUGtJEp4BCgtBQUFCS2gxU1BrSRILQUFBQktoMVNQa0kaDQoJdGV4dC9odG1sEgAiDgoKdGV4dC9wbGFpbhIAKhsiFTEwMDkyNTM5NTA2Njk1MDExNDQyNSgAOAAw0qWfmuwxONKln5rsMVoMMm5hMGs5YWtmcm45cgIgAHgAggEUc3VnZ2VzdC5oMXZjNXRhNHFjMjGaAQYIABAAGACwAQC4AQAY0qWfmuwxINKln5rsMTAAQhRzdWdnZXN0LmgxdmM1dGE0cWMyMSKRAgoLQUFBQks2SXJVazQS2wEKC0FBQUJLNklyVWs0EgtBQUFCSzZJclVrNBoNCgl0ZXh0L2h0bWwSACIOCgp0ZXh0L3BsYWluEgAqGyIVMTAwOTI1Mzk1MDY2OTUwMTE0NDI1KAA4ADCeq7/I6jE43K+/yOoxSjsKJGFwcGxpY2F0aW9uL3ZuZC5nb29nbGUtYXBwcy5kb2NzLm1kcxoTwtfa5AENGgsKBwoBYxABGAAQAVoMZmxlbXZxN2d2aTd3cgIgAHgAggEUc3VnZ2VzdC4yN2VzMWhpY285bGWaAQYIABAAGACwAQC4AQAYnqu/yOoxINyvv8jqMTAAQhRzdWdnZXN0LjI3ZXMxaGljbzlsZTIIaC5namRneHM4AGoiChNzdWdnZXN0LnJvNjNiMHVxazZmEgtSYXdpIERhd29vZGojChRzdWdnZXN0LjRhbTV1amdnd3RjMRILUmF3aSBEYXdvb2RqIwoUc3VnZ2VzdC54cTgwMmUxaHJzeGgSC1Jhd2kgRGF3b29kaiMKFHN1Z2dlc3QuaDF2YzV0YTRxYzIxEgtSYXdpIERhd29vZGojChRzdWdnZXN0Lnc5cGhpMTQ1MnlxMRILUmF3aSBEYXdvb2RqIwoUc3VnZ2VzdC5iZXNkcHFvanJrNzgSC1Jhd2kgRGF3b29kaiMKFHN1Z2dlc3QuZW54eGh6N3BlZ2J0EgtSYXdpIERhd29vZGojChRzdWdnZXN0LnB6Mm5zem5sYmdwaxILUmF3aSBEYXdvb2RqIwoUc3VnZ2VzdC4yN2VzMWhpY285bGUSC1Jhd2kgRGF3b29kaiMKFHN1Z2dlc3QuN29udTE1NjZ2bHhrEgtSYXdpIERhd29vZHIhMU9OZUVpTlZJRTJYVFg3a1E3b0VHREY0S2l0WkR3TUM0</go:docsCustomData>
</go:gDocsCustomXmlDataStorage>
</file>

<file path=customXml/itemProps1.xml><?xml version="1.0" encoding="utf-8"?>
<ds:datastoreItem xmlns:ds="http://schemas.openxmlformats.org/officeDocument/2006/customXml" ds:itemID="{85DE60E6-6C74-4D0E-B491-6BA1ACA55AF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13</Pages>
  <Words>17631</Words>
  <Characters>100500</Characters>
  <Application>Microsoft Office Word</Application>
  <DocSecurity>0</DocSecurity>
  <Lines>837</Lines>
  <Paragraphs>235</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117896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Rawi Dawood</dc:creator>
  <cp:keywords/>
  <dc:description/>
  <cp:lastModifiedBy>Rawi Dawood</cp:lastModifiedBy>
  <cp:revision>3</cp:revision>
  <dcterms:created xsi:type="dcterms:W3CDTF">2025-06-13T16:26:00Z</dcterms:created>
  <dcterms:modified xsi:type="dcterms:W3CDTF">2025-06-16T11:29:00Z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305ef75f-62d8-3d87-9a89-820df4526719</vt:lpwstr>
  </property>
  <property fmtid="{D5CDD505-2E9C-101B-9397-08002B2CF9AE}" pid="4" name="Mendeley Citation Style_1">
    <vt:lpwstr>http://www.zotero.org/styles/nature-geoscience</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 6th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12th edition - Harvard</vt:lpwstr>
  </property>
  <property fmtid="{D5CDD505-2E9C-101B-9397-08002B2CF9AE}" pid="13" name="Mendeley Recent Style Id 4_1">
    <vt:lpwstr>http://www.zotero.org/styles/geology</vt:lpwstr>
  </property>
  <property fmtid="{D5CDD505-2E9C-101B-9397-08002B2CF9AE}" pid="14" name="Mendeley Recent Style Name 4_1">
    <vt:lpwstr>Geology</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http://www.zotero.org/styles/nature-geoscience</vt:lpwstr>
  </property>
  <property fmtid="{D5CDD505-2E9C-101B-9397-08002B2CF9AE}" pid="22" name="Mendeley Recent Style Name 8_1">
    <vt:lpwstr>Nature Geoscience</vt:lpwstr>
  </property>
  <property fmtid="{D5CDD505-2E9C-101B-9397-08002B2CF9AE}" pid="23" name="Mendeley Recent Style Id 9_1">
    <vt:lpwstr>http://www.zotero.org/styles/tectonics</vt:lpwstr>
  </property>
  <property fmtid="{D5CDD505-2E9C-101B-9397-08002B2CF9AE}" pid="24" name="Mendeley Recent Style Name 9_1">
    <vt:lpwstr>Tectonics</vt:lpwstr>
  </property>
</Properties>
</file>